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E1167">
      <w:pPr>
        <w:divId w:val="1709640054"/>
        <w:rPr>
          <w:rFonts w:eastAsia="Times New Roman"/>
          <w:vanish/>
        </w:rPr>
      </w:pPr>
      <w:r>
        <w:rPr>
          <w:rFonts w:eastAsia="Times New Roman"/>
          <w:vanish/>
        </w:rPr>
        <w:t>0000895728falseDecember 312021Q3http://fasb.org/us-gaap/2021-01-31#AccountingStandardsUpdate201613Member313.00.8350.810.155010.153490.157530.155010.160810.15753three year1.0one year3.0two5008.0five-year10.0364-dayone-yearone yearone yearone year</w:t>
      </w:r>
      <w:r>
        <w:rPr>
          <w:rFonts w:eastAsia="Times New Roman"/>
          <w:vanish/>
        </w:rPr>
        <w:t>one yeartwo years402.503.403.104.102.353.202.824.202.50three1.50.5525001.6055003.404.263.164.202.763.984.014.6000008957282021-01-012021-09-300000895728us-gaap:CommonStockMember2021-01-012021-09-300000895728enb:A6.375FixedtoFloatingRateSubordinatedNotesSeri</w:t>
      </w:r>
      <w:r>
        <w:rPr>
          <w:rFonts w:eastAsia="Times New Roman"/>
          <w:vanish/>
        </w:rPr>
        <w:t>es2018BDue2078Member2021-01-012021-09-30xbrli:shares00008957282021-10-29iso4217:CAD0000895728enb:CommoditySalesRevenueMember2021-07-012021-09-300000895728enb:CommoditySalesRevenueMember2020-07-012020-09-300000895728enb:CommoditySalesRevenueMember2021-01-01</w:t>
      </w:r>
      <w:r>
        <w:rPr>
          <w:rFonts w:eastAsia="Times New Roman"/>
          <w:vanish/>
        </w:rPr>
        <w:t>2021-09-300000895728enb:CommoditySalesRevenueMember2020-01-012020-09-300000895728enb:TransportationAndOtherServicesRevenuesMember2021-07-012021-09-300000895728enb:TransportationAndOtherServicesRevenuesMember2020-07-012020-09-300000895728enb:TransportationA</w:t>
      </w:r>
      <w:r>
        <w:rPr>
          <w:rFonts w:eastAsia="Times New Roman"/>
          <w:vanish/>
        </w:rPr>
        <w:t>ndOtherServicesRevenuesMember2021-01-012021-09-300000895728enb:TransportationAndOtherServicesRevenuesMember2020-01-012020-09-300000895728enb:GasDistributionRevenueMember2021-07-012021-09-300000895728enb:GasDistributionRevenueMember2020-07-012020-09-3000008</w:t>
      </w:r>
      <w:r>
        <w:rPr>
          <w:rFonts w:eastAsia="Times New Roman"/>
          <w:vanish/>
        </w:rPr>
        <w:t>95728enb:GasDistributionRevenueMember2021-01-012021-09-300000895728enb:GasDistributionRevenueMember2020-01-012020-09-3000008957282021-07-012021-09-3000008957282020-07-012020-09-3000008957282020-01-012020-09-30iso4217:CADxbrli:shares0000895728us-gaap:Prefer</w:t>
      </w:r>
      <w:r>
        <w:rPr>
          <w:rFonts w:eastAsia="Times New Roman"/>
          <w:vanish/>
        </w:rPr>
        <w:t>redStockMember2021-06-300000895728us-gaap:PreferredStockMember2021-09-300000895728us-gaap:PreferredStockMember2020-09-300000895728us-gaap:PreferredStockMember2020-06-300000895728us-gaap:PreferredStockMember2020-12-310000895728us-gaap:PreferredStockMember20</w:t>
      </w:r>
      <w:r>
        <w:rPr>
          <w:rFonts w:eastAsia="Times New Roman"/>
          <w:vanish/>
        </w:rPr>
        <w:t>19-12-310000895728us-gaap:CommonStockMember2021-06-300000895728us-gaap:CommonStockMember2020-06-300000895728us-gaap:CommonStockMember2020-12-310000895728us-gaap:CommonStockMember2019-12-310000895728us-gaap:CommonStockMember2021-07-012021-09-300000895728us-</w:t>
      </w:r>
      <w:r>
        <w:rPr>
          <w:rFonts w:eastAsia="Times New Roman"/>
          <w:vanish/>
        </w:rPr>
        <w:t>gaap:CommonStockMember2020-07-012020-09-300000895728us-gaap:CommonStockMember2021-01-012021-09-300000895728us-gaap:CommonStockMember2020-01-012020-09-300000895728us-gaap:CommonStockMember2021-09-300000895728us-gaap:CommonStockMember2020-09-300000895728us-g</w:t>
      </w:r>
      <w:r>
        <w:rPr>
          <w:rFonts w:eastAsia="Times New Roman"/>
          <w:vanish/>
        </w:rPr>
        <w:t>aap:AdditionalPaidInCapitalMember2021-06-300000895728us-gaap:AdditionalPaidInCapitalMember2020-06-300000895728us-gaap:AdditionalPaidInCapitalMember2020-12-310000895728us-gaap:AdditionalPaidInCapitalMember2019-12-310000895728us-gaap:AdditionalPaidInCapitalM</w:t>
      </w:r>
      <w:r>
        <w:rPr>
          <w:rFonts w:eastAsia="Times New Roman"/>
          <w:vanish/>
        </w:rPr>
        <w:t>ember2021-07-012021-09-300000895728us-gaap:AdditionalPaidInCapitalMember2020-07-012020-09-300000895728us-gaap:AdditionalPaidInCapitalMember2021-01-012021-09-300000895728us-gaap:AdditionalPaidInCapitalMember2020-01-012020-09-300000895728us-gaap:AdditionalPa</w:t>
      </w:r>
      <w:r>
        <w:rPr>
          <w:rFonts w:eastAsia="Times New Roman"/>
          <w:vanish/>
        </w:rPr>
        <w:t>idInCapitalMember2021-09-300000895728us-gaap:AdditionalPaidInCapitalMember2020-09-300000895728us-gaap:RetainedEarningsMember2021-06-300000895728us-gaap:RetainedEarningsMember2020-06-300000895728us-gaap:RetainedEarningsMember2020-12-310000895728us-gaap:Reta</w:t>
      </w:r>
      <w:r>
        <w:rPr>
          <w:rFonts w:eastAsia="Times New Roman"/>
          <w:vanish/>
        </w:rPr>
        <w:t>inedEarningsMember2019-12-310000895728us-gaap:RetainedEarningsMember2021-07-012021-09-300000895728us-gaap:RetainedEarningsMember2020-07-012020-09-300000895728us-gaap:RetainedEarningsMember2021-01-012021-09-300000895728us-gaap:RetainedEarningsMember2020-01-</w:t>
      </w:r>
      <w:r>
        <w:rPr>
          <w:rFonts w:eastAsia="Times New Roman"/>
          <w:vanish/>
        </w:rPr>
        <w:t>012020-09-3000008957282019-01-012019-12-310000895728srt:CumulativeEffectPeriodOfAdoptionAdjustmentMemberus-gaap:RetainedEarningsMember2019-12-310000895728us-gaap:RetainedEarningsMember2021-09-300000895728us-gaap:RetainedEarningsMember2020-09-300000895728us</w:t>
      </w:r>
      <w:r>
        <w:rPr>
          <w:rFonts w:eastAsia="Times New Roman"/>
          <w:vanish/>
        </w:rPr>
        <w:t>-gaap:AccumulatedOtherComprehensiveIncomeMember2021-06-300000895728us-gaap:AccumulatedOtherComprehensiveIncomeMember2020-06-300000895728us-gaap:AccumulatedOtherComprehensiveIncomeMember2020-12-310000895728us-gaap:AccumulatedOtherComprehensiveIncomeMember20</w:t>
      </w:r>
      <w:r>
        <w:rPr>
          <w:rFonts w:eastAsia="Times New Roman"/>
          <w:vanish/>
        </w:rPr>
        <w:t>19-12-310000895728us-gaap:AccumulatedOtherComprehensiveIncomeMember2021-07-012021-09-300000895728us-gaap:AccumulatedOtherComprehensiveIncomeMember2020-07-012020-09-300000895728us-gaap:AccumulatedOtherComprehensiveIncomeMember2021-01-012021-09-300000895728u</w:t>
      </w:r>
      <w:r>
        <w:rPr>
          <w:rFonts w:eastAsia="Times New Roman"/>
          <w:vanish/>
        </w:rPr>
        <w:t>s-gaap:AccumulatedOtherComprehensiveIncomeMember2020-01-012020-09-300000895728us-gaap:AccumulatedOtherComprehensiveIncomeMember2021-09-300000895728us-gaap:AccumulatedOtherComprehensiveIncomeMember2020-09-300000895728us-gaap:TreasuryStockMember2021-06-30000</w:t>
      </w:r>
      <w:r>
        <w:rPr>
          <w:rFonts w:eastAsia="Times New Roman"/>
          <w:vanish/>
        </w:rPr>
        <w:t>0895728us-gaap:TreasuryStockMember2020-06-300000895728us-gaap:TreasuryStockMember2020-12-310000895728us-gaap:TreasuryStockMember2019-12-310000895728us-gaap:TreasuryStockMember2021-07-012021-09-300000895728us-gaap:TreasuryStockMember2020-07-012020-09-300000</w:t>
      </w:r>
      <w:r>
        <w:rPr>
          <w:rFonts w:eastAsia="Times New Roman"/>
          <w:vanish/>
        </w:rPr>
        <w:t>895728us-gaap:TreasuryStockMember2021-01-012021-09-300000895728us-gaap:TreasuryStockMember2020-01-012020-09-300000895728us-gaap:TreasuryStockMember2021-09-300000895728us-gaap:TreasuryStockMember2020-09-300000895728us-gaap:ParentMember2021-09-300000895728us</w:t>
      </w:r>
      <w:r>
        <w:rPr>
          <w:rFonts w:eastAsia="Times New Roman"/>
          <w:vanish/>
        </w:rPr>
        <w:t>-gaap:ParentMember2020-09-300000895728us-gaap:NoncontrollingInterestMember2021-06-300000895728us-gaap:NoncontrollingInterestMember2020-06-300000895728us-gaap:NoncontrollingInterestMember2020-12-310000895728us-gaap:NoncontrollingInterestMember2019-12-310000</w:t>
      </w:r>
      <w:r>
        <w:rPr>
          <w:rFonts w:eastAsia="Times New Roman"/>
          <w:vanish/>
        </w:rPr>
        <w:t>895728us-gaap:NoncontrollingInterestMember2021-07-012021-09-300000895728us-gaap:NoncontrollingInterestMember2020-07-012020-09-300000895728us-gaap:NoncontrollingInterestMember2021-01-012021-09-300000895728us-gaap:NoncontrollingInterestMember2020-01-012020-0</w:t>
      </w:r>
      <w:r>
        <w:rPr>
          <w:rFonts w:eastAsia="Times New Roman"/>
          <w:vanish/>
        </w:rPr>
        <w:t>9-300000895728us-gaap:NoncontrollingInterestMember2021-09-300000895728us-gaap:NoncontrollingInterestMember2020-09-3000008957282021-09-3000008957282020-09-3000008957282020-12-3100008957282019-12-310000895728enb:TransportationRevenueMemberenb:LiquidsPipeline</w:t>
      </w:r>
      <w:r>
        <w:rPr>
          <w:rFonts w:eastAsia="Times New Roman"/>
          <w:vanish/>
        </w:rPr>
        <w:t>sSegmentMemberus-gaap:OperatingSegmentsMember2021-07-012021-09-300000895728enb:TransportationRevenueMemberenb:GasTransmissionandMidstreamSegmentMemberus-gaap:OperatingSegmentsMember2021-07-012021-09-300000895728enb:GasDistributionandStorageSegmentMemberenb</w:t>
      </w:r>
      <w:r>
        <w:rPr>
          <w:rFonts w:eastAsia="Times New Roman"/>
          <w:vanish/>
        </w:rPr>
        <w:t>:TransportationRevenueMemberus-gaap:OperatingSegmentsMember2021-07-012021-09-300000895728enb:TransportationRevenueMemberenb:RenewablePowerGenerationSegmentMemberus-gaap:OperatingSegmentsMember2021-07-012021-09-300000895728enb:EnergyServicesSegmentMemberenb</w:t>
      </w:r>
      <w:r>
        <w:rPr>
          <w:rFonts w:eastAsia="Times New Roman"/>
          <w:vanish/>
        </w:rPr>
        <w:t>:TransportationRevenueMemberus-gaap:OperatingSegmentsMember2021-07-012021-09-300000895728enb:TransportationRevenueMemberenb:EliminationsAndReconcilingItemsMember2021-07-012021-09-300000895728enb:TransportationRevenueMember2021-07-012021-09-300000895728enb:</w:t>
      </w:r>
      <w:r>
        <w:rPr>
          <w:rFonts w:eastAsia="Times New Roman"/>
          <w:vanish/>
        </w:rPr>
        <w:t>StorageandOtherRevenueMemberenb:LiquidsPipelinesSegmentMemberus-gaap:OperatingSegmentsMember2021-07-012021-09-300000895728enb:StorageandOtherRevenueMemberenb:GasTransmissionandMidstreamSegmentMemberus-gaap:OperatingSegmentsMember2021-07-012021-09-300000895</w:t>
      </w:r>
      <w:r>
        <w:rPr>
          <w:rFonts w:eastAsia="Times New Roman"/>
          <w:vanish/>
        </w:rPr>
        <w:t>728enb:StorageandOtherRevenueMemberenb:GasDistributionandStorageSegmentMemberus-gaap:OperatingSegmentsMember2021-07-012021-09-300000895728enb:StorageandOtherRevenueMemberenb:RenewablePowerGenerationSegmentMemberus-gaap:OperatingSegmentsMember2021-07-012021</w:t>
      </w:r>
      <w:r>
        <w:rPr>
          <w:rFonts w:eastAsia="Times New Roman"/>
          <w:vanish/>
        </w:rPr>
        <w:t>-09-300000895728enb:EnergyServicesSegmentMemberenb:StorageandOtherRevenueMemberus-gaap:OperatingSegmentsMember2021-07-012021-09-300000895728enb:StorageandOtherRevenueMemberenb:EliminationsAndReconcilingItemsMember2021-07-012021-09-300000895728enb:Storagean</w:t>
      </w:r>
      <w:r>
        <w:rPr>
          <w:rFonts w:eastAsia="Times New Roman"/>
          <w:vanish/>
        </w:rPr>
        <w:t>dOtherRevenueMember2021-07-012021-09-300000895728enb:GasGatheringandProcessingRevenueMemberenb:LiquidsPipelinesSegmentMemberus-gaap:OperatingSegmentsMember2021-07-012021-09-300000895728enb:GasGatheringandProcessingRevenueMemberenb:GasTransmissionandMidstre</w:t>
      </w:r>
      <w:r>
        <w:rPr>
          <w:rFonts w:eastAsia="Times New Roman"/>
          <w:vanish/>
        </w:rPr>
        <w:t>amSegmentMemberus-gaap:OperatingSegmentsMember2021-07-012021-09-300000895728enb:GasGatheringandProcessingRevenueMemberenb:GasDistributionandStorageSegmentMemberus-gaap:OperatingSegmentsMember2021-07-012021-09-300000895728enb:GasGatheringandProcessingRevenu</w:t>
      </w:r>
      <w:r>
        <w:rPr>
          <w:rFonts w:eastAsia="Times New Roman"/>
          <w:vanish/>
        </w:rPr>
        <w:t>eMemberenb:RenewablePowerGenerationSegmentMemberus-gaap:OperatingSegmentsMember2021-07-012021-09-300000895728enb:GasGatheringandProcessingRevenueMemberenb:EnergyServicesSegmentMemberus-gaap:OperatingSegmentsMember2021-07-012021-09-300000895728enb:GasGather</w:t>
      </w:r>
      <w:r>
        <w:rPr>
          <w:rFonts w:eastAsia="Times New Roman"/>
          <w:vanish/>
        </w:rPr>
        <w:t>ingandProcessingRevenueMemberenb:EliminationsAndReconcilingItemsMember2021-07-012021-09-300000895728enb:GasGatheringandProcessingRevenueMember2021-07-012021-09-300000895728enb:GasDistributionRevenueMemberenb:LiquidsPipelinesSegmentMemberus-gaap:OperatingSe</w:t>
      </w:r>
      <w:r>
        <w:rPr>
          <w:rFonts w:eastAsia="Times New Roman"/>
          <w:vanish/>
        </w:rPr>
        <w:t>gmentsMember2021-07-012021-09-300000895728enb:GasDistributionRevenueMemberenb:GasTransmissionandMidstreamSegmentMemberus-gaap:OperatingSegmentsMember2021-07-012021-09-300000895728enb:GasDistributionRevenueMemberenb:GasDistributionandStorageSegmentMemberus-</w:t>
      </w:r>
      <w:r>
        <w:rPr>
          <w:rFonts w:eastAsia="Times New Roman"/>
          <w:vanish/>
        </w:rPr>
        <w:t>gaap:OperatingSegmentsMember2021-07-012021-09-300000895728enb:GasDistributionRevenueMemberenb:RenewablePowerGenerationSegmentMemberus-gaap:OperatingSegmentsMember2021-07-012021-09-300000895728enb:EnergyServicesSegmentMemberenb:GasDistributionRevenueMemberu</w:t>
      </w:r>
      <w:r>
        <w:rPr>
          <w:rFonts w:eastAsia="Times New Roman"/>
          <w:vanish/>
        </w:rPr>
        <w:t>s-gaap:OperatingSegmentsMember2021-07-012021-09-300000895728enb:GasDistributionRevenueMemberenb:EliminationsAndReconcilingItemsMember2021-07-012021-09-300000895728enb:ElectricityandTransmissionRevenueMemberenb:LiquidsPipelinesSegmentMemberus-gaap:Operating</w:t>
      </w:r>
      <w:r>
        <w:rPr>
          <w:rFonts w:eastAsia="Times New Roman"/>
          <w:vanish/>
        </w:rPr>
        <w:t>SegmentsMember2021-07-012021-09-300000895728enb:ElectricityandTransmissionRevenueMemberenb:GasTransmissionandMidstreamSegmentMemberus-gaap:OperatingSegmentsMember2021-07-012021-09-300000895728enb:GasDistributionandStorageSegmentMemberenb:ElectricityandTran</w:t>
      </w:r>
      <w:r>
        <w:rPr>
          <w:rFonts w:eastAsia="Times New Roman"/>
          <w:vanish/>
        </w:rPr>
        <w:t>smissionRevenueMemberus-gaap:OperatingSegmentsMember2021-07-012021-09-300000895728enb:ElectricityandTransmissionRevenueMemberenb:RenewablePowerGenerationSegmentMemberus-gaap:OperatingSegmentsMember2021-07-012021-09-300000895728enb:EnergyServicesSegmentMemb</w:t>
      </w:r>
      <w:r>
        <w:rPr>
          <w:rFonts w:eastAsia="Times New Roman"/>
          <w:vanish/>
        </w:rPr>
        <w:t>erenb:ElectricityandTransmissionRevenueMemberus-gaap:OperatingSegmentsMember2021-07-012021-09-300000895728enb:ElectricityandTransmissionRevenueMemberenb:EliminationsAndReconcilingItemsMember2021-07-012021-09-300000895728enb:ElectricityandTransmissionRevenu</w:t>
      </w:r>
      <w:r>
        <w:rPr>
          <w:rFonts w:eastAsia="Times New Roman"/>
          <w:vanish/>
        </w:rPr>
        <w:t>eMember2021-07-012021-09-300000895728enb:LiquidsPipelinesSegmentMemberus-gaap:OperatingSegmentsMember2021-07-012021-09-300000895728enb:GasTransmissionandMidstreamSegmentMemberus-gaap:OperatingSegmentsMember2021-07-012021-09-300000895728enb:GasDistributiona</w:t>
      </w:r>
      <w:r>
        <w:rPr>
          <w:rFonts w:eastAsia="Times New Roman"/>
          <w:vanish/>
        </w:rPr>
        <w:t>ndStorageSegmentMemberus-gaap:OperatingSegmentsMember2021-07-012021-09-300000895728enb:RenewablePowerGenerationSegmentMemberus-gaap:OperatingSegmentsMember2021-07-012021-09-300000895728enb:EnergyServicesSegmentMemberus-gaap:OperatingSegmentsMember2021-07-0</w:t>
      </w:r>
      <w:r>
        <w:rPr>
          <w:rFonts w:eastAsia="Times New Roman"/>
          <w:vanish/>
        </w:rPr>
        <w:t>12021-09-300000895728enb:EliminationsAndReconcilingItemsMember2021-07-012021-09-300000895728enb:CommoditySalesRevenueMemberenb:LiquidsPipelinesSegmentMemberus-gaap:OperatingSegmentsMember2021-07-012021-09-300000895728enb:CommoditySalesRevenueMemberenb:GasT</w:t>
      </w:r>
      <w:r>
        <w:rPr>
          <w:rFonts w:eastAsia="Times New Roman"/>
          <w:vanish/>
        </w:rPr>
        <w:t>ransmissionandMidstreamSegmentMemberus-gaap:OperatingSegmentsMember2021-07-012021-09-300000895728enb:GasDistributionandStorageSegmentMemberenb:CommoditySalesRevenueMemberus-gaap:OperatingSegmentsMember2021-07-012021-09-300000895728enb:CommoditySalesRevenue</w:t>
      </w:r>
      <w:r>
        <w:rPr>
          <w:rFonts w:eastAsia="Times New Roman"/>
          <w:vanish/>
        </w:rPr>
        <w:t>Memberenb:RenewablePowerGenerationSegmentMemberus-gaap:OperatingSegmentsMember2021-07-012021-09-300000895728enb:EnergyServicesSegmentMemberenb:CommoditySalesRevenueMemberus-gaap:OperatingSegmentsMember2021-07-012021-09-300000895728enb:CommoditySalesRevenue</w:t>
      </w:r>
      <w:r>
        <w:rPr>
          <w:rFonts w:eastAsia="Times New Roman"/>
          <w:vanish/>
        </w:rPr>
        <w:t>Memberenb:EliminationsAndReconcilingItemsMember2021-07-012021-09-300000895728enb:LiquidsPipelinesSegmentMemberenb:OtherRevenueMemberus-gaap:OperatingSegmentsMember2021-07-012021-09-300000895728enb:OtherRevenueMemberenb:GasTransmissionandMidstreamSegmentMem</w:t>
      </w:r>
      <w:r>
        <w:rPr>
          <w:rFonts w:eastAsia="Times New Roman"/>
          <w:vanish/>
        </w:rPr>
        <w:t>berus-gaap:OperatingSegmentsMember2021-07-012021-09-300000895728enb:GasDistributionandStorageSegmentMemberenb:OtherRevenueMemberus-gaap:OperatingSegmentsMember2021-07-012021-09-300000895728enb:OtherRevenueMemberenb:RenewablePowerGenerationSegmentMemberus-g</w:t>
      </w:r>
      <w:r>
        <w:rPr>
          <w:rFonts w:eastAsia="Times New Roman"/>
          <w:vanish/>
        </w:rPr>
        <w:t>aap:OperatingSegmentsMember2021-07-012021-09-300000895728enb:EnergyServicesSegmentMemberenb:OtherRevenueMemberus-gaap:OperatingSegmentsMember2021-07-012021-09-300000895728enb:OtherRevenueMemberenb:EliminationsAndReconcilingItemsMember2021-07-012021-09-3000</w:t>
      </w:r>
      <w:r>
        <w:rPr>
          <w:rFonts w:eastAsia="Times New Roman"/>
          <w:vanish/>
        </w:rPr>
        <w:t>00895728enb:OtherRevenueMember2021-07-012021-09-300000895728us-gaap:IntersegmentEliminationMemberenb:LiquidsPipelinesSegmentMember2021-07-012021-09-300000895728us-gaap:IntersegmentEliminationMemberenb:GasTransmissionandMidstreamSegmentMember2021-07-012021-</w:t>
      </w:r>
      <w:r>
        <w:rPr>
          <w:rFonts w:eastAsia="Times New Roman"/>
          <w:vanish/>
        </w:rPr>
        <w:t>09-300000895728enb:GasDistributionandStorageSegmentMemberus-gaap:IntersegmentEliminationMember2021-07-012021-09-300000895728us-gaap:IntersegmentEliminationMemberenb:RenewablePowerGenerationSegmentMember2021-07-012021-09-300000895728enb:EnergyServicesSegmen</w:t>
      </w:r>
      <w:r>
        <w:rPr>
          <w:rFonts w:eastAsia="Times New Roman"/>
          <w:vanish/>
        </w:rPr>
        <w:t>tMemberus-gaap:IntersegmentEliminationMember2021-07-012021-09-300000895728us-gaap:IntersegmentEliminationMember2021-07-012021-09-300000895728enb:TransportationRevenueMemberenb:LiquidsPipelinesSegmentMemberus-gaap:OperatingSegmentsMember2020-07-012020-09-30</w:t>
      </w:r>
      <w:r>
        <w:rPr>
          <w:rFonts w:eastAsia="Times New Roman"/>
          <w:vanish/>
        </w:rPr>
        <w:t>0000895728enb:TransportationRevenueMemberenb:GasTransmissionandMidstreamSegmentMemberus-gaap:OperatingSegmentsMember2020-07-012020-09-300000895728enb:GasDistributionandStorageSegmentMemberenb:TransportationRevenueMemberus-gaap:OperatingSegmentsMember2020-0</w:t>
      </w:r>
      <w:r>
        <w:rPr>
          <w:rFonts w:eastAsia="Times New Roman"/>
          <w:vanish/>
        </w:rPr>
        <w:t>7-012020-09-300000895728enb:TransportationRevenueMemberenb:RenewablePowerGenerationSegmentMemberus-gaap:OperatingSegmentsMember2020-07-012020-09-300000895728enb:EnergyServicesSegmentMemberenb:TransportationRevenueMemberus-gaap:OperatingSegmentsMember2020-0</w:t>
      </w:r>
      <w:r>
        <w:rPr>
          <w:rFonts w:eastAsia="Times New Roman"/>
          <w:vanish/>
        </w:rPr>
        <w:t>7-012020-09-300000895728enb:TransportationRevenueMemberenb:EliminationsAndReconcilingItemsMember2020-07-012020-09-300000895728enb:TransportationRevenueMember2020-07-012020-09-300000895728enb:StorageandOtherRevenueMemberenb:LiquidsPipelinesSegmentMemberus-g</w:t>
      </w:r>
      <w:r>
        <w:rPr>
          <w:rFonts w:eastAsia="Times New Roman"/>
          <w:vanish/>
        </w:rPr>
        <w:t>aap:OperatingSegmentsMember2020-07-012020-09-300000895728enb:StorageandOtherRevenueMemberenb:GasTransmissionandMidstreamSegmentMemberus-gaap:OperatingSegmentsMember2020-07-012020-09-300000895728enb:StorageandOtherRevenueMemberenb:GasDistributionandStorageS</w:t>
      </w:r>
      <w:r>
        <w:rPr>
          <w:rFonts w:eastAsia="Times New Roman"/>
          <w:vanish/>
        </w:rPr>
        <w:t>egmentMemberus-gaap:OperatingSegmentsMember2020-07-012020-09-300000895728enb:StorageandOtherRevenueMemberenb:RenewablePowerGenerationSegmentMemberus-gaap:OperatingSegmentsMember2020-07-012020-09-300000895728enb:EnergyServicesSegmentMemberenb:StorageandOthe</w:t>
      </w:r>
      <w:r>
        <w:rPr>
          <w:rFonts w:eastAsia="Times New Roman"/>
          <w:vanish/>
        </w:rPr>
        <w:t>rRevenueMemberus-gaap:OperatingSegmentsMember2020-07-012020-09-300000895728enb:StorageandOtherRevenueMemberenb:EliminationsAndReconcilingItemsMember2020-07-012020-09-300000895728enb:StorageandOtherRevenueMember2020-07-012020-09-300000895728enb:GasGathering</w:t>
      </w:r>
      <w:r>
        <w:rPr>
          <w:rFonts w:eastAsia="Times New Roman"/>
          <w:vanish/>
        </w:rPr>
        <w:t>andProcessingRevenueMemberenb:LiquidsPipelinesSegmentMemberus-gaap:OperatingSegmentsMember2020-07-012020-09-300000895728enb:GasGatheringandProcessingRevenueMemberenb:GasTransmissionandMidstreamSegmentMemberus-gaap:OperatingSegmentsMember2020-07-012020-09-3</w:t>
      </w:r>
      <w:r>
        <w:rPr>
          <w:rFonts w:eastAsia="Times New Roman"/>
          <w:vanish/>
        </w:rPr>
        <w:t>00000895728enb:GasGatheringandProcessingRevenueMemberenb:GasDistributionandStorageSegmentMemberus-gaap:OperatingSegmentsMember2020-07-012020-09-300000895728enb:GasGatheringandProcessingRevenueMemberenb:RenewablePowerGenerationSegmentMemberus-gaap:Operating</w:t>
      </w:r>
      <w:r>
        <w:rPr>
          <w:rFonts w:eastAsia="Times New Roman"/>
          <w:vanish/>
        </w:rPr>
        <w:t>SegmentsMember2020-07-012020-09-300000895728enb:GasGatheringandProcessingRevenueMemberenb:EnergyServicesSegmentMemberus-gaap:OperatingSegmentsMember2020-07-012020-09-300000895728enb:GasGatheringandProcessingRevenueMemberenb:EliminationsAndReconcilingItemsM</w:t>
      </w:r>
      <w:r>
        <w:rPr>
          <w:rFonts w:eastAsia="Times New Roman"/>
          <w:vanish/>
        </w:rPr>
        <w:t>ember2020-07-012020-09-300000895728enb:GasGatheringandProcessingRevenueMember2020-07-012020-09-300000895728enb:GasDistributionRevenueMemberenb:LiquidsPipelinesSegmentMemberus-gaap:OperatingSegmentsMember2020-07-012020-09-300000895728enb:GasDistributionReve</w:t>
      </w:r>
      <w:r>
        <w:rPr>
          <w:rFonts w:eastAsia="Times New Roman"/>
          <w:vanish/>
        </w:rPr>
        <w:t>nueMemberenb:GasTransmissionandMidstreamSegmentMemberus-gaap:OperatingSegmentsMember2020-07-012020-09-300000895728enb:GasDistributionRevenueMemberenb:GasDistributionandStorageSegmentMemberus-gaap:OperatingSegmentsMember2020-07-012020-09-300000895728enb:Gas</w:t>
      </w:r>
      <w:r>
        <w:rPr>
          <w:rFonts w:eastAsia="Times New Roman"/>
          <w:vanish/>
        </w:rPr>
        <w:t>DistributionRevenueMemberenb:RenewablePowerGenerationSegmentMemberus-gaap:OperatingSegmentsMember2020-07-012020-09-300000895728enb:EnergyServicesSegmentMemberenb:GasDistributionRevenueMemberus-gaap:OperatingSegmentsMember2020-07-012020-09-300000895728enb:G</w:t>
      </w:r>
      <w:r>
        <w:rPr>
          <w:rFonts w:eastAsia="Times New Roman"/>
          <w:vanish/>
        </w:rPr>
        <w:t>asDistributionRevenueMemberenb:EliminationsAndReconcilingItemsMember2020-07-012020-09-300000895728enb:ElectricityandTransmissionRevenueMemberenb:LiquidsPipelinesSegmentMemberus-gaap:OperatingSegmentsMember2020-07-012020-09-300000895728enb:ElectricityandTra</w:t>
      </w:r>
      <w:r>
        <w:rPr>
          <w:rFonts w:eastAsia="Times New Roman"/>
          <w:vanish/>
        </w:rPr>
        <w:t>nsmissionRevenueMemberenb:GasTransmissionandMidstreamSegmentMemberus-gaap:OperatingSegmentsMember2020-07-012020-09-300000895728enb:GasDistributionandStorageSegmentMemberenb:ElectricityandTransmissionRevenueMemberus-gaap:OperatingSegmentsMember2020-07-01202</w:t>
      </w:r>
      <w:r>
        <w:rPr>
          <w:rFonts w:eastAsia="Times New Roman"/>
          <w:vanish/>
        </w:rPr>
        <w:t>0-09-300000895728enb:ElectricityandTransmissionRevenueMemberenb:RenewablePowerGenerationSegmentMemberus-gaap:OperatingSegmentsMember2020-07-012020-09-300000895728enb:EnergyServicesSegmentMemberenb:ElectricityandTransmissionRevenueMemberus-gaap:OperatingSeg</w:t>
      </w:r>
      <w:r>
        <w:rPr>
          <w:rFonts w:eastAsia="Times New Roman"/>
          <w:vanish/>
        </w:rPr>
        <w:t>mentsMember2020-07-012020-09-300000895728enb:ElectricityandTransmissionRevenueMemberenb:EliminationsAndReconcilingItemsMember2020-07-012020-09-300000895728enb:ElectricityandTransmissionRevenueMember2020-07-012020-09-300000895728enb:LiquidsPipelinesSegmentM</w:t>
      </w:r>
      <w:r>
        <w:rPr>
          <w:rFonts w:eastAsia="Times New Roman"/>
          <w:vanish/>
        </w:rPr>
        <w:t>emberus-gaap:OperatingSegmentsMember2020-07-012020-09-300000895728enb:GasTransmissionandMidstreamSegmentMemberus-gaap:OperatingSegmentsMember2020-07-012020-09-300000895728enb:GasDistributionandStorageSegmentMemberus-gaap:OperatingSegmentsMember2020-07-0120</w:t>
      </w:r>
      <w:r>
        <w:rPr>
          <w:rFonts w:eastAsia="Times New Roman"/>
          <w:vanish/>
        </w:rPr>
        <w:t>20-09-300000895728enb:RenewablePowerGenerationSegmentMemberus-gaap:OperatingSegmentsMember2020-07-012020-09-300000895728enb:EnergyServicesSegmentMemberus-gaap:OperatingSegmentsMember2020-07-012020-09-300000895728enb:EliminationsAndReconcilingItemsMember202</w:t>
      </w:r>
      <w:r>
        <w:rPr>
          <w:rFonts w:eastAsia="Times New Roman"/>
          <w:vanish/>
        </w:rPr>
        <w:t>0-07-012020-09-300000895728enb:CommoditySalesRevenueMemberenb:LiquidsPipelinesSegmentMemberus-gaap:OperatingSegmentsMember2020-07-012020-09-300000895728enb:CommoditySalesRevenueMemberenb:GasTransmissionandMidstreamSegmentMemberus-gaap:OperatingSegmentsMemb</w:t>
      </w:r>
      <w:r>
        <w:rPr>
          <w:rFonts w:eastAsia="Times New Roman"/>
          <w:vanish/>
        </w:rPr>
        <w:t>er2020-07-012020-09-300000895728enb:GasDistributionandStorageSegmentMemberenb:CommoditySalesRevenueMemberus-gaap:OperatingSegmentsMember2020-07-012020-09-300000895728enb:CommoditySalesRevenueMemberenb:RenewablePowerGenerationSegmentMemberus-gaap:OperatingS</w:t>
      </w:r>
      <w:r>
        <w:rPr>
          <w:rFonts w:eastAsia="Times New Roman"/>
          <w:vanish/>
        </w:rPr>
        <w:t>egmentsMember2020-07-012020-09-300000895728enb:EnergyServicesSegmentMemberenb:CommoditySalesRevenueMemberus-gaap:OperatingSegmentsMember2020-07-012020-09-300000895728enb:CommoditySalesRevenueMemberenb:EliminationsAndReconcilingItemsMember2020-07-012020-09-</w:t>
      </w:r>
      <w:r>
        <w:rPr>
          <w:rFonts w:eastAsia="Times New Roman"/>
          <w:vanish/>
        </w:rPr>
        <w:t>300000895728enb:LiquidsPipelinesSegmentMemberenb:OtherRevenueMemberus-gaap:OperatingSegmentsMember2020-07-012020-09-300000895728enb:OtherRevenueMemberenb:GasTransmissionandMidstreamSegmentMemberus-gaap:OperatingSegmentsMember2020-07-012020-09-300000895728e</w:t>
      </w:r>
      <w:r>
        <w:rPr>
          <w:rFonts w:eastAsia="Times New Roman"/>
          <w:vanish/>
        </w:rPr>
        <w:t>nb:GasDistributionandStorageSegmentMemberenb:OtherRevenueMemberus-gaap:OperatingSegmentsMember2020-07-012020-09-300000895728enb:OtherRevenueMemberenb:RenewablePowerGenerationSegmentMemberus-gaap:OperatingSegmentsMember2020-07-012020-09-300000895728enb:Ener</w:t>
      </w:r>
      <w:r>
        <w:rPr>
          <w:rFonts w:eastAsia="Times New Roman"/>
          <w:vanish/>
        </w:rPr>
        <w:t>gyServicesSegmentMemberenb:OtherRevenueMemberus-gaap:OperatingSegmentsMember2020-07-012020-09-300000895728enb:OtherRevenueMemberenb:EliminationsAndReconcilingItemsMember2020-07-012020-09-300000895728enb:OtherRevenueMember2020-07-012020-09-300000895728us-ga</w:t>
      </w:r>
      <w:r>
        <w:rPr>
          <w:rFonts w:eastAsia="Times New Roman"/>
          <w:vanish/>
        </w:rPr>
        <w:t>ap:IntersegmentEliminationMemberenb:LiquidsPipelinesSegmentMember2020-07-012020-09-300000895728us-gaap:IntersegmentEliminationMemberenb:GasTransmissionandMidstreamSegmentMember2020-07-012020-09-300000895728enb:GasDistributionandStorageSegmentMemberus-gaap:</w:t>
      </w:r>
      <w:r>
        <w:rPr>
          <w:rFonts w:eastAsia="Times New Roman"/>
          <w:vanish/>
        </w:rPr>
        <w:t>IntersegmentEliminationMember2020-07-012020-09-300000895728us-gaap:IntersegmentEliminationMemberenb:RenewablePowerGenerationSegmentMember2020-07-012020-09-300000895728enb:EnergyServicesSegmentMemberus-gaap:IntersegmentEliminationMember2020-07-012020-09-300</w:t>
      </w:r>
      <w:r>
        <w:rPr>
          <w:rFonts w:eastAsia="Times New Roman"/>
          <w:vanish/>
        </w:rPr>
        <w:t>000895728us-gaap:IntersegmentEliminationMember2020-07-012020-09-300000895728enb:TransportationRevenueMemberenb:LiquidsPipelinesSegmentMemberus-gaap:OperatingSegmentsMember2021-01-012021-09-300000895728enb:TransportationRevenueMemberenb:GasTransmissionandMi</w:t>
      </w:r>
      <w:r>
        <w:rPr>
          <w:rFonts w:eastAsia="Times New Roman"/>
          <w:vanish/>
        </w:rPr>
        <w:t>dstreamSegmentMemberus-gaap:OperatingSegmentsMember2021-01-012021-09-300000895728enb:GasDistributionandStorageSegmentMemberenb:TransportationRevenueMemberus-gaap:OperatingSegmentsMember2021-01-012021-09-300000895728enb:TransportationRevenueMemberenb:Renewa</w:t>
      </w:r>
      <w:r>
        <w:rPr>
          <w:rFonts w:eastAsia="Times New Roman"/>
          <w:vanish/>
        </w:rPr>
        <w:t>blePowerGenerationSegmentMemberus-gaap:OperatingSegmentsMember2021-01-012021-09-300000895728enb:EnergyServicesSegmentMemberenb:TransportationRevenueMemberus-gaap:OperatingSegmentsMember2021-01-012021-09-300000895728enb:TransportationRevenueMemberenb:Elimin</w:t>
      </w:r>
      <w:r>
        <w:rPr>
          <w:rFonts w:eastAsia="Times New Roman"/>
          <w:vanish/>
        </w:rPr>
        <w:t>ationsAndReconcilingItemsMember2021-01-012021-09-300000895728enb:TransportationRevenueMember2021-01-012021-09-300000895728enb:StorageandOtherRevenueMemberenb:LiquidsPipelinesSegmentMemberus-gaap:OperatingSegmentsMember2021-01-012021-09-300000895728enb:Stor</w:t>
      </w:r>
      <w:r>
        <w:rPr>
          <w:rFonts w:eastAsia="Times New Roman"/>
          <w:vanish/>
        </w:rPr>
        <w:t>ageandOtherRevenueMemberenb:GasTransmissionandMidstreamSegmentMemberus-gaap:OperatingSegmentsMember2021-01-012021-09-300000895728enb:StorageandOtherRevenueMemberenb:GasDistributionandStorageSegmentMemberus-gaap:OperatingSegmentsMember2021-01-012021-09-3000</w:t>
      </w:r>
      <w:r>
        <w:rPr>
          <w:rFonts w:eastAsia="Times New Roman"/>
          <w:vanish/>
        </w:rPr>
        <w:t>00895728enb:StorageandOtherRevenueMemberenb:RenewablePowerGenerationSegmentMemberus-gaap:OperatingSegmentsMember2021-01-012021-09-300000895728enb:EnergyServicesSegmentMemberenb:StorageandOtherRevenueMemberus-gaap:OperatingSegmentsMember2021-01-012021-09-30</w:t>
      </w:r>
      <w:r>
        <w:rPr>
          <w:rFonts w:eastAsia="Times New Roman"/>
          <w:vanish/>
        </w:rPr>
        <w:t>0000895728enb:StorageandOtherRevenueMemberenb:EliminationsAndReconcilingItemsMember2021-01-012021-09-300000895728enb:StorageandOtherRevenueMember2021-01-012021-09-300000895728enb:GasGatheringandProcessingRevenueMemberenb:LiquidsPipelinesSegmentMemberus-gaa</w:t>
      </w:r>
      <w:r>
        <w:rPr>
          <w:rFonts w:eastAsia="Times New Roman"/>
          <w:vanish/>
        </w:rPr>
        <w:t>p:OperatingSegmentsMember2021-01-012021-09-300000895728enb:GasGatheringandProcessingRevenueMemberenb:GasTransmissionandMidstreamSegmentMemberus-gaap:OperatingSegmentsMember2021-01-012021-09-300000895728enb:GasGatheringandProcessingRevenueMemberenb:GasDistr</w:t>
      </w:r>
      <w:r>
        <w:rPr>
          <w:rFonts w:eastAsia="Times New Roman"/>
          <w:vanish/>
        </w:rPr>
        <w:t>ibutionandStorageSegmentMemberus-gaap:OperatingSegmentsMember2021-01-012021-09-300000895728enb:GasGatheringandProcessingRevenueMemberenb:RenewablePowerGenerationSegmentMemberus-gaap:OperatingSegmentsMember2021-01-012021-09-300000895728enb:GasGatheringandPr</w:t>
      </w:r>
      <w:r>
        <w:rPr>
          <w:rFonts w:eastAsia="Times New Roman"/>
          <w:vanish/>
        </w:rPr>
        <w:t>ocessingRevenueMemberenb:EnergyServicesSegmentMemberus-gaap:OperatingSegmentsMember2021-01-012021-09-300000895728enb:GasGatheringandProcessingRevenueMemberenb:EliminationsAndReconcilingItemsMember2021-01-012021-09-300000895728enb:GasGatheringandProcessingR</w:t>
      </w:r>
      <w:r>
        <w:rPr>
          <w:rFonts w:eastAsia="Times New Roman"/>
          <w:vanish/>
        </w:rPr>
        <w:t>evenueMember2021-01-012021-09-300000895728enb:GasDistributionRevenueMemberenb:LiquidsPipelinesSegmentMemberus-gaap:OperatingSegmentsMember2021-01-012021-09-300000895728enb:GasDistributionRevenueMemberenb:GasTransmissionandMidstreamSegmentMemberus-gaap:Oper</w:t>
      </w:r>
      <w:r>
        <w:rPr>
          <w:rFonts w:eastAsia="Times New Roman"/>
          <w:vanish/>
        </w:rPr>
        <w:t>atingSegmentsMember2021-01-012021-09-300000895728enb:GasDistributionRevenueMemberenb:GasDistributionandStorageSegmentMemberus-gaap:OperatingSegmentsMember2021-01-012021-09-300000895728enb:GasDistributionRevenueMemberenb:RenewablePowerGenerationSegmentMembe</w:t>
      </w:r>
      <w:r>
        <w:rPr>
          <w:rFonts w:eastAsia="Times New Roman"/>
          <w:vanish/>
        </w:rPr>
        <w:t>rus-gaap:OperatingSegmentsMember2021-01-012021-09-300000895728enb:EnergyServicesSegmentMemberenb:GasDistributionRevenueMemberus-gaap:OperatingSegmentsMember2021-01-012021-09-300000895728enb:GasDistributionRevenueMemberenb:EliminationsAndReconcilingItemsMem</w:t>
      </w:r>
      <w:r>
        <w:rPr>
          <w:rFonts w:eastAsia="Times New Roman"/>
          <w:vanish/>
        </w:rPr>
        <w:t>ber2021-01-012021-09-300000895728enb:ElectricityandTransmissionRevenueMemberenb:LiquidsPipelinesSegmentMemberus-gaap:OperatingSegmentsMember2021-01-012021-09-300000895728enb:ElectricityandTransmissionRevenueMemberenb:GasTransmissionandMidstreamSegmentMembe</w:t>
      </w:r>
      <w:r>
        <w:rPr>
          <w:rFonts w:eastAsia="Times New Roman"/>
          <w:vanish/>
        </w:rPr>
        <w:t>rus-gaap:OperatingSegmentsMember2021-01-012021-09-300000895728enb:GasDistributionandStorageSegmentMemberenb:ElectricityandTransmissionRevenueMemberus-gaap:OperatingSegmentsMember2021-01-012021-09-300000895728enb:ElectricityandTransmissionRevenueMemberenb:R</w:t>
      </w:r>
      <w:r>
        <w:rPr>
          <w:rFonts w:eastAsia="Times New Roman"/>
          <w:vanish/>
        </w:rPr>
        <w:t>enewablePowerGenerationSegmentMemberus-gaap:OperatingSegmentsMember2021-01-012021-09-300000895728enb:EnergyServicesSegmentMemberenb:ElectricityandTransmissionRevenueMemberus-gaap:OperatingSegmentsMember2021-01-012021-09-300000895728enb:ElectricityandTransm</w:t>
      </w:r>
      <w:r>
        <w:rPr>
          <w:rFonts w:eastAsia="Times New Roman"/>
          <w:vanish/>
        </w:rPr>
        <w:t>issionRevenueMemberenb:EliminationsAndReconcilingItemsMember2021-01-012021-09-300000895728enb:ElectricityandTransmissionRevenueMember2021-01-012021-09-300000895728enb:LiquidsPipelinesSegmentMemberus-gaap:OperatingSegmentsMember2021-01-012021-09-30000089572</w:t>
      </w:r>
      <w:r>
        <w:rPr>
          <w:rFonts w:eastAsia="Times New Roman"/>
          <w:vanish/>
        </w:rPr>
        <w:t>8enb:GasTransmissionandMidstreamSegmentMemberus-gaap:OperatingSegmentsMember2021-01-012021-09-300000895728enb:GasDistributionandStorageSegmentMemberus-gaap:OperatingSegmentsMember2021-01-012021-09-300000895728enb:RenewablePowerGenerationSegmentMemberus-gaa</w:t>
      </w:r>
      <w:r>
        <w:rPr>
          <w:rFonts w:eastAsia="Times New Roman"/>
          <w:vanish/>
        </w:rPr>
        <w:t>p:OperatingSegmentsMember2021-01-012021-09-300000895728enb:EnergyServicesSegmentMemberus-gaap:OperatingSegmentsMember2021-01-012021-09-300000895728enb:EliminationsAndReconcilingItemsMember2021-01-012021-09-300000895728enb:CommoditySalesRevenueMemberenb:Liq</w:t>
      </w:r>
      <w:r>
        <w:rPr>
          <w:rFonts w:eastAsia="Times New Roman"/>
          <w:vanish/>
        </w:rPr>
        <w:t>uidsPipelinesSegmentMemberus-gaap:OperatingSegmentsMember2021-01-012021-09-300000895728enb:CommoditySalesRevenueMemberenb:GasTransmissionandMidstreamSegmentMemberus-gaap:OperatingSegmentsMember2021-01-012021-09-300000895728enb:GasDistributionandStorageSegm</w:t>
      </w:r>
      <w:r>
        <w:rPr>
          <w:rFonts w:eastAsia="Times New Roman"/>
          <w:vanish/>
        </w:rPr>
        <w:t>entMemberenb:CommoditySalesRevenueMemberus-gaap:OperatingSegmentsMember2021-01-012021-09-300000895728enb:CommoditySalesRevenueMemberenb:RenewablePowerGenerationSegmentMemberus-gaap:OperatingSegmentsMember2021-01-012021-09-300000895728enb:EnergyServicesSegm</w:t>
      </w:r>
      <w:r>
        <w:rPr>
          <w:rFonts w:eastAsia="Times New Roman"/>
          <w:vanish/>
        </w:rPr>
        <w:t>entMemberenb:CommoditySalesRevenueMemberus-gaap:OperatingSegmentsMember2021-01-012021-09-300000895728enb:CommoditySalesRevenueMemberenb:EliminationsAndReconcilingItemsMember2021-01-012021-09-300000895728enb:LiquidsPipelinesSegmentMemberenb:OtherRevenueMemb</w:t>
      </w:r>
      <w:r>
        <w:rPr>
          <w:rFonts w:eastAsia="Times New Roman"/>
          <w:vanish/>
        </w:rPr>
        <w:t>erus-gaap:OperatingSegmentsMember2021-01-012021-09-300000895728enb:OtherRevenueMemberenb:GasTransmissionandMidstreamSegmentMemberus-gaap:OperatingSegmentsMember2021-01-012021-09-300000895728enb:GasDistributionandStorageSegmentMemberenb:OtherRevenueMemberus</w:t>
      </w:r>
      <w:r>
        <w:rPr>
          <w:rFonts w:eastAsia="Times New Roman"/>
          <w:vanish/>
        </w:rPr>
        <w:t>-gaap:OperatingSegmentsMember2021-01-012021-09-300000895728enb:OtherRevenueMemberenb:RenewablePowerGenerationSegmentMemberus-gaap:OperatingSegmentsMember2021-01-012021-09-300000895728enb:EnergyServicesSegmentMemberenb:OtherRevenueMemberus-gaap:OperatingSeg</w:t>
      </w:r>
      <w:r>
        <w:rPr>
          <w:rFonts w:eastAsia="Times New Roman"/>
          <w:vanish/>
        </w:rPr>
        <w:t>mentsMember2021-01-012021-09-300000895728enb:OtherRevenueMemberenb:EliminationsAndReconcilingItemsMember2021-01-012021-09-300000895728enb:OtherRevenueMember2021-01-012021-09-300000895728us-gaap:IntersegmentEliminationMemberenb:LiquidsPipelinesSegmentMember</w:t>
      </w:r>
      <w:r>
        <w:rPr>
          <w:rFonts w:eastAsia="Times New Roman"/>
          <w:vanish/>
        </w:rPr>
        <w:t>2021-01-012021-09-300000895728us-gaap:IntersegmentEliminationMemberenb:GasTransmissionandMidstreamSegmentMember2021-01-012021-09-300000895728enb:GasDistributionandStorageSegmentMemberus-gaap:IntersegmentEliminationMember2021-01-012021-09-300000895728us-gaa</w:t>
      </w:r>
      <w:r>
        <w:rPr>
          <w:rFonts w:eastAsia="Times New Roman"/>
          <w:vanish/>
        </w:rPr>
        <w:t>p:IntersegmentEliminationMemberenb:RenewablePowerGenerationSegmentMember2021-01-012021-09-300000895728enb:EnergyServicesSegmentMemberus-gaap:IntersegmentEliminationMember2021-01-012021-09-300000895728us-gaap:IntersegmentEliminationMember2021-01-012021-09-3</w:t>
      </w:r>
      <w:r>
        <w:rPr>
          <w:rFonts w:eastAsia="Times New Roman"/>
          <w:vanish/>
        </w:rPr>
        <w:t>00000895728enb:TransportationRevenueMemberenb:LiquidsPipelinesSegmentMemberus-gaap:OperatingSegmentsMember2020-01-012020-09-300000895728enb:TransportationRevenueMemberenb:GasTransmissionandMidstreamSegmentMemberus-gaap:OperatingSegmentsMember2020-01-012020</w:t>
      </w:r>
      <w:r>
        <w:rPr>
          <w:rFonts w:eastAsia="Times New Roman"/>
          <w:vanish/>
        </w:rPr>
        <w:t>-09-300000895728enb:GasDistributionandStorageSegmentMemberenb:TransportationRevenueMemberus-gaap:OperatingSegmentsMember2020-01-012020-09-300000895728enb:TransportationRevenueMemberenb:RenewablePowerGenerationSegmentMemberus-gaap:OperatingSegmentsMember202</w:t>
      </w:r>
      <w:r>
        <w:rPr>
          <w:rFonts w:eastAsia="Times New Roman"/>
          <w:vanish/>
        </w:rPr>
        <w:t>0-01-012020-09-300000895728enb:EnergyServicesSegmentMemberenb:TransportationRevenueMemberus-gaap:OperatingSegmentsMember2020-01-012020-09-300000895728enb:TransportationRevenueMemberenb:EliminationsAndReconcilingItemsMember2020-01-012020-09-300000895728enb:</w:t>
      </w:r>
      <w:r>
        <w:rPr>
          <w:rFonts w:eastAsia="Times New Roman"/>
          <w:vanish/>
        </w:rPr>
        <w:t>TransportationRevenueMember2020-01-012020-09-300000895728enb:StorageandOtherRevenueMemberenb:LiquidsPipelinesSegmentMemberus-gaap:OperatingSegmentsMember2020-01-012020-09-300000895728enb:StorageandOtherRevenueMemberenb:GasTransmissionandMidstreamSegmentMem</w:t>
      </w:r>
      <w:r>
        <w:rPr>
          <w:rFonts w:eastAsia="Times New Roman"/>
          <w:vanish/>
        </w:rPr>
        <w:t>berus-gaap:OperatingSegmentsMember2020-01-012020-09-300000895728enb:StorageandOtherRevenueMemberenb:GasDistributionandStorageSegmentMemberus-gaap:OperatingSegmentsMember2020-01-012020-09-300000895728enb:StorageandOtherRevenueMemberenb:RenewablePowerGenerat</w:t>
      </w:r>
      <w:r>
        <w:rPr>
          <w:rFonts w:eastAsia="Times New Roman"/>
          <w:vanish/>
        </w:rPr>
        <w:t>ionSegmentMemberus-gaap:OperatingSegmentsMember2020-01-012020-09-300000895728enb:EnergyServicesSegmentMemberenb:StorageandOtherRevenueMemberus-gaap:OperatingSegmentsMember2020-01-012020-09-300000895728enb:StorageandOtherRevenueMemberenb:EliminationsAndReco</w:t>
      </w:r>
      <w:r>
        <w:rPr>
          <w:rFonts w:eastAsia="Times New Roman"/>
          <w:vanish/>
        </w:rPr>
        <w:t>ncilingItemsMember2020-01-012020-09-300000895728enb:StorageandOtherRevenueMember2020-01-012020-09-300000895728enb:GasGatheringandProcessingRevenueMemberenb:LiquidsPipelinesSegmentMemberus-gaap:OperatingSegmentsMember2020-01-012020-09-300000895728enb:GasGat</w:t>
      </w:r>
      <w:r>
        <w:rPr>
          <w:rFonts w:eastAsia="Times New Roman"/>
          <w:vanish/>
        </w:rPr>
        <w:t>heringandProcessingRevenueMemberenb:GasTransmissionandMidstreamSegmentMemberus-gaap:OperatingSegmentsMember2020-01-012020-09-300000895728enb:GasGatheringandProcessingRevenueMemberenb:GasDistributionandStorageSegmentMemberus-gaap:OperatingSegmentsMember2020</w:t>
      </w:r>
      <w:r>
        <w:rPr>
          <w:rFonts w:eastAsia="Times New Roman"/>
          <w:vanish/>
        </w:rPr>
        <w:t>-01-012020-09-300000895728enb:GasGatheringandProcessingRevenueMemberenb:RenewablePowerGenerationSegmentMemberus-gaap:OperatingSegmentsMember2020-01-012020-09-300000895728enb:GasGatheringandProcessingRevenueMemberenb:EnergyServicesSegmentMemberus-gaap:Opera</w:t>
      </w:r>
      <w:r>
        <w:rPr>
          <w:rFonts w:eastAsia="Times New Roman"/>
          <w:vanish/>
        </w:rPr>
        <w:t>tingSegmentsMember2020-01-012020-09-300000895728enb:GasGatheringandProcessingRevenueMemberenb:EliminationsAndReconcilingItemsMember2020-01-012020-09-300000895728enb:GasGatheringandProcessingRevenueMember2020-01-012020-09-300000895728enb:GasDistributionReve</w:t>
      </w:r>
      <w:r>
        <w:rPr>
          <w:rFonts w:eastAsia="Times New Roman"/>
          <w:vanish/>
        </w:rPr>
        <w:t>nueMemberenb:LiquidsPipelinesSegmentMemberus-gaap:OperatingSegmentsMember2020-01-012020-09-300000895728enb:GasDistributionRevenueMemberenb:GasTransmissionandMidstreamSegmentMemberus-gaap:OperatingSegmentsMember2020-01-012020-09-300000895728enb:GasDistribut</w:t>
      </w:r>
      <w:r>
        <w:rPr>
          <w:rFonts w:eastAsia="Times New Roman"/>
          <w:vanish/>
        </w:rPr>
        <w:t>ionRevenueMemberenb:GasDistributionandStorageSegmentMemberus-gaap:OperatingSegmentsMember2020-01-012020-09-300000895728enb:GasDistributionRevenueMemberenb:RenewablePowerGenerationSegmentMemberus-gaap:OperatingSegmentsMember2020-01-012020-09-300000895728enb</w:t>
      </w:r>
      <w:r>
        <w:rPr>
          <w:rFonts w:eastAsia="Times New Roman"/>
          <w:vanish/>
        </w:rPr>
        <w:t>:EnergyServicesSegmentMemberenb:GasDistributionRevenueMemberus-gaap:OperatingSegmentsMember2020-01-012020-09-300000895728enb:GasDistributionRevenueMemberenb:EliminationsAndReconcilingItemsMember2020-01-012020-09-300000895728enb:ElectricityandTransmissionRe</w:t>
      </w:r>
      <w:r>
        <w:rPr>
          <w:rFonts w:eastAsia="Times New Roman"/>
          <w:vanish/>
        </w:rPr>
        <w:t>venueMemberenb:LiquidsPipelinesSegmentMemberus-gaap:OperatingSegmentsMember2020-01-012020-09-300000895728enb:ElectricityandTransmissionRevenueMemberenb:GasTransmissionandMidstreamSegmentMemberus-gaap:OperatingSegmentsMember2020-01-012020-09-300000895728enb</w:t>
      </w:r>
      <w:r>
        <w:rPr>
          <w:rFonts w:eastAsia="Times New Roman"/>
          <w:vanish/>
        </w:rPr>
        <w:t>:GasDistributionandStorageSegmentMemberenb:ElectricityandTransmissionRevenueMemberus-gaap:OperatingSegmentsMember2020-01-012020-09-300000895728enb:ElectricityandTransmissionRevenueMemberenb:RenewablePowerGenerationSegmentMemberus-gaap:OperatingSegmentsMemb</w:t>
      </w:r>
      <w:r>
        <w:rPr>
          <w:rFonts w:eastAsia="Times New Roman"/>
          <w:vanish/>
        </w:rPr>
        <w:t>er2020-01-012020-09-300000895728enb:EnergyServicesSegmentMemberenb:ElectricityandTransmissionRevenueMemberus-gaap:OperatingSegmentsMember2020-01-012020-09-300000895728enb:ElectricityandTransmissionRevenueMemberenb:EliminationsAndReconcilingItemsMember2020-</w:t>
      </w:r>
      <w:r>
        <w:rPr>
          <w:rFonts w:eastAsia="Times New Roman"/>
          <w:vanish/>
        </w:rPr>
        <w:t>01-012020-09-300000895728enb:ElectricityandTransmissionRevenueMember2020-01-012020-09-300000895728enb:LiquidsPipelinesSegmentMemberus-gaap:OperatingSegmentsMember2020-01-012020-09-300000895728enb:GasTransmissionandMidstreamSegmentMemberus-gaap:OperatingSeg</w:t>
      </w:r>
      <w:r>
        <w:rPr>
          <w:rFonts w:eastAsia="Times New Roman"/>
          <w:vanish/>
        </w:rPr>
        <w:t>mentsMember2020-01-012020-09-300000895728enb:GasDistributionandStorageSegmentMemberus-gaap:OperatingSegmentsMember2020-01-012020-09-300000895728enb:RenewablePowerGenerationSegmentMemberus-gaap:OperatingSegmentsMember2020-01-012020-09-300000895728enb:Energy</w:t>
      </w:r>
      <w:r>
        <w:rPr>
          <w:rFonts w:eastAsia="Times New Roman"/>
          <w:vanish/>
        </w:rPr>
        <w:t>ServicesSegmentMemberus-gaap:OperatingSegmentsMember2020-01-012020-09-300000895728enb:EliminationsAndReconcilingItemsMember2020-01-012020-09-300000895728enb:CommoditySalesRevenueMemberenb:LiquidsPipelinesSegmentMemberus-gaap:OperatingSegmentsMember2020-01-</w:t>
      </w:r>
      <w:r>
        <w:rPr>
          <w:rFonts w:eastAsia="Times New Roman"/>
          <w:vanish/>
        </w:rPr>
        <w:t>012020-09-300000895728enb:CommoditySalesRevenueMemberenb:GasTransmissionandMidstreamSegmentMemberus-gaap:OperatingSegmentsMember2020-01-012020-09-300000895728enb:GasDistributionandStorageSegmentMemberenb:CommoditySalesRevenueMemberus-gaap:OperatingSegments</w:t>
      </w:r>
      <w:r>
        <w:rPr>
          <w:rFonts w:eastAsia="Times New Roman"/>
          <w:vanish/>
        </w:rPr>
        <w:t>Member2020-01-012020-09-300000895728enb:CommoditySalesRevenueMemberenb:RenewablePowerGenerationSegmentMemberus-gaap:OperatingSegmentsMember2020-01-012020-09-300000895728enb:EnergyServicesSegmentMemberenb:CommoditySalesRevenueMemberus-gaap:OperatingSegments</w:t>
      </w:r>
      <w:r>
        <w:rPr>
          <w:rFonts w:eastAsia="Times New Roman"/>
          <w:vanish/>
        </w:rPr>
        <w:t>Member2020-01-012020-09-300000895728enb:CommoditySalesRevenueMemberenb:EliminationsAndReconcilingItemsMember2020-01-012020-09-300000895728enb:LiquidsPipelinesSegmentMemberenb:OtherRevenueMemberus-gaap:OperatingSegmentsMember2020-01-012020-09-300000895728en</w:t>
      </w:r>
      <w:r>
        <w:rPr>
          <w:rFonts w:eastAsia="Times New Roman"/>
          <w:vanish/>
        </w:rPr>
        <w:t>b:OtherRevenueMemberenb:GasTransmissionandMidstreamSegmentMemberus-gaap:OperatingSegmentsMember2020-01-012020-09-300000895728enb:GasDistributionandStorageSegmentMemberenb:OtherRevenueMemberus-gaap:OperatingSegmentsMember2020-01-012020-09-300000895728enb:Ot</w:t>
      </w:r>
      <w:r>
        <w:rPr>
          <w:rFonts w:eastAsia="Times New Roman"/>
          <w:vanish/>
        </w:rPr>
        <w:t>herRevenueMemberenb:RenewablePowerGenerationSegmentMemberus-gaap:OperatingSegmentsMember2020-01-012020-09-300000895728enb:EnergyServicesSegmentMemberenb:OtherRevenueMemberus-gaap:OperatingSegmentsMember2020-01-012020-09-300000895728enb:OtherRevenueMemberen</w:t>
      </w:r>
      <w:r>
        <w:rPr>
          <w:rFonts w:eastAsia="Times New Roman"/>
          <w:vanish/>
        </w:rPr>
        <w:t>b:EliminationsAndReconcilingItemsMember2020-01-012020-09-300000895728enb:OtherRevenueMember2020-01-012020-09-300000895728us-gaap:IntersegmentEliminationMemberenb:LiquidsPipelinesSegmentMember2020-01-012020-09-300000895728us-gaap:IntersegmentEliminationMemb</w:t>
      </w:r>
      <w:r>
        <w:rPr>
          <w:rFonts w:eastAsia="Times New Roman"/>
          <w:vanish/>
        </w:rPr>
        <w:t>erenb:GasTransmissionandMidstreamSegmentMember2020-01-012020-09-300000895728enb:GasDistributionandStorageSegmentMemberus-gaap:IntersegmentEliminationMember2020-01-012020-09-300000895728us-gaap:IntersegmentEliminationMemberenb:RenewablePowerGenerationSegmen</w:t>
      </w:r>
      <w:r>
        <w:rPr>
          <w:rFonts w:eastAsia="Times New Roman"/>
          <w:vanish/>
        </w:rPr>
        <w:t>tMember2020-01-012020-09-300000895728enb:EnergyServicesSegmentMemberus-gaap:IntersegmentEliminationMember2020-01-012020-09-300000895728us-gaap:IntersegmentEliminationMember2020-01-012020-09-3000008957282021-10-012021-09-3000008957282022-01-012021-09-300000</w:t>
      </w:r>
      <w:r>
        <w:rPr>
          <w:rFonts w:eastAsia="Times New Roman"/>
          <w:vanish/>
        </w:rPr>
        <w:t>895728us-gaap:TransferredAtPointInTimeMemberenb:LiquidsPipelinesSegmentMember2021-07-012021-09-300000895728us-gaap:TransferredAtPointInTimeMemberenb:GasTransmissionandMidstreamSegmentMember2021-07-012021-09-300000895728us-gaap:TransferredAtPointInTimeMembe</w:t>
      </w:r>
      <w:r>
        <w:rPr>
          <w:rFonts w:eastAsia="Times New Roman"/>
          <w:vanish/>
        </w:rPr>
        <w:t>renb:GasDistributionandStorageSegmentMember2021-07-012021-09-300000895728us-gaap:TransferredAtPointInTimeMemberenb:RenewablePowerGenerationSegmentMember2021-07-012021-09-300000895728us-gaap:TransferredAtPointInTimeMember2021-07-012021-09-300000895728enb:Li</w:t>
      </w:r>
      <w:r>
        <w:rPr>
          <w:rFonts w:eastAsia="Times New Roman"/>
          <w:vanish/>
        </w:rPr>
        <w:t>quidsPipelinesSegmentMemberus-gaap:TransferredOverTimeMember2021-07-012021-09-300000895728enb:GasTransmissionandMidstreamSegmentMemberus-gaap:TransferredOverTimeMember2021-07-012021-09-300000895728enb:GasDistributionandStorageSegmentMemberus-gaap:Transferr</w:t>
      </w:r>
      <w:r>
        <w:rPr>
          <w:rFonts w:eastAsia="Times New Roman"/>
          <w:vanish/>
        </w:rPr>
        <w:t>edOverTimeMember2021-07-012021-09-300000895728enb:RenewablePowerGenerationSegmentMemberus-gaap:TransferredOverTimeMember2021-07-012021-09-300000895728us-gaap:TransferredOverTimeMember2021-07-012021-09-300000895728enb:LiquidsPipelinesSegmentMember2021-07-01</w:t>
      </w:r>
      <w:r>
        <w:rPr>
          <w:rFonts w:eastAsia="Times New Roman"/>
          <w:vanish/>
        </w:rPr>
        <w:t>2021-09-300000895728enb:GasTransmissionandMidstreamSegmentMember2021-07-012021-09-300000895728enb:GasDistributionandStorageSegmentMember2021-07-012021-09-300000895728enb:RenewablePowerGenerationSegmentMember2021-07-012021-09-300000895728us-gaap:Transferred</w:t>
      </w:r>
      <w:r>
        <w:rPr>
          <w:rFonts w:eastAsia="Times New Roman"/>
          <w:vanish/>
        </w:rPr>
        <w:t>AtPointInTimeMemberenb:LiquidsPipelinesSegmentMember2020-07-012020-09-300000895728us-gaap:TransferredAtPointInTimeMemberenb:GasTransmissionandMidstreamSegmentMember2020-07-012020-09-300000895728us-gaap:TransferredAtPointInTimeMemberenb:GasDistributionandSt</w:t>
      </w:r>
      <w:r>
        <w:rPr>
          <w:rFonts w:eastAsia="Times New Roman"/>
          <w:vanish/>
        </w:rPr>
        <w:t>orageSegmentMember2020-07-012020-09-300000895728us-gaap:TransferredAtPointInTimeMemberenb:RenewablePowerGenerationSegmentMember2020-07-012020-09-300000895728us-gaap:TransferredAtPointInTimeMember2020-07-012020-09-300000895728enb:LiquidsPipelinesSegmentMemb</w:t>
      </w:r>
      <w:r>
        <w:rPr>
          <w:rFonts w:eastAsia="Times New Roman"/>
          <w:vanish/>
        </w:rPr>
        <w:t>erus-gaap:TransferredOverTimeMember2020-07-012020-09-300000895728enb:GasTransmissionandMidstreamSegmentMemberus-gaap:TransferredOverTimeMember2020-07-012020-09-300000895728enb:GasDistributionandStorageSegmentMemberus-gaap:TransferredOverTimeMember2020-07-0</w:t>
      </w:r>
      <w:r>
        <w:rPr>
          <w:rFonts w:eastAsia="Times New Roman"/>
          <w:vanish/>
        </w:rPr>
        <w:t>12020-09-300000895728enb:RenewablePowerGenerationSegmentMemberus-gaap:TransferredOverTimeMember2020-07-012020-09-300000895728us-gaap:TransferredOverTimeMember2020-07-012020-09-300000895728enb:LiquidsPipelinesSegmentMember2020-07-012020-09-300000895728enb:G</w:t>
      </w:r>
      <w:r>
        <w:rPr>
          <w:rFonts w:eastAsia="Times New Roman"/>
          <w:vanish/>
        </w:rPr>
        <w:t>asTransmissionandMidstreamSegmentMember2020-07-012020-09-300000895728enb:GasDistributionandStorageSegmentMember2020-07-012020-09-300000895728enb:RenewablePowerGenerationSegmentMember2020-07-012020-09-300000895728us-gaap:TransferredAtPointInTimeMemberenb:Li</w:t>
      </w:r>
      <w:r>
        <w:rPr>
          <w:rFonts w:eastAsia="Times New Roman"/>
          <w:vanish/>
        </w:rPr>
        <w:t>quidsPipelinesSegmentMember2021-01-012021-09-300000895728us-gaap:TransferredAtPointInTimeMemberenb:GasTransmissionandMidstreamSegmentMember2021-01-012021-09-300000895728us-gaap:TransferredAtPointInTimeMemberenb:GasDistributionandStorageSegmentMember2021-01</w:t>
      </w:r>
      <w:r>
        <w:rPr>
          <w:rFonts w:eastAsia="Times New Roman"/>
          <w:vanish/>
        </w:rPr>
        <w:t>-012021-09-300000895728us-gaap:TransferredAtPointInTimeMemberenb:RenewablePowerGenerationSegmentMember2021-01-012021-09-300000895728us-gaap:TransferredAtPointInTimeMember2021-01-012021-09-300000895728enb:LiquidsPipelinesSegmentMemberus-gaap:TransferredOver</w:t>
      </w:r>
      <w:r>
        <w:rPr>
          <w:rFonts w:eastAsia="Times New Roman"/>
          <w:vanish/>
        </w:rPr>
        <w:t>TimeMember2021-01-012021-09-300000895728enb:GasTransmissionandMidstreamSegmentMemberus-gaap:TransferredOverTimeMember2021-01-012021-09-300000895728enb:GasDistributionandStorageSegmentMemberus-gaap:TransferredOverTimeMember2021-01-012021-09-300000895728enb:</w:t>
      </w:r>
      <w:r>
        <w:rPr>
          <w:rFonts w:eastAsia="Times New Roman"/>
          <w:vanish/>
        </w:rPr>
        <w:t>RenewablePowerGenerationSegmentMemberus-gaap:TransferredOverTimeMember2021-01-012021-09-300000895728us-gaap:TransferredOverTimeMember2021-01-012021-09-300000895728enb:LiquidsPipelinesSegmentMember2021-01-012021-09-300000895728enb:GasTransmissionandMidstrea</w:t>
      </w:r>
      <w:r>
        <w:rPr>
          <w:rFonts w:eastAsia="Times New Roman"/>
          <w:vanish/>
        </w:rPr>
        <w:t>mSegmentMember2021-01-012021-09-300000895728enb:GasDistributionandStorageSegmentMember2021-01-012021-09-300000895728enb:RenewablePowerGenerationSegmentMember2021-01-012021-09-300000895728us-gaap:TransferredAtPointInTimeMemberenb:LiquidsPipelinesSegmentMemb</w:t>
      </w:r>
      <w:r>
        <w:rPr>
          <w:rFonts w:eastAsia="Times New Roman"/>
          <w:vanish/>
        </w:rPr>
        <w:t>er2020-01-012020-09-300000895728us-gaap:TransferredAtPointInTimeMemberenb:GasTransmissionandMidstreamSegmentMember2020-01-012020-09-300000895728us-gaap:TransferredAtPointInTimeMemberenb:GasDistributionandStorageSegmentMember2020-01-012020-09-300000895728us</w:t>
      </w:r>
      <w:r>
        <w:rPr>
          <w:rFonts w:eastAsia="Times New Roman"/>
          <w:vanish/>
        </w:rPr>
        <w:t>-gaap:TransferredAtPointInTimeMemberenb:RenewablePowerGenerationSegmentMember2020-01-012020-09-300000895728us-gaap:TransferredAtPointInTimeMember2020-01-012020-09-300000895728enb:LiquidsPipelinesSegmentMemberus-gaap:TransferredOverTimeMember2020-01-012020-</w:t>
      </w:r>
      <w:r>
        <w:rPr>
          <w:rFonts w:eastAsia="Times New Roman"/>
          <w:vanish/>
        </w:rPr>
        <w:t>09-300000895728enb:GasTransmissionandMidstreamSegmentMemberus-gaap:TransferredOverTimeMember2020-01-012020-09-300000895728enb:GasDistributionandStorageSegmentMemberus-gaap:TransferredOverTimeMember2020-01-012020-09-300000895728enb:RenewablePowerGenerationS</w:t>
      </w:r>
      <w:r>
        <w:rPr>
          <w:rFonts w:eastAsia="Times New Roman"/>
          <w:vanish/>
        </w:rPr>
        <w:t>egmentMemberus-gaap:TransferredOverTimeMember2020-01-012020-09-300000895728us-gaap:TransferredOverTimeMember2020-01-012020-09-300000895728enb:LiquidsPipelinesSegmentMember2020-01-012020-09-300000895728enb:GasTransmissionandMidstreamSegmentMember2020-01-012</w:t>
      </w:r>
      <w:r>
        <w:rPr>
          <w:rFonts w:eastAsia="Times New Roman"/>
          <w:vanish/>
        </w:rPr>
        <w:t>020-09-300000895728enb:GasDistributionandStorageSegmentMember2020-01-012020-09-300000895728enb:RenewablePowerGenerationSegmentMember2020-01-012020-09-300000895728us-gaap:EmployeeStockOptionMember2021-07-012021-09-300000895728us-gaap:EmployeeStockOptionMemb</w:t>
      </w:r>
      <w:r>
        <w:rPr>
          <w:rFonts w:eastAsia="Times New Roman"/>
          <w:vanish/>
        </w:rPr>
        <w:t>er2020-07-012020-09-300000895728us-gaap:EmployeeStockOptionMember2021-01-012021-09-300000895728us-gaap:EmployeeStockOptionMember2020-01-012020-09-300000895728us-gaap:CommonStockMemberus-gaap:SubsequentEventMember2021-11-032021-11-030000895728us-gaap:Prefer</w:t>
      </w:r>
      <w:r>
        <w:rPr>
          <w:rFonts w:eastAsia="Times New Roman"/>
          <w:vanish/>
        </w:rPr>
        <w:t>redStockMemberus-gaap:SubsequentEventMemberus-gaap:SeriesAPreferredStockMember2021-11-032021-11-030000895728us-gaap:PreferredStockMemberus-gaap:SubsequentEventMemberus-gaap:SeriesBPreferredStockMember2021-11-032021-11-030000895728us-gaap:PreferredStockMemb</w:t>
      </w:r>
      <w:r>
        <w:rPr>
          <w:rFonts w:eastAsia="Times New Roman"/>
          <w:vanish/>
        </w:rPr>
        <w:t>erus-gaap:SubsequentEventMemberus-gaap:SeriesCPreferredStockMember2021-11-032021-11-030000895728us-gaap:PreferredStockMemberus-gaap:SeriesDPreferredStockMemberus-gaap:SubsequentEventMember2021-11-032021-11-030000895728us-gaap:PreferredStockMemberus-gaap:Su</w:t>
      </w:r>
      <w:r>
        <w:rPr>
          <w:rFonts w:eastAsia="Times New Roman"/>
          <w:vanish/>
        </w:rPr>
        <w:t>bsequentEventMemberus-gaap:SeriesFPreferredStockMember2021-11-032021-11-030000895728us-gaap:PreferredStockMemberus-gaap:SeriesHPreferredStockMemberus-gaap:SubsequentEventMember2021-11-032021-11-03iso4217:USDxbrli:shares0000895728us-gaap:PreferredStockMembe</w:t>
      </w:r>
      <w:r>
        <w:rPr>
          <w:rFonts w:eastAsia="Times New Roman"/>
          <w:vanish/>
        </w:rPr>
        <w:t>renb:SeriesJPreferredStockMemberus-gaap:SubsequentEventMember2021-11-032021-11-030000895728us-gaap:PreferredStockMemberus-gaap:SubsequentEventMemberenb:SeriesLPreferredStockMember2021-11-032021-11-030000895728us-gaap:PreferredStockMemberenb:SeriesNPreferre</w:t>
      </w:r>
      <w:r>
        <w:rPr>
          <w:rFonts w:eastAsia="Times New Roman"/>
          <w:vanish/>
        </w:rPr>
        <w:t>dStockMemberus-gaap:SubsequentEventMember2021-11-032021-11-030000895728us-gaap:PreferredStockMemberenb:SeriesPPreferredStockMemberus-gaap:SubsequentEventMember2021-11-032021-11-030000895728us-gaap:PreferredStockMemberenb:SeriesRPreferredStockMemberus-gaap:</w:t>
      </w:r>
      <w:r>
        <w:rPr>
          <w:rFonts w:eastAsia="Times New Roman"/>
          <w:vanish/>
        </w:rPr>
        <w:t>SubsequentEventMember2021-11-032021-11-030000895728us-gaap:PreferredStockMemberenb:Series1PreferredStockMemberus-gaap:SubsequentEventMember2021-11-032021-11-030000895728us-gaap:PreferredStockMemberenb:Series3PreferredStockMemberus-gaap:SubsequentEventMembe</w:t>
      </w:r>
      <w:r>
        <w:rPr>
          <w:rFonts w:eastAsia="Times New Roman"/>
          <w:vanish/>
        </w:rPr>
        <w:t>r2021-11-032021-11-030000895728us-gaap:PreferredStockMemberus-gaap:SubsequentEventMemberenb:Series5PreferredStockMember2021-11-032021-11-030000895728us-gaap:PreferredStockMemberenb:Series7PreferredStockMemberus-gaap:SubsequentEventMember2021-11-032021-11-0</w:t>
      </w:r>
      <w:r>
        <w:rPr>
          <w:rFonts w:eastAsia="Times New Roman"/>
          <w:vanish/>
        </w:rPr>
        <w:t>30000895728us-gaap:PreferredStockMemberenb:Series9PreferredStockMemberus-gaap:SubsequentEventMember2021-11-032021-11-030000895728us-gaap:PreferredStockMemberenb:Series11PreferredStockMemberus-gaap:SubsequentEventMember2021-11-032021-11-030000895728us-gaap:</w:t>
      </w:r>
      <w:r>
        <w:rPr>
          <w:rFonts w:eastAsia="Times New Roman"/>
          <w:vanish/>
        </w:rPr>
        <w:t>PreferredStockMemberenb:Series13PreferredStockMemberus-gaap:SubsequentEventMember2021-11-032021-11-030000895728us-gaap:PreferredStockMemberenb:Series15PreferredStockMemberus-gaap:SubsequentEventMember2021-11-032021-11-030000895728us-gaap:PreferredStockMemb</w:t>
      </w:r>
      <w:r>
        <w:rPr>
          <w:rFonts w:eastAsia="Times New Roman"/>
          <w:vanish/>
        </w:rPr>
        <w:t>erenb:Series17PreferredStockMemberus-gaap:SubsequentEventMember2021-11-032021-11-030000895728us-gaap:PreferredStockMemberenb:PreferenceSharesSeries19Memberus-gaap:SubsequentEventMember2021-11-032021-11-03xbrli:pure00008957282021-03-012021-03-01000089572820</w:t>
      </w:r>
      <w:r>
        <w:rPr>
          <w:rFonts w:eastAsia="Times New Roman"/>
          <w:vanish/>
        </w:rPr>
        <w:t>21-01-012021-02-280000895728us-gaap:PreferredStockMemberus-gaap:SeriesCPreferredStockMember2021-03-012021-03-010000895728us-gaap:PreferredStockMemberus-gaap:SeriesCPreferredStockMember2021-01-012021-02-280000895728us-gaap:PreferredStockMemberus-gaap:Series</w:t>
      </w:r>
      <w:r>
        <w:rPr>
          <w:rFonts w:eastAsia="Times New Roman"/>
          <w:vanish/>
        </w:rPr>
        <w:t>CPreferredStockMember2021-06-012021-06-010000895728us-gaap:PreferredStockMemberus-gaap:SeriesCPreferredStockMember2021-03-012021-05-310000895728us-gaap:PreferredStockMemberus-gaap:SeriesCPreferredStockMember2021-09-012021-09-010000895728us-gaap:PreferredSt</w:t>
      </w:r>
      <w:r>
        <w:rPr>
          <w:rFonts w:eastAsia="Times New Roman"/>
          <w:vanish/>
        </w:rPr>
        <w:t>ockMemberus-gaap:SeriesCPreferredStockMember2021-06-012021-08-310000895728enb:CommittedCreditFacilityMembersrt:ParentCompanyMember2021-09-300000895728enb:EnbridgeUSIncMemberenb:CommittedCreditFacilityMember2021-09-300000895728enb:CommittedCreditFacilityMem</w:t>
      </w:r>
      <w:r>
        <w:rPr>
          <w:rFonts w:eastAsia="Times New Roman"/>
          <w:vanish/>
        </w:rPr>
        <w:t>berenb:EnbridgePipelinesIncMember2021-09-300000895728enb:CommittedCreditFacilityMemberenb:EnbridgeGasInc.Member2021-09-300000895728enb:CommittedCreditFacilityMember2021-09-300000895728enb:UncommittedCreditFacilityMember2021-09-300000895728enb:UncommittedCr</w:t>
      </w:r>
      <w:r>
        <w:rPr>
          <w:rFonts w:eastAsia="Times New Roman"/>
          <w:vanish/>
        </w:rPr>
        <w:t>editFacilityMember2020-12-310000895728enb:CommercialPaperAndCreditFacilityDrawsMember2021-09-300000895728enb:CommercialPaperAndCreditFacilityDrawsMember2020-12-31iso4217:USD0000895728enb:FloatingRateNotesIssuedFebruary2021Membersrt:ParentCompanyMember2021-</w:t>
      </w:r>
      <w:r>
        <w:rPr>
          <w:rFonts w:eastAsia="Times New Roman"/>
          <w:vanish/>
        </w:rPr>
        <w:t>02-280000895728enb:A250SustainabilityLinkedSeniorNotesDueAugust2023Membersrt:ParentCompanyMember2021-06-300000895728enb:A340SeniorNotesDueAugust2051Membersrt:ParentCompanyMember2021-06-300000895728enb:A310SustainabilityLinkedMediumTermNotesDueSeptember2033</w:t>
      </w:r>
      <w:r>
        <w:rPr>
          <w:rFonts w:eastAsia="Times New Roman"/>
          <w:vanish/>
        </w:rPr>
        <w:t>Membersrt:ParentCompanyMember2021-09-300000895728enb:A410MediumTermNotesDueSeptember2051Membersrt:ParentCompanyMember2021-09-300000895728enb:A235MediumTermNotesDueSeptember2031Memberenb:EnbridgeGasInc.Member2021-09-300000895728enb:A320MediumTermNotesDueSep</w:t>
      </w:r>
      <w:r>
        <w:rPr>
          <w:rFonts w:eastAsia="Times New Roman"/>
          <w:vanish/>
        </w:rPr>
        <w:t>tember2051Memberenb:EnbridgeGasInc.Member2021-09-300000895728enb:A282MediumTermNotesDueMay2031Memberenb:EnbridgePipelinesIncMember2021-05-310000895728enb:A420MediumTermNotesDueMay2051Memberenb:EnbridgePipelinesIncMember2021-05-310000895728enb:SpectraEnergy</w:t>
      </w:r>
      <w:r>
        <w:rPr>
          <w:rFonts w:eastAsia="Times New Roman"/>
          <w:vanish/>
        </w:rPr>
        <w:t>PartnersLPMemberenb:A250SeniorNotesDueSeptember2031Member2021-09-300000895728us-gaap:SeniorNotesMemberus-gaap:SubsequentEventMember2021-10-040000895728enb:A0552YearSeniorNotesMemberus-gaap:SeniorNotesMemberus-gaap:SubsequentEventMember2021-10-040000895728e</w:t>
      </w:r>
      <w:r>
        <w:rPr>
          <w:rFonts w:eastAsia="Times New Roman"/>
          <w:vanish/>
        </w:rPr>
        <w:t>nb:A426MediumTermNotesMembersrt:ParentCompanyMember2021-02-012021-02-280000895728enb:A316MediumTermNotesMembersrt:ParentCompanyMember2021-03-012021-03-310000895728enb:A420SeniorNotesMemberenb:EnbridgeEnergyPartnersLpMember2021-06-012021-06-300000895728enb:</w:t>
      </w:r>
      <w:r>
        <w:rPr>
          <w:rFonts w:eastAsia="Times New Roman"/>
          <w:vanish/>
        </w:rPr>
        <w:t>A276MediumTermNotesMemberenb:EnbridgeGasInc.Member2021-05-012021-05-310000895728enb:A3.98SeniorNotesDue2040Memberenb:EnbridgePipelinesSouthernLightsLLCMember2021-06-012021-06-300000895728enb:A4.01SeniorNotesDue2040Memberenb:EnbridgeSouthernLightsLPMember20</w:t>
      </w:r>
      <w:r>
        <w:rPr>
          <w:rFonts w:eastAsia="Times New Roman"/>
          <w:vanish/>
        </w:rPr>
        <w:t>21-06-012021-06-300000895728enb:SpectraEnergyPartnersLPMemberenb:A460SeniorNotesMember2021-03-012021-03-310000895728us-gaap:SubordinatedDebtMemberenb:FixedToFloatingSubordinatedTermNotesMember2021-09-300000895728enb:FixedToFixedSubordinatedTermNotesMemberu</w:t>
      </w:r>
      <w:r>
        <w:rPr>
          <w:rFonts w:eastAsia="Times New Roman"/>
          <w:vanish/>
        </w:rPr>
        <w:t>s-gaap:SubordinatedDebtMember2020-12-310000895728us-gaap:RevolvingCreditFacilityMemberenb:SustainabilityLinkedCreditFacilityMember2021-02-102021-02-100000895728us-gaap:RevolvingCreditFacilityMemberenb:SustainabilityLinkedCreditFacilityMember2021-02-1000008</w:t>
      </w:r>
      <w:r>
        <w:rPr>
          <w:rFonts w:eastAsia="Times New Roman"/>
          <w:vanish/>
        </w:rPr>
        <w:t>95728us-gaap:RevolvingCreditFacilityMemberenb:SyndicatedCreditFacilityMember2021-02-102021-02-100000895728us-gaap:RevolvingCreditFacilityMemberenb:SyndicatedCreditFacilityMember2021-02-10enb:debt_instrument0000895728enb:TermLoanMember2021-02-250000895728en</w:t>
      </w:r>
      <w:r>
        <w:rPr>
          <w:rFonts w:eastAsia="Times New Roman"/>
          <w:vanish/>
        </w:rPr>
        <w:t>b:TermLoanMember2021-02-252021-02-250000895728us-gaap:RevolvingCreditFacilityMemberenb:FiveYearCreditFacilitiesMember2021-07-230000895728us-gaap:RevolvingCreditFacilityMemberenb:FiveYearCreditFacilitiesMember2021-07-222021-07-230000895728us-gaap:RevolvingC</w:t>
      </w:r>
      <w:r>
        <w:rPr>
          <w:rFonts w:eastAsia="Times New Roman"/>
          <w:vanish/>
        </w:rPr>
        <w:t>reditFacilityMemberenb:A364DayExtendibleCreditFacilitiesMember2021-07-230000895728us-gaap:RevolvingCreditFacilityMemberenb:A364DayExtendibleCreditFacilitiesMember2021-07-222021-07-230000895728enb:CommittedCreditFacilityMembersrt:ParentCompanyMember2021-01-</w:t>
      </w:r>
      <w:r>
        <w:rPr>
          <w:rFonts w:eastAsia="Times New Roman"/>
          <w:vanish/>
        </w:rPr>
        <w:t>012021-09-300000895728enb:CommittedCreditFacilityMemberenb:EnbridgePipelinesIncMember2021-01-012021-09-300000895728enb:EnbridgeUSIncMemberenb:CommittedCreditFacilityMember2021-01-012021-09-300000895728enb:CommittedCreditFacilityMemberenb:EnbridgeGasInc.Mem</w:t>
      </w:r>
      <w:r>
        <w:rPr>
          <w:rFonts w:eastAsia="Times New Roman"/>
          <w:vanish/>
        </w:rPr>
        <w:t>ber2021-01-012021-09-300000895728enb:FloatingRateNotesIssuedFebruary2021Membersrt:ParentCompanyMember2021-02-012021-02-280000895728us-gaap:SecuredOvernightFinancingRateSofrOvernightIndexSwapRateMemberenb:FloatingRateNotesIssuedFebruary2021Membersrt:ParentC</w:t>
      </w:r>
      <w:r>
        <w:rPr>
          <w:rFonts w:eastAsia="Times New Roman"/>
          <w:vanish/>
        </w:rPr>
        <w:t>ompanyMember2021-02-012021-02-28enb:Tranche0000895728enb:A0552YearSeniorNotesMemberus-gaap:SeniorNotesMemberus-gaap:SubsequentEventMember2021-10-042021-10-040000895728enb:A1605YearSeniorNotesMemberus-gaap:SeniorNotesMemberus-gaap:SubsequentEventMember2021-</w:t>
      </w:r>
      <w:r>
        <w:rPr>
          <w:rFonts w:eastAsia="Times New Roman"/>
          <w:vanish/>
        </w:rPr>
        <w:t>10-040000895728enb:A1605YearSeniorNotesMemberus-gaap:SeniorNotesMemberus-gaap:SubsequentEventMember2021-10-042021-10-040000895728us-gaap:SeniorNotesMemberenb:A340SeniorNotesDueAugust2051Memberus-gaap:SubsequentEventMember2021-10-040000895728enb:A426MediumT</w:t>
      </w:r>
      <w:r>
        <w:rPr>
          <w:rFonts w:eastAsia="Times New Roman"/>
          <w:vanish/>
        </w:rPr>
        <w:t>ermNotesMembersrt:ParentCompanyMember2021-02-280000895728enb:A316MediumTermNotesMembersrt:ParentCompanyMember2021-03-310000895728enb:A420SeniorNotesMemberenb:EnbridgeEnergyPartnersLpMember2021-06-300000895728enb:A276MediumTermNotesMemberenb:EnbridgeGasInc.</w:t>
      </w:r>
      <w:r>
        <w:rPr>
          <w:rFonts w:eastAsia="Times New Roman"/>
          <w:vanish/>
        </w:rPr>
        <w:t>Member2021-05-310000895728enb:A3.98SeniorNotesDue2040Memberenb:EnbridgePipelinesSouthernLightsLLCMember2021-06-300000895728enb:A4.01SeniorNotesDue2040Memberenb:EnbridgeSouthernLightsLPMember2021-06-300000895728enb:SpectraEnergyPartnersLPMemberenb:A460Senio</w:t>
      </w:r>
      <w:r>
        <w:rPr>
          <w:rFonts w:eastAsia="Times New Roman"/>
          <w:vanish/>
        </w:rPr>
        <w:t>rNotesMember2021-03-310000895728us-gaap:AccumulatedGainLossCashFlowHedgeIncludingNoncontrollingInterestMember2020-12-310000895728us-gaap:AccumulatedOtherComprehensiveIncomeLossDerivativeQualifyingAsHedgeExcludedComponentIncludingPortionAttributableToNoncon</w:t>
      </w:r>
      <w:r>
        <w:rPr>
          <w:rFonts w:eastAsia="Times New Roman"/>
          <w:vanish/>
        </w:rPr>
        <w:t>trollingInterestMember2020-12-310000895728enb:AccumulatedNetGainLossNetInvestmentHedgeIncludingNoncontollingInterestMemberMember2020-12-310000895728us-gaap:AccumulatedForeignCurrencyAdjustmentIncludingPortionAttributableToNoncontrollingInterestMember2020-1</w:t>
      </w:r>
      <w:r>
        <w:rPr>
          <w:rFonts w:eastAsia="Times New Roman"/>
          <w:vanish/>
        </w:rPr>
        <w:t>2-310000895728us-gaap:AccumulatedNetInvestmentGainLossIncludingPortionAttributableToNoncontrollingInterestMember2020-12-310000895728us-gaap:AccumulatedDefinedBenefitPlansAdjustmentIncludingPortionAttributableToNoncontrollingInterestMember2020-12-3100008957</w:t>
      </w:r>
      <w:r>
        <w:rPr>
          <w:rFonts w:eastAsia="Times New Roman"/>
          <w:vanish/>
        </w:rPr>
        <w:t>28us-gaap:AociIncludingPortionAttributableToNoncontrollingInterestMember2020-12-310000895728us-gaap:AccumulatedGainLossCashFlowHedgeIncludingNoncontrollingInterestMember2021-01-012021-09-300000895728us-gaap:AccumulatedOtherComprehensiveIncomeLossDerivative</w:t>
      </w:r>
      <w:r>
        <w:rPr>
          <w:rFonts w:eastAsia="Times New Roman"/>
          <w:vanish/>
        </w:rPr>
        <w:t>QualifyingAsHedgeExcludedComponentIncludingPortionAttributableToNoncontrollingInterestMember2021-01-012021-09-300000895728enb:AccumulatedNetGainLossNetInvestmentHedgeIncludingNoncontollingInterestMemberMember2021-01-012021-09-300000895728us-gaap:Accumulate</w:t>
      </w:r>
      <w:r>
        <w:rPr>
          <w:rFonts w:eastAsia="Times New Roman"/>
          <w:vanish/>
        </w:rPr>
        <w:t>dForeignCurrencyAdjustmentIncludingPortionAttributableToNoncontrollingInterestMember2021-01-012021-09-300000895728us-gaap:AccumulatedNetInvestmentGainLossIncludingPortionAttributableToNoncontrollingInterestMember2021-01-012021-09-300000895728us-gaap:Intere</w:t>
      </w:r>
      <w:r>
        <w:rPr>
          <w:rFonts w:eastAsia="Times New Roman"/>
          <w:vanish/>
        </w:rPr>
        <w:t>stRateContractMemberus-gaap:AccumulatedGainLossCashFlowHedgeIncludingNoncontrollingInterestMember2021-01-012021-09-300000895728us-gaap:InterestRateContractMember2021-01-012021-09-300000895728us-gaap:CommodityContractMemberus-gaap:AccumulatedGainLossCashFlo</w:t>
      </w:r>
      <w:r>
        <w:rPr>
          <w:rFonts w:eastAsia="Times New Roman"/>
          <w:vanish/>
        </w:rPr>
        <w:t>wHedgeIncludingNoncontrollingInterestMember2021-01-012021-09-300000895728us-gaap:CommodityContractMember2021-01-012021-09-300000895728us-gaap:ForeignExchangeContractMemberus-gaap:AccumulatedGainLossCashFlowHedgeIncludingNoncontrollingInterestMember2021-01-</w:t>
      </w:r>
      <w:r>
        <w:rPr>
          <w:rFonts w:eastAsia="Times New Roman"/>
          <w:vanish/>
        </w:rPr>
        <w:t>012021-09-300000895728us-gaap:ForeignExchangeContractMember2021-01-012021-09-300000895728us-gaap:OtherContractMemberus-gaap:AccumulatedGainLossCashFlowHedgeIncludingNoncontrollingInterestMember2021-01-012021-09-300000895728us-gaap:OtherContractMember2021-0</w:t>
      </w:r>
      <w:r>
        <w:rPr>
          <w:rFonts w:eastAsia="Times New Roman"/>
          <w:vanish/>
        </w:rPr>
        <w:t>1-012021-09-300000895728us-gaap:AccumulatedDefinedBenefitPlansAdjustmentIncludingPortionAttributableToNoncontrollingInterestMember2021-01-012021-09-300000895728us-gaap:AccumulatedGainLossCashFlowHedgeIncludingNoncontrollingInterestMember2021-09-30000089572</w:t>
      </w:r>
      <w:r>
        <w:rPr>
          <w:rFonts w:eastAsia="Times New Roman"/>
          <w:vanish/>
        </w:rPr>
        <w:t>8us-gaap:AccumulatedOtherComprehensiveIncomeLossDerivativeQualifyingAsHedgeExcludedComponentIncludingPortionAttributableToNoncontrollingInterestMember2021-09-300000895728enb:AccumulatedNetGainLossNetInvestmentHedgeIncludingNoncontollingInterestMemberMember</w:t>
      </w:r>
      <w:r>
        <w:rPr>
          <w:rFonts w:eastAsia="Times New Roman"/>
          <w:vanish/>
        </w:rPr>
        <w:t>2021-09-300000895728us-gaap:AccumulatedForeignCurrencyAdjustmentIncludingPortionAttributableToNoncontrollingInterestMember2021-09-300000895728us-gaap:AccumulatedNetInvestmentGainLossIncludingPortionAttributableToNoncontrollingInterestMember2021-09-30000089</w:t>
      </w:r>
      <w:r>
        <w:rPr>
          <w:rFonts w:eastAsia="Times New Roman"/>
          <w:vanish/>
        </w:rPr>
        <w:t>5728us-gaap:AccumulatedDefinedBenefitPlansAdjustmentIncludingPortionAttributableToNoncontrollingInterestMember2021-09-300000895728us-gaap:AociIncludingPortionAttributableToNoncontrollingInterestMember2021-09-300000895728us-gaap:AccumulatedGainLossCashFlowH</w:t>
      </w:r>
      <w:r>
        <w:rPr>
          <w:rFonts w:eastAsia="Times New Roman"/>
          <w:vanish/>
        </w:rPr>
        <w:t>edgeIncludingNoncontrollingInterestMember2019-12-310000895728us-gaap:AccumulatedOtherComprehensiveIncomeLossDerivativeQualifyingAsHedgeExcludedComponentIncludingPortionAttributableToNoncontrollingInterestMember2019-12-310000895728enb:AccumulatedNetGainLoss</w:t>
      </w:r>
      <w:r>
        <w:rPr>
          <w:rFonts w:eastAsia="Times New Roman"/>
          <w:vanish/>
        </w:rPr>
        <w:t>NetInvestmentHedgeIncludingNoncontollingInterestMemberMember2019-12-310000895728us-gaap:AccumulatedForeignCurrencyAdjustmentIncludingPortionAttributableToNoncontrollingInterestMember2019-12-310000895728us-gaap:AccumulatedNetInvestmentGainLossIncludingPorti</w:t>
      </w:r>
      <w:r>
        <w:rPr>
          <w:rFonts w:eastAsia="Times New Roman"/>
          <w:vanish/>
        </w:rPr>
        <w:t>onAttributableToNoncontrollingInterestMember2019-12-310000895728us-gaap:AccumulatedDefinedBenefitPlansAdjustmentIncludingPortionAttributableToNoncontrollingInterestMember2019-12-310000895728us-gaap:AociIncludingPortionAttributableToNoncontrollingInterestMe</w:t>
      </w:r>
      <w:r>
        <w:rPr>
          <w:rFonts w:eastAsia="Times New Roman"/>
          <w:vanish/>
        </w:rPr>
        <w:t>mber2019-12-310000895728us-gaap:AccumulatedGainLossCashFlowHedgeIncludingNoncontrollingInterestMember2020-01-012020-09-300000895728us-gaap:AccumulatedOtherComprehensiveIncomeLossDerivativeQualifyingAsHedgeExcludedComponentIncludingPortionAttributableToNonc</w:t>
      </w:r>
      <w:r>
        <w:rPr>
          <w:rFonts w:eastAsia="Times New Roman"/>
          <w:vanish/>
        </w:rPr>
        <w:t>ontrollingInterestMember2020-01-012020-09-300000895728enb:AccumulatedNetGainLossNetInvestmentHedgeIncludingNoncontollingInterestMemberMember2020-01-012020-09-300000895728us-gaap:AccumulatedForeignCurrencyAdjustmentIncludingPortionAttributableToNoncontrolli</w:t>
      </w:r>
      <w:r>
        <w:rPr>
          <w:rFonts w:eastAsia="Times New Roman"/>
          <w:vanish/>
        </w:rPr>
        <w:t>ngInterestMember2020-01-012020-09-300000895728us-gaap:AccumulatedNetInvestmentGainLossIncludingPortionAttributableToNoncontrollingInterestMember2020-01-012020-09-300000895728us-gaap:InterestRateContractMemberus-gaap:AccumulatedGainLossCashFlowHedgeIncludin</w:t>
      </w:r>
      <w:r>
        <w:rPr>
          <w:rFonts w:eastAsia="Times New Roman"/>
          <w:vanish/>
        </w:rPr>
        <w:t>gNoncontrollingInterestMember2020-01-012020-09-300000895728us-gaap:InterestRateContractMember2020-01-012020-09-300000895728us-gaap:CommodityContractMemberus-gaap:AccumulatedGainLossCashFlowHedgeIncludingNoncontrollingInterestMember2020-01-012020-09-3000008</w:t>
      </w:r>
      <w:r>
        <w:rPr>
          <w:rFonts w:eastAsia="Times New Roman"/>
          <w:vanish/>
        </w:rPr>
        <w:t>95728us-gaap:CommodityContractMember2020-01-012020-09-300000895728us-gaap:ForeignExchangeContractMemberus-gaap:AccumulatedGainLossCashFlowHedgeIncludingNoncontrollingInterestMember2020-01-012020-09-300000895728us-gaap:ForeignExchangeContractMember2020-01-0</w:t>
      </w:r>
      <w:r>
        <w:rPr>
          <w:rFonts w:eastAsia="Times New Roman"/>
          <w:vanish/>
        </w:rPr>
        <w:t>12020-09-300000895728us-gaap:OtherContractMemberus-gaap:AccumulatedGainLossCashFlowHedgeIncludingNoncontrollingInterestMember2020-01-012020-09-300000895728us-gaap:OtherContractMember2020-01-012020-09-300000895728us-gaap:AccumulatedDefinedBenefitPlansAdjust</w:t>
      </w:r>
      <w:r>
        <w:rPr>
          <w:rFonts w:eastAsia="Times New Roman"/>
          <w:vanish/>
        </w:rPr>
        <w:t>mentIncludingPortionAttributableToNoncontrollingInterestMember2020-01-012020-09-300000895728us-gaap:AccumulatedGainLossCashFlowHedgeIncludingNoncontrollingInterestMember2020-09-300000895728us-gaap:AccumulatedOtherComprehensiveIncomeLossDerivativeQualifying</w:t>
      </w:r>
      <w:r>
        <w:rPr>
          <w:rFonts w:eastAsia="Times New Roman"/>
          <w:vanish/>
        </w:rPr>
        <w:t>AsHedgeExcludedComponentIncludingPortionAttributableToNoncontrollingInterestMember2020-09-300000895728enb:AccumulatedNetGainLossNetInvestmentHedgeIncludingNoncontollingInterestMemberMember2020-09-300000895728us-gaap:AccumulatedForeignCurrencyAdjustmentIncl</w:t>
      </w:r>
      <w:r>
        <w:rPr>
          <w:rFonts w:eastAsia="Times New Roman"/>
          <w:vanish/>
        </w:rPr>
        <w:t>udingPortionAttributableToNoncontrollingInterestMember2020-09-300000895728us-gaap:AccumulatedNetInvestmentGainLossIncludingPortionAttributableToNoncontrollingInterestMember2020-09-300000895728us-gaap:AccumulatedDefinedBenefitPlansAdjustmentIncludingPortion</w:t>
      </w:r>
      <w:r>
        <w:rPr>
          <w:rFonts w:eastAsia="Times New Roman"/>
          <w:vanish/>
        </w:rPr>
        <w:t>AttributableToNoncontrollingInterestMember2020-09-300000895728us-gaap:AociIncludingPortionAttributableToNoncontrollingInterestMember2020-09-300000895728enb:PennEastPipelineCompanyLLCMember2021-09-300000895728enb:PennEastPipelineCompanyLLCMember2021-07-0120</w:t>
      </w:r>
      <w:r>
        <w:rPr>
          <w:rFonts w:eastAsia="Times New Roman"/>
          <w:vanish/>
        </w:rPr>
        <w:t>21-09-300000895728enb:PennEastPipelineCompanyLLCMember2021-01-012021-09-300000895728enb:PennEastPipelineCompanyLLCMember2020-12-310000895728enb:SteckmanRidgeLPMember2021-09-300000895728enb:SteckmanRidgeLPMember2020-07-012020-09-300000895728enb:SteckmanRidg</w:t>
      </w:r>
      <w:r>
        <w:rPr>
          <w:rFonts w:eastAsia="Times New Roman"/>
          <w:vanish/>
        </w:rPr>
        <w:t>eLPMember2020-01-012020-09-300000895728enb:SteckmanRidgeLPMember2020-12-310000895728enb:SoutheastSupplyHeaderLLCMember2021-09-300000895728enb:SoutheastSupplyHeaderLLCMember2020-07-012020-09-300000895728enb:SoutheastSupplyHeaderLLCMember2020-01-012020-09-30</w:t>
      </w:r>
      <w:r>
        <w:rPr>
          <w:rFonts w:eastAsia="Times New Roman"/>
          <w:vanish/>
        </w:rPr>
        <w:t>0000895728enb:SoutheastSupplyHeaderLLCMember2020-12-310000895728enb:DCPMidstreamLLCMember2021-09-300000895728enb:DCPMidstreamLLCMember2020-01-012020-09-300000895728enb:DCPMidstreamLLCMember2020-12-310000895728enb:InterestRateContractForShortTermBorrowingsM</w:t>
      </w:r>
      <w:r>
        <w:rPr>
          <w:rFonts w:eastAsia="Times New Roman"/>
          <w:vanish/>
        </w:rPr>
        <w:t>ember2021-09-300000895728enb:ShortTermPayFixedReceiveFloatingInterestRateSwapsMember2021-09-30enb:equity_type0000895728us-gaap:EquityContractMember2021-01-012021-09-300000895728us-gaap:CashFlowHedgingMemberus-gaap:ForeignExchangeContractMemberenb:AccountsR</w:t>
      </w:r>
      <w:r>
        <w:rPr>
          <w:rFonts w:eastAsia="Times New Roman"/>
          <w:vanish/>
        </w:rPr>
        <w:t>eceivableAndOtherMemberus-gaap:DesignatedAsHedgingInstrumentMember2021-09-300000895728us-gaap:ForeignExchangeContractMemberenb:AccountsReceivableAndOtherMemberus-gaap:DesignatedAsHedgingInstrumentMemberus-gaap:NetInvestmentHedgingMember2021-09-300000895728</w:t>
      </w:r>
      <w:r>
        <w:rPr>
          <w:rFonts w:eastAsia="Times New Roman"/>
          <w:vanish/>
        </w:rPr>
        <w:t>us-gaap:FairValueHedgingMemberus-gaap:ForeignExchangeContractMemberenb:AccountsReceivableAndOtherMemberus-gaap:DesignatedAsHedgingInstrumentMember2021-09-300000895728us-gaap:NondesignatedMemberus-gaap:ForeignExchangeContractMemberenb:AccountsReceivableAndO</w:t>
      </w:r>
      <w:r>
        <w:rPr>
          <w:rFonts w:eastAsia="Times New Roman"/>
          <w:vanish/>
        </w:rPr>
        <w:t>therMember2021-09-300000895728us-gaap:ForeignExchangeContractMemberenb:AccountsReceivableAndOtherMember2021-09-300000895728us-gaap:CashFlowHedgingMemberus-gaap:CommodityContractMemberenb:AccountsReceivableAndOtherMemberus-gaap:DesignatedAsHedgingInstrument</w:t>
      </w:r>
      <w:r>
        <w:rPr>
          <w:rFonts w:eastAsia="Times New Roman"/>
          <w:vanish/>
        </w:rPr>
        <w:t>Member2021-09-300000895728us-gaap:CommodityContractMemberenb:AccountsReceivableAndOtherMemberus-gaap:DesignatedAsHedgingInstrumentMemberus-gaap:NetInvestmentHedgingMember2021-09-300000895728us-gaap:CommodityContractMemberus-gaap:FairValueHedgingMemberenb:A</w:t>
      </w:r>
      <w:r>
        <w:rPr>
          <w:rFonts w:eastAsia="Times New Roman"/>
          <w:vanish/>
        </w:rPr>
        <w:t>ccountsReceivableAndOtherMemberus-gaap:DesignatedAsHedgingInstrumentMember2021-09-300000895728us-gaap:CommodityContractMemberus-gaap:NondesignatedMemberenb:AccountsReceivableAndOtherMember2021-09-300000895728us-gaap:CommodityContractMemberenb:AccountsRecei</w:t>
      </w:r>
      <w:r>
        <w:rPr>
          <w:rFonts w:eastAsia="Times New Roman"/>
          <w:vanish/>
        </w:rPr>
        <w:t>vableAndOtherMember2021-09-300000895728us-gaap:CashFlowHedgingMemberus-gaap:OtherContractMemberenb:AccountsReceivableAndOtherMemberus-gaap:DesignatedAsHedgingInstrumentMember2021-09-300000895728us-gaap:OtherContractMemberenb:AccountsReceivableAndOtherMembe</w:t>
      </w:r>
      <w:r>
        <w:rPr>
          <w:rFonts w:eastAsia="Times New Roman"/>
          <w:vanish/>
        </w:rPr>
        <w:t>rus-gaap:DesignatedAsHedgingInstrumentMemberus-gaap:NetInvestmentHedgingMember2021-09-300000895728us-gaap:FairValueHedgingMemberus-gaap:OtherContractMemberenb:AccountsReceivableAndOtherMemberus-gaap:DesignatedAsHedgingInstrumentMember2021-09-300000895728us</w:t>
      </w:r>
      <w:r>
        <w:rPr>
          <w:rFonts w:eastAsia="Times New Roman"/>
          <w:vanish/>
        </w:rPr>
        <w:t>-gaap:NondesignatedMemberus-gaap:OtherContractMemberenb:AccountsReceivableAndOtherMember2021-09-300000895728us-gaap:OtherContractMemberenb:AccountsReceivableAndOtherMember2021-09-300000895728us-gaap:CashFlowHedgingMemberenb:AccountsReceivableAndOtherMember</w:t>
      </w:r>
      <w:r>
        <w:rPr>
          <w:rFonts w:eastAsia="Times New Roman"/>
          <w:vanish/>
        </w:rPr>
        <w:t>us-gaap:DesignatedAsHedgingInstrumentMember2021-09-300000895728enb:AccountsReceivableAndOtherMemberus-gaap:DesignatedAsHedgingInstrumentMemberus-gaap:NetInvestmentHedgingMember2021-09-300000895728us-gaap:FairValueHedgingMemberenb:AccountsReceivableAndOther</w:t>
      </w:r>
      <w:r>
        <w:rPr>
          <w:rFonts w:eastAsia="Times New Roman"/>
          <w:vanish/>
        </w:rPr>
        <w:t>Memberus-gaap:DesignatedAsHedgingInstrumentMember2021-09-300000895728us-gaap:NondesignatedMemberenb:AccountsReceivableAndOtherMember2021-09-300000895728enb:AccountsReceivableAndOtherMember2021-09-300000895728us-gaap:CashFlowHedgingMemberus-gaap:ForeignExch</w:t>
      </w:r>
      <w:r>
        <w:rPr>
          <w:rFonts w:eastAsia="Times New Roman"/>
          <w:vanish/>
        </w:rPr>
        <w:t>angeContractMemberenb:DeferredAmountsAndOtherMemberus-gaap:DesignatedAsHedgingInstrumentMember2021-09-300000895728us-gaap:ForeignExchangeContractMemberenb:DeferredAmountsAndOtherMemberus-gaap:DesignatedAsHedgingInstrumentMemberus-gaap:NetInvestmentHedgingM</w:t>
      </w:r>
      <w:r>
        <w:rPr>
          <w:rFonts w:eastAsia="Times New Roman"/>
          <w:vanish/>
        </w:rPr>
        <w:t>ember2021-09-300000895728us-gaap:FairValueHedgingMemberus-gaap:ForeignExchangeContractMemberenb:DeferredAmountsAndOtherMemberus-gaap:DesignatedAsHedgingInstrumentMember2021-09-300000895728us-gaap:NondesignatedMemberus-gaap:ForeignExchangeContractMemberenb:</w:t>
      </w:r>
      <w:r>
        <w:rPr>
          <w:rFonts w:eastAsia="Times New Roman"/>
          <w:vanish/>
        </w:rPr>
        <w:t>DeferredAmountsAndOtherMember2021-09-300000895728us-gaap:ForeignExchangeContractMemberenb:DeferredAmountsAndOtherMember2021-09-300000895728us-gaap:CashFlowHedgingMemberus-gaap:InterestRateContractMemberenb:DeferredAmountsAndOtherMemberus-gaap:DesignatedAsH</w:t>
      </w:r>
      <w:r>
        <w:rPr>
          <w:rFonts w:eastAsia="Times New Roman"/>
          <w:vanish/>
        </w:rPr>
        <w:t>edgingInstrumentMember2021-09-300000895728us-gaap:InterestRateContractMemberenb:DeferredAmountsAndOtherMemberus-gaap:DesignatedAsHedgingInstrumentMemberus-gaap:NetInvestmentHedgingMember2021-09-300000895728us-gaap:FairValueHedgingMemberus-gaap:InterestRate</w:t>
      </w:r>
      <w:r>
        <w:rPr>
          <w:rFonts w:eastAsia="Times New Roman"/>
          <w:vanish/>
        </w:rPr>
        <w:t>ContractMemberenb:DeferredAmountsAndOtherMemberus-gaap:DesignatedAsHedgingInstrumentMember2021-09-300000895728us-gaap:InterestRateContractMemberus-gaap:NondesignatedMemberenb:DeferredAmountsAndOtherMember2021-09-300000895728us-gaap:InterestRateContractMemb</w:t>
      </w:r>
      <w:r>
        <w:rPr>
          <w:rFonts w:eastAsia="Times New Roman"/>
          <w:vanish/>
        </w:rPr>
        <w:t>erenb:DeferredAmountsAndOtherMember2021-09-300000895728us-gaap:CashFlowHedgingMemberus-gaap:CommodityContractMemberenb:DeferredAmountsAndOtherMemberus-gaap:DesignatedAsHedgingInstrumentMember2021-09-300000895728us-gaap:CommodityContractMemberenb:DeferredAm</w:t>
      </w:r>
      <w:r>
        <w:rPr>
          <w:rFonts w:eastAsia="Times New Roman"/>
          <w:vanish/>
        </w:rPr>
        <w:t>ountsAndOtherMemberus-gaap:DesignatedAsHedgingInstrumentMemberus-gaap:NetInvestmentHedgingMember2021-09-300000895728us-gaap:CommodityContractMemberus-gaap:FairValueHedgingMemberenb:DeferredAmountsAndOtherMemberus-gaap:DesignatedAsHedgingInstrumentMember202</w:t>
      </w:r>
      <w:r>
        <w:rPr>
          <w:rFonts w:eastAsia="Times New Roman"/>
          <w:vanish/>
        </w:rPr>
        <w:t>1-09-300000895728us-gaap:CommodityContractMemberus-gaap:NondesignatedMemberenb:DeferredAmountsAndOtherMember2021-09-300000895728us-gaap:CommodityContractMemberenb:DeferredAmountsAndOtherMember2021-09-300000895728us-gaap:CashFlowHedgingMemberus-gaap:OtherCo</w:t>
      </w:r>
      <w:r>
        <w:rPr>
          <w:rFonts w:eastAsia="Times New Roman"/>
          <w:vanish/>
        </w:rPr>
        <w:t>ntractMemberenb:DeferredAmountsAndOtherMemberus-gaap:DesignatedAsHedgingInstrumentMember2021-09-300000895728us-gaap:OtherContractMemberenb:DeferredAmountsAndOtherMemberus-gaap:DesignatedAsHedgingInstrumentMemberus-gaap:NetInvestmentHedgingMember2021-09-300</w:t>
      </w:r>
      <w:r>
        <w:rPr>
          <w:rFonts w:eastAsia="Times New Roman"/>
          <w:vanish/>
        </w:rPr>
        <w:t>000895728us-gaap:FairValueHedgingMemberus-gaap:OtherContractMemberenb:DeferredAmountsAndOtherMemberus-gaap:DesignatedAsHedgingInstrumentMember2021-09-300000895728us-gaap:NondesignatedMemberus-gaap:OtherContractMemberenb:DeferredAmountsAndOtherMember2021-09</w:t>
      </w:r>
      <w:r>
        <w:rPr>
          <w:rFonts w:eastAsia="Times New Roman"/>
          <w:vanish/>
        </w:rPr>
        <w:t>-300000895728us-gaap:OtherContractMemberenb:DeferredAmountsAndOtherMember2021-09-300000895728us-gaap:CashFlowHedgingMemberenb:DeferredAmountsAndOtherMemberus-gaap:DesignatedAsHedgingInstrumentMember2021-09-300000895728enb:DeferredAmountsAndOtherMemberus-ga</w:t>
      </w:r>
      <w:r>
        <w:rPr>
          <w:rFonts w:eastAsia="Times New Roman"/>
          <w:vanish/>
        </w:rPr>
        <w:t>ap:DesignatedAsHedgingInstrumentMemberus-gaap:NetInvestmentHedgingMember2021-09-300000895728us-gaap:FairValueHedgingMemberenb:DeferredAmountsAndOtherMemberus-gaap:DesignatedAsHedgingInstrumentMember2021-09-300000895728us-gaap:NondesignatedMemberenb:Deferre</w:t>
      </w:r>
      <w:r>
        <w:rPr>
          <w:rFonts w:eastAsia="Times New Roman"/>
          <w:vanish/>
        </w:rPr>
        <w:t>dAmountsAndOtherMember2021-09-300000895728enb:DeferredAmountsAndOtherMember2021-09-300000895728us-gaap:CashFlowHedgingMemberus-gaap:ForeignExchangeContractMemberenb:AccountsPayableAndOtherMemberus-gaap:DesignatedAsHedgingInstrumentMember2021-09-30000089572</w:t>
      </w:r>
      <w:r>
        <w:rPr>
          <w:rFonts w:eastAsia="Times New Roman"/>
          <w:vanish/>
        </w:rPr>
        <w:t>8us-gaap:ForeignExchangeContractMemberenb:AccountsPayableAndOtherMemberus-gaap:DesignatedAsHedgingInstrumentMemberus-gaap:NetInvestmentHedgingMember2021-09-300000895728us-gaap:FairValueHedgingMemberus-gaap:ForeignExchangeContractMemberenb:AccountsPayableAn</w:t>
      </w:r>
      <w:r>
        <w:rPr>
          <w:rFonts w:eastAsia="Times New Roman"/>
          <w:vanish/>
        </w:rPr>
        <w:t>dOtherMemberus-gaap:DesignatedAsHedgingInstrumentMember2021-09-300000895728us-gaap:NondesignatedMemberus-gaap:ForeignExchangeContractMemberenb:AccountsPayableAndOtherMember2021-09-300000895728us-gaap:ForeignExchangeContractMemberenb:AccountsPayableAndOther</w:t>
      </w:r>
      <w:r>
        <w:rPr>
          <w:rFonts w:eastAsia="Times New Roman"/>
          <w:vanish/>
        </w:rPr>
        <w:t>Member2021-09-300000895728us-gaap:CashFlowHedgingMemberus-gaap:InterestRateContractMemberenb:AccountsPayableAndOtherMemberus-gaap:DesignatedAsHedgingInstrumentMember2021-09-300000895728us-gaap:InterestRateContractMemberenb:AccountsPayableAndOtherMemberus-g</w:t>
      </w:r>
      <w:r>
        <w:rPr>
          <w:rFonts w:eastAsia="Times New Roman"/>
          <w:vanish/>
        </w:rPr>
        <w:t>aap:DesignatedAsHedgingInstrumentMemberus-gaap:NetInvestmentHedgingMember2021-09-300000895728us-gaap:FairValueHedgingMemberus-gaap:InterestRateContractMemberenb:AccountsPayableAndOtherMemberus-gaap:DesignatedAsHedgingInstrumentMember2021-09-300000895728us-</w:t>
      </w:r>
      <w:r>
        <w:rPr>
          <w:rFonts w:eastAsia="Times New Roman"/>
          <w:vanish/>
        </w:rPr>
        <w:t>gaap:InterestRateContractMemberus-gaap:NondesignatedMemberenb:AccountsPayableAndOtherMember2021-09-300000895728us-gaap:InterestRateContractMemberenb:AccountsPayableAndOtherMember2021-09-300000895728us-gaap:CashFlowHedgingMemberus-gaap:CommodityContractMemb</w:t>
      </w:r>
      <w:r>
        <w:rPr>
          <w:rFonts w:eastAsia="Times New Roman"/>
          <w:vanish/>
        </w:rPr>
        <w:t>erenb:AccountsPayableAndOtherMemberus-gaap:DesignatedAsHedgingInstrumentMember2021-09-300000895728us-gaap:CommodityContractMemberenb:AccountsPayableAndOtherMemberus-gaap:DesignatedAsHedgingInstrumentMemberus-gaap:NetInvestmentHedgingMember2021-09-300000895</w:t>
      </w:r>
      <w:r>
        <w:rPr>
          <w:rFonts w:eastAsia="Times New Roman"/>
          <w:vanish/>
        </w:rPr>
        <w:t>728us-gaap:CommodityContractMemberus-gaap:FairValueHedgingMemberenb:AccountsPayableAndOtherMemberus-gaap:DesignatedAsHedgingInstrumentMember2021-09-300000895728us-gaap:CommodityContractMemberus-gaap:NondesignatedMemberenb:AccountsPayableAndOtherMember2021-</w:t>
      </w:r>
      <w:r>
        <w:rPr>
          <w:rFonts w:eastAsia="Times New Roman"/>
          <w:vanish/>
        </w:rPr>
        <w:t>09-300000895728us-gaap:CommodityContractMemberenb:AccountsPayableAndOtherMember2021-09-300000895728us-gaap:CashFlowHedgingMemberenb:AccountsPayableAndOtherMemberus-gaap:DesignatedAsHedgingInstrumentMember2021-09-300000895728enb:AccountsPayableAndOtherMembe</w:t>
      </w:r>
      <w:r>
        <w:rPr>
          <w:rFonts w:eastAsia="Times New Roman"/>
          <w:vanish/>
        </w:rPr>
        <w:t>rus-gaap:DesignatedAsHedgingInstrumentMemberus-gaap:NetInvestmentHedgingMember2021-09-300000895728us-gaap:FairValueHedgingMemberenb:AccountsPayableAndOtherMemberus-gaap:DesignatedAsHedgingInstrumentMember2021-09-300000895728us-gaap:NondesignatedMemberenb:A</w:t>
      </w:r>
      <w:r>
        <w:rPr>
          <w:rFonts w:eastAsia="Times New Roman"/>
          <w:vanish/>
        </w:rPr>
        <w:t>ccountsPayableAndOtherMember2021-09-300000895728enb:AccountsPayableAndOtherMember2021-09-300000895728us-gaap:CashFlowHedgingMemberus-gaap:ForeignExchangeContractMemberus-gaap:OtherLiabilitiesMemberus-gaap:DesignatedAsHedgingInstrumentMember2021-09-30000089</w:t>
      </w:r>
      <w:r>
        <w:rPr>
          <w:rFonts w:eastAsia="Times New Roman"/>
          <w:vanish/>
        </w:rPr>
        <w:t>5728us-gaap:ForeignExchangeContractMemberus-gaap:OtherLiabilitiesMemberus-gaap:DesignatedAsHedgingInstrumentMemberus-gaap:NetInvestmentHedgingMember2021-09-300000895728us-gaap:FairValueHedgingMemberus-gaap:ForeignExchangeContractMemberus-gaap:OtherLiabilit</w:t>
      </w:r>
      <w:r>
        <w:rPr>
          <w:rFonts w:eastAsia="Times New Roman"/>
          <w:vanish/>
        </w:rPr>
        <w:t>iesMemberus-gaap:DesignatedAsHedgingInstrumentMember2021-09-300000895728us-gaap:NondesignatedMemberus-gaap:ForeignExchangeContractMemberus-gaap:OtherLiabilitiesMember2021-09-300000895728us-gaap:ForeignExchangeContractMemberus-gaap:OtherLiabilitiesMember202</w:t>
      </w:r>
      <w:r>
        <w:rPr>
          <w:rFonts w:eastAsia="Times New Roman"/>
          <w:vanish/>
        </w:rPr>
        <w:t>1-09-300000895728us-gaap:CashFlowHedgingMemberus-gaap:InterestRateContractMemberus-gaap:OtherLiabilitiesMemberus-gaap:DesignatedAsHedgingInstrumentMember2021-09-300000895728us-gaap:InterestRateContractMemberus-gaap:OtherLiabilitiesMemberus-gaap:DesignatedA</w:t>
      </w:r>
      <w:r>
        <w:rPr>
          <w:rFonts w:eastAsia="Times New Roman"/>
          <w:vanish/>
        </w:rPr>
        <w:t>sHedgingInstrumentMemberus-gaap:NetInvestmentHedgingMember2021-09-300000895728us-gaap:FairValueHedgingMemberus-gaap:InterestRateContractMemberus-gaap:OtherLiabilitiesMemberus-gaap:DesignatedAsHedgingInstrumentMember2021-09-300000895728us-gaap:InterestRateC</w:t>
      </w:r>
      <w:r>
        <w:rPr>
          <w:rFonts w:eastAsia="Times New Roman"/>
          <w:vanish/>
        </w:rPr>
        <w:t>ontractMemberus-gaap:NondesignatedMemberus-gaap:OtherLiabilitiesMember2021-09-300000895728us-gaap:InterestRateContractMemberus-gaap:OtherLiabilitiesMember2021-09-300000895728us-gaap:CashFlowHedgingMemberus-gaap:CommodityContractMemberus-gaap:OtherLiabiliti</w:t>
      </w:r>
      <w:r>
        <w:rPr>
          <w:rFonts w:eastAsia="Times New Roman"/>
          <w:vanish/>
        </w:rPr>
        <w:t>esMemberus-gaap:DesignatedAsHedgingInstrumentMember2021-09-300000895728us-gaap:CommodityContractMemberus-gaap:OtherLiabilitiesMemberus-gaap:DesignatedAsHedgingInstrumentMemberus-gaap:NetInvestmentHedgingMember2021-09-300000895728us-gaap:CommodityContractMe</w:t>
      </w:r>
      <w:r>
        <w:rPr>
          <w:rFonts w:eastAsia="Times New Roman"/>
          <w:vanish/>
        </w:rPr>
        <w:t>mberus-gaap:FairValueHedgingMemberus-gaap:OtherLiabilitiesMemberus-gaap:DesignatedAsHedgingInstrumentMember2021-09-300000895728us-gaap:CommodityContractMemberus-gaap:NondesignatedMemberus-gaap:OtherLiabilitiesMember2021-09-300000895728us-gaap:CommodityCont</w:t>
      </w:r>
      <w:r>
        <w:rPr>
          <w:rFonts w:eastAsia="Times New Roman"/>
          <w:vanish/>
        </w:rPr>
        <w:t>ractMemberus-gaap:OtherLiabilitiesMember2021-09-300000895728us-gaap:CashFlowHedgingMemberus-gaap:OtherLiabilitiesMemberus-gaap:DesignatedAsHedgingInstrumentMember2021-09-300000895728us-gaap:OtherLiabilitiesMemberus-gaap:DesignatedAsHedgingInstrumentMemberu</w:t>
      </w:r>
      <w:r>
        <w:rPr>
          <w:rFonts w:eastAsia="Times New Roman"/>
          <w:vanish/>
        </w:rPr>
        <w:t>s-gaap:NetInvestmentHedgingMember2021-09-300000895728us-gaap:FairValueHedgingMemberus-gaap:OtherLiabilitiesMemberus-gaap:DesignatedAsHedgingInstrumentMember2021-09-300000895728us-gaap:NondesignatedMemberus-gaap:OtherLiabilitiesMember2021-09-300000895728us-</w:t>
      </w:r>
      <w:r>
        <w:rPr>
          <w:rFonts w:eastAsia="Times New Roman"/>
          <w:vanish/>
        </w:rPr>
        <w:t>gaap:OtherLiabilitiesMember2021-09-300000895728us-gaap:CashFlowHedgingMemberus-gaap:ForeignExchangeContractMemberus-gaap:DesignatedAsHedgingInstrumentMember2021-09-300000895728us-gaap:ForeignExchangeContractMemberus-gaap:DesignatedAsHedgingInstrumentMember</w:t>
      </w:r>
      <w:r>
        <w:rPr>
          <w:rFonts w:eastAsia="Times New Roman"/>
          <w:vanish/>
        </w:rPr>
        <w:t>us-gaap:NetInvestmentHedgingMember2021-09-300000895728us-gaap:FairValueHedgingMemberus-gaap:ForeignExchangeContractMemberus-gaap:DesignatedAsHedgingInstrumentMember2021-09-300000895728us-gaap:NondesignatedMemberus-gaap:ForeignExchangeContractMember2021-09-</w:t>
      </w:r>
      <w:r>
        <w:rPr>
          <w:rFonts w:eastAsia="Times New Roman"/>
          <w:vanish/>
        </w:rPr>
        <w:t>300000895728us-gaap:ForeignExchangeContractMember2021-09-300000895728us-gaap:CashFlowHedgingMemberus-gaap:InterestRateContractMemberus-gaap:DesignatedAsHedgingInstrumentMember2021-09-300000895728us-gaap:InterestRateContractMemberus-gaap:DesignatedAsHedging</w:t>
      </w:r>
      <w:r>
        <w:rPr>
          <w:rFonts w:eastAsia="Times New Roman"/>
          <w:vanish/>
        </w:rPr>
        <w:t>InstrumentMemberus-gaap:NetInvestmentHedgingMember2021-09-300000895728us-gaap:FairValueHedgingMemberus-gaap:InterestRateContractMemberus-gaap:DesignatedAsHedgingInstrumentMember2021-09-300000895728us-gaap:InterestRateContractMemberus-gaap:NondesignatedMemb</w:t>
      </w:r>
      <w:r>
        <w:rPr>
          <w:rFonts w:eastAsia="Times New Roman"/>
          <w:vanish/>
        </w:rPr>
        <w:t>er2021-09-300000895728us-gaap:InterestRateContractMember2021-09-300000895728us-gaap:CashFlowHedgingMemberus-gaap:CommodityContractMemberus-gaap:DesignatedAsHedgingInstrumentMember2021-09-300000895728us-gaap:CommodityContractMemberus-gaap:DesignatedAsHedgin</w:t>
      </w:r>
      <w:r>
        <w:rPr>
          <w:rFonts w:eastAsia="Times New Roman"/>
          <w:vanish/>
        </w:rPr>
        <w:t>gInstrumentMemberus-gaap:NetInvestmentHedgingMember2021-09-300000895728us-gaap:CommodityContractMemberus-gaap:FairValueHedgingMemberus-gaap:DesignatedAsHedgingInstrumentMember2021-09-300000895728us-gaap:CommodityContractMemberus-gaap:NondesignatedMember202</w:t>
      </w:r>
      <w:r>
        <w:rPr>
          <w:rFonts w:eastAsia="Times New Roman"/>
          <w:vanish/>
        </w:rPr>
        <w:t>1-09-300000895728us-gaap:CommodityContractMember2021-09-300000895728us-gaap:CashFlowHedgingMemberus-gaap:OtherContractMemberus-gaap:DesignatedAsHedgingInstrumentMember2021-09-300000895728us-gaap:OtherContractMemberus-gaap:DesignatedAsHedgingInstrumentMembe</w:t>
      </w:r>
      <w:r>
        <w:rPr>
          <w:rFonts w:eastAsia="Times New Roman"/>
          <w:vanish/>
        </w:rPr>
        <w:t>rus-gaap:NetInvestmentHedgingMember2021-09-300000895728us-gaap:FairValueHedgingMemberus-gaap:OtherContractMemberus-gaap:DesignatedAsHedgingInstrumentMember2021-09-300000895728us-gaap:NondesignatedMemberus-gaap:OtherContractMember2021-09-300000895728us-gaap</w:t>
      </w:r>
      <w:r>
        <w:rPr>
          <w:rFonts w:eastAsia="Times New Roman"/>
          <w:vanish/>
        </w:rPr>
        <w:t>:OtherContractMember2021-09-300000895728us-gaap:CashFlowHedgingMemberus-gaap:DesignatedAsHedgingInstrumentMember2021-09-300000895728us-gaap:DesignatedAsHedgingInstrumentMemberus-gaap:NetInvestmentHedgingMember2021-09-300000895728us-gaap:FairValueHedgingMem</w:t>
      </w:r>
      <w:r>
        <w:rPr>
          <w:rFonts w:eastAsia="Times New Roman"/>
          <w:vanish/>
        </w:rPr>
        <w:t>berus-gaap:DesignatedAsHedgingInstrumentMember2021-09-300000895728us-gaap:NondesignatedMember2021-09-300000895728us-gaap:CashFlowHedgingMemberus-gaap:ForeignExchangeContractMemberenb:AccountsReceivableAndOtherMemberus-gaap:DesignatedAsHedgingInstrumentMemb</w:t>
      </w:r>
      <w:r>
        <w:rPr>
          <w:rFonts w:eastAsia="Times New Roman"/>
          <w:vanish/>
        </w:rPr>
        <w:t>er2020-12-310000895728us-gaap:ForeignExchangeContractMemberenb:AccountsReceivableAndOtherMemberus-gaap:DesignatedAsHedgingInstrumentMemberus-gaap:NetInvestmentHedgingMember2020-12-310000895728us-gaap:FairValueHedgingMemberus-gaap:ForeignExchangeContractMem</w:t>
      </w:r>
      <w:r>
        <w:rPr>
          <w:rFonts w:eastAsia="Times New Roman"/>
          <w:vanish/>
        </w:rPr>
        <w:t>berenb:AccountsReceivableAndOtherMemberus-gaap:DesignatedAsHedgingInstrumentMember2020-12-310000895728us-gaap:NondesignatedMemberus-gaap:ForeignExchangeContractMemberenb:AccountsReceivableAndOtherMember2020-12-310000895728us-gaap:ForeignExchangeContractMem</w:t>
      </w:r>
      <w:r>
        <w:rPr>
          <w:rFonts w:eastAsia="Times New Roman"/>
          <w:vanish/>
        </w:rPr>
        <w:t>berenb:AccountsReceivableAndOtherMember2020-12-310000895728us-gaap:CashFlowHedgingMemberus-gaap:CommodityContractMemberenb:AccountsReceivableAndOtherMemberus-gaap:DesignatedAsHedgingInstrumentMember2020-12-310000895728us-gaap:CommodityContractMemberenb:Acc</w:t>
      </w:r>
      <w:r>
        <w:rPr>
          <w:rFonts w:eastAsia="Times New Roman"/>
          <w:vanish/>
        </w:rPr>
        <w:t>ountsReceivableAndOtherMemberus-gaap:DesignatedAsHedgingInstrumentMemberus-gaap:NetInvestmentHedgingMember2020-12-310000895728us-gaap:CommodityContractMemberus-gaap:FairValueHedgingMemberenb:AccountsReceivableAndOtherMemberus-gaap:DesignatedAsHedgingInstru</w:t>
      </w:r>
      <w:r>
        <w:rPr>
          <w:rFonts w:eastAsia="Times New Roman"/>
          <w:vanish/>
        </w:rPr>
        <w:t>mentMember2020-12-310000895728us-gaap:CommodityContractMemberus-gaap:NondesignatedMemberenb:AccountsReceivableAndOtherMember2020-12-310000895728us-gaap:CommodityContractMemberenb:AccountsReceivableAndOtherMember2020-12-310000895728us-gaap:CashFlowHedgingMe</w:t>
      </w:r>
      <w:r>
        <w:rPr>
          <w:rFonts w:eastAsia="Times New Roman"/>
          <w:vanish/>
        </w:rPr>
        <w:t>mberenb:AccountsReceivableAndOtherMemberus-gaap:DesignatedAsHedgingInstrumentMember2020-12-310000895728enb:AccountsReceivableAndOtherMemberus-gaap:DesignatedAsHedgingInstrumentMemberus-gaap:NetInvestmentHedgingMember2020-12-310000895728us-gaap:FairValueHed</w:t>
      </w:r>
      <w:r>
        <w:rPr>
          <w:rFonts w:eastAsia="Times New Roman"/>
          <w:vanish/>
        </w:rPr>
        <w:t>gingMemberenb:AccountsReceivableAndOtherMemberus-gaap:DesignatedAsHedgingInstrumentMember2020-12-310000895728us-gaap:NondesignatedMemberenb:AccountsReceivableAndOtherMember2020-12-310000895728enb:AccountsReceivableAndOtherMember2020-12-310000895728us-gaap:</w:t>
      </w:r>
      <w:r>
        <w:rPr>
          <w:rFonts w:eastAsia="Times New Roman"/>
          <w:vanish/>
        </w:rPr>
        <w:t>CashFlowHedgingMemberus-gaap:ForeignExchangeContractMemberenb:DeferredAmountsAndOtherMemberus-gaap:DesignatedAsHedgingInstrumentMember2020-12-310000895728us-gaap:ForeignExchangeContractMemberenb:DeferredAmountsAndOtherMemberus-gaap:DesignatedAsHedgingInstr</w:t>
      </w:r>
      <w:r>
        <w:rPr>
          <w:rFonts w:eastAsia="Times New Roman"/>
          <w:vanish/>
        </w:rPr>
        <w:t>umentMemberus-gaap:NetInvestmentHedgingMember2020-12-310000895728us-gaap:FairValueHedgingMemberus-gaap:ForeignExchangeContractMemberenb:DeferredAmountsAndOtherMemberus-gaap:DesignatedAsHedgingInstrumentMember2020-12-310000895728us-gaap:NondesignatedMemberu</w:t>
      </w:r>
      <w:r>
        <w:rPr>
          <w:rFonts w:eastAsia="Times New Roman"/>
          <w:vanish/>
        </w:rPr>
        <w:t>s-gaap:ForeignExchangeContractMemberenb:DeferredAmountsAndOtherMember2020-12-310000895728us-gaap:ForeignExchangeContractMemberenb:DeferredAmountsAndOtherMember2020-12-310000895728us-gaap:CashFlowHedgingMemberus-gaap:InterestRateContractMemberenb:DeferredAm</w:t>
      </w:r>
      <w:r>
        <w:rPr>
          <w:rFonts w:eastAsia="Times New Roman"/>
          <w:vanish/>
        </w:rPr>
        <w:t>ountsAndOtherMemberus-gaap:DesignatedAsHedgingInstrumentMember2020-12-310000895728us-gaap:InterestRateContractMemberenb:DeferredAmountsAndOtherMemberus-gaap:DesignatedAsHedgingInstrumentMemberus-gaap:NetInvestmentHedgingMember2020-12-310000895728us-gaap:Fa</w:t>
      </w:r>
      <w:r>
        <w:rPr>
          <w:rFonts w:eastAsia="Times New Roman"/>
          <w:vanish/>
        </w:rPr>
        <w:t>irValueHedgingMemberus-gaap:InterestRateContractMemberenb:DeferredAmountsAndOtherMemberus-gaap:DesignatedAsHedgingInstrumentMember2020-12-310000895728us-gaap:InterestRateContractMemberus-gaap:NondesignatedMemberenb:DeferredAmountsAndOtherMember2020-12-3100</w:t>
      </w:r>
      <w:r>
        <w:rPr>
          <w:rFonts w:eastAsia="Times New Roman"/>
          <w:vanish/>
        </w:rPr>
        <w:t>00895728us-gaap:InterestRateContractMemberenb:DeferredAmountsAndOtherMember2020-12-310000895728us-gaap:CashFlowHedgingMemberus-gaap:CommodityContractMemberenb:DeferredAmountsAndOtherMemberus-gaap:DesignatedAsHedgingInstrumentMember2020-12-310000895728us-ga</w:t>
      </w:r>
      <w:r>
        <w:rPr>
          <w:rFonts w:eastAsia="Times New Roman"/>
          <w:vanish/>
        </w:rPr>
        <w:t>ap:CommodityContractMemberenb:DeferredAmountsAndOtherMemberus-gaap:DesignatedAsHedgingInstrumentMemberus-gaap:NetInvestmentHedgingMember2020-12-310000895728us-gaap:CommodityContractMemberus-gaap:FairValueHedgingMemberenb:DeferredAmountsAndOtherMemberus-gaa</w:t>
      </w:r>
      <w:r>
        <w:rPr>
          <w:rFonts w:eastAsia="Times New Roman"/>
          <w:vanish/>
        </w:rPr>
        <w:t>p:DesignatedAsHedgingInstrumentMember2020-12-310000895728us-gaap:CommodityContractMemberus-gaap:NondesignatedMemberenb:DeferredAmountsAndOtherMember2020-12-310000895728us-gaap:CommodityContractMemberenb:DeferredAmountsAndOtherMember2020-12-310000895728us-g</w:t>
      </w:r>
      <w:r>
        <w:rPr>
          <w:rFonts w:eastAsia="Times New Roman"/>
          <w:vanish/>
        </w:rPr>
        <w:t>aap:CashFlowHedgingMemberenb:DeferredAmountsAndOtherMemberus-gaap:DesignatedAsHedgingInstrumentMember2020-12-310000895728enb:DeferredAmountsAndOtherMemberus-gaap:DesignatedAsHedgingInstrumentMemberus-gaap:NetInvestmentHedgingMember2020-12-310000895728us-ga</w:t>
      </w:r>
      <w:r>
        <w:rPr>
          <w:rFonts w:eastAsia="Times New Roman"/>
          <w:vanish/>
        </w:rPr>
        <w:t>ap:FairValueHedgingMemberenb:DeferredAmountsAndOtherMemberus-gaap:DesignatedAsHedgingInstrumentMember2020-12-310000895728us-gaap:NondesignatedMemberenb:DeferredAmountsAndOtherMember2020-12-310000895728enb:DeferredAmountsAndOtherMember2020-12-310000895728us</w:t>
      </w:r>
      <w:r>
        <w:rPr>
          <w:rFonts w:eastAsia="Times New Roman"/>
          <w:vanish/>
        </w:rPr>
        <w:t>-gaap:CashFlowHedgingMemberus-gaap:ForeignExchangeContractMemberenb:AccountsPayableAndOtherMemberus-gaap:DesignatedAsHedgingInstrumentMember2020-12-310000895728us-gaap:ForeignExchangeContractMemberenb:AccountsPayableAndOtherMemberus-gaap:DesignatedAsHedgin</w:t>
      </w:r>
      <w:r>
        <w:rPr>
          <w:rFonts w:eastAsia="Times New Roman"/>
          <w:vanish/>
        </w:rPr>
        <w:t>gInstrumentMemberus-gaap:NetInvestmentHedgingMember2020-12-310000895728us-gaap:FairValueHedgingMemberus-gaap:ForeignExchangeContractMemberenb:AccountsPayableAndOtherMemberus-gaap:DesignatedAsHedgingInstrumentMember2020-12-310000895728us-gaap:NondesignatedM</w:t>
      </w:r>
      <w:r>
        <w:rPr>
          <w:rFonts w:eastAsia="Times New Roman"/>
          <w:vanish/>
        </w:rPr>
        <w:t>emberus-gaap:ForeignExchangeContractMemberenb:AccountsPayableAndOtherMember2020-12-310000895728us-gaap:ForeignExchangeContractMemberenb:AccountsPayableAndOtherMember2020-12-310000895728us-gaap:CashFlowHedgingMemberus-gaap:InterestRateContractMemberenb:Acco</w:t>
      </w:r>
      <w:r>
        <w:rPr>
          <w:rFonts w:eastAsia="Times New Roman"/>
          <w:vanish/>
        </w:rPr>
        <w:t>untsPayableAndOtherMemberus-gaap:DesignatedAsHedgingInstrumentMember2020-12-310000895728us-gaap:InterestRateContractMemberenb:AccountsPayableAndOtherMemberus-gaap:DesignatedAsHedgingInstrumentMemberus-gaap:NetInvestmentHedgingMember2020-12-310000895728us-g</w:t>
      </w:r>
      <w:r>
        <w:rPr>
          <w:rFonts w:eastAsia="Times New Roman"/>
          <w:vanish/>
        </w:rPr>
        <w:t>aap:FairValueHedgingMemberus-gaap:InterestRateContractMemberenb:AccountsPayableAndOtherMemberus-gaap:DesignatedAsHedgingInstrumentMember2020-12-310000895728us-gaap:InterestRateContractMemberus-gaap:NondesignatedMemberenb:AccountsPayableAndOtherMember2020-1</w:t>
      </w:r>
      <w:r>
        <w:rPr>
          <w:rFonts w:eastAsia="Times New Roman"/>
          <w:vanish/>
        </w:rPr>
        <w:t>2-310000895728us-gaap:InterestRateContractMemberenb:AccountsPayableAndOtherMember2020-12-310000895728us-gaap:CashFlowHedgingMemberus-gaap:CommodityContractMemberenb:AccountsPayableAndOtherMemberus-gaap:DesignatedAsHedgingInstrumentMember2020-12-31000089572</w:t>
      </w:r>
      <w:r>
        <w:rPr>
          <w:rFonts w:eastAsia="Times New Roman"/>
          <w:vanish/>
        </w:rPr>
        <w:t>8us-gaap:CommodityContractMemberenb:AccountsPayableAndOtherMemberus-gaap:DesignatedAsHedgingInstrumentMemberus-gaap:NetInvestmentHedgingMember2020-12-310000895728us-gaap:CommodityContractMemberus-gaap:FairValueHedgingMemberenb:AccountsPayableAndOtherMember</w:t>
      </w:r>
      <w:r>
        <w:rPr>
          <w:rFonts w:eastAsia="Times New Roman"/>
          <w:vanish/>
        </w:rPr>
        <w:t>us-gaap:DesignatedAsHedgingInstrumentMember2020-12-310000895728us-gaap:CommodityContractMemberus-gaap:NondesignatedMemberenb:AccountsPayableAndOtherMember2020-12-310000895728us-gaap:CommodityContractMemberenb:AccountsPayableAndOtherMember2020-12-3100008957</w:t>
      </w:r>
      <w:r>
        <w:rPr>
          <w:rFonts w:eastAsia="Times New Roman"/>
          <w:vanish/>
        </w:rPr>
        <w:t>28us-gaap:CashFlowHedgingMemberenb:AccountsPayableAndOtherMemberus-gaap:OtherContractMemberus-gaap:DesignatedAsHedgingInstrumentMember2020-12-310000895728enb:AccountsPayableAndOtherMemberus-gaap:OtherContractMemberus-gaap:DesignatedAsHedgingInstrumentMembe</w:t>
      </w:r>
      <w:r>
        <w:rPr>
          <w:rFonts w:eastAsia="Times New Roman"/>
          <w:vanish/>
        </w:rPr>
        <w:t>rus-gaap:NetInvestmentHedgingMember2020-12-310000895728us-gaap:FairValueHedgingMemberenb:AccountsPayableAndOtherMemberus-gaap:OtherContractMemberus-gaap:DesignatedAsHedgingInstrumentMember2020-12-310000895728us-gaap:NondesignatedMemberenb:AccountsPayableAn</w:t>
      </w:r>
      <w:r>
        <w:rPr>
          <w:rFonts w:eastAsia="Times New Roman"/>
          <w:vanish/>
        </w:rPr>
        <w:t>dOtherMemberus-gaap:OtherContractMember2020-12-310000895728enb:AccountsPayableAndOtherMemberus-gaap:OtherContractMember2020-12-310000895728us-gaap:CashFlowHedgingMemberenb:AccountsPayableAndOtherMemberus-gaap:DesignatedAsHedgingInstrumentMember2020-12-3100</w:t>
      </w:r>
      <w:r>
        <w:rPr>
          <w:rFonts w:eastAsia="Times New Roman"/>
          <w:vanish/>
        </w:rPr>
        <w:t>00895728enb:AccountsPayableAndOtherMemberus-gaap:DesignatedAsHedgingInstrumentMemberus-gaap:NetInvestmentHedgingMember2020-12-310000895728us-gaap:FairValueHedgingMemberenb:AccountsPayableAndOtherMemberus-gaap:DesignatedAsHedgingInstrumentMember2020-12-3100</w:t>
      </w:r>
      <w:r>
        <w:rPr>
          <w:rFonts w:eastAsia="Times New Roman"/>
          <w:vanish/>
        </w:rPr>
        <w:t>00895728us-gaap:NondesignatedMemberenb:AccountsPayableAndOtherMember2020-12-310000895728enb:AccountsPayableAndOtherMember2020-12-310000895728us-gaap:CashFlowHedgingMemberus-gaap:ForeignExchangeContractMemberus-gaap:OtherLiabilitiesMemberus-gaap:DesignatedA</w:t>
      </w:r>
      <w:r>
        <w:rPr>
          <w:rFonts w:eastAsia="Times New Roman"/>
          <w:vanish/>
        </w:rPr>
        <w:t>sHedgingInstrumentMember2020-12-310000895728us-gaap:ForeignExchangeContractMemberus-gaap:OtherLiabilitiesMemberus-gaap:DesignatedAsHedgingInstrumentMemberus-gaap:NetInvestmentHedgingMember2020-12-310000895728us-gaap:FairValueHedgingMemberus-gaap:ForeignExc</w:t>
      </w:r>
      <w:r>
        <w:rPr>
          <w:rFonts w:eastAsia="Times New Roman"/>
          <w:vanish/>
        </w:rPr>
        <w:t>hangeContractMemberus-gaap:OtherLiabilitiesMemberus-gaap:DesignatedAsHedgingInstrumentMember2020-12-310000895728us-gaap:NondesignatedMemberus-gaap:ForeignExchangeContractMemberus-gaap:OtherLiabilitiesMember2020-12-310000895728us-gaap:ForeignExchangeContrac</w:t>
      </w:r>
      <w:r>
        <w:rPr>
          <w:rFonts w:eastAsia="Times New Roman"/>
          <w:vanish/>
        </w:rPr>
        <w:t>tMemberus-gaap:OtherLiabilitiesMember2020-12-310000895728us-gaap:CashFlowHedgingMemberus-gaap:InterestRateContractMemberus-gaap:OtherLiabilitiesMemberus-gaap:DesignatedAsHedgingInstrumentMember2020-12-310000895728us-gaap:InterestRateContractMemberus-gaap:O</w:t>
      </w:r>
      <w:r>
        <w:rPr>
          <w:rFonts w:eastAsia="Times New Roman"/>
          <w:vanish/>
        </w:rPr>
        <w:t>therLiabilitiesMemberus-gaap:DesignatedAsHedgingInstrumentMemberus-gaap:NetInvestmentHedgingMember2020-12-310000895728us-gaap:FairValueHedgingMemberus-gaap:InterestRateContractMemberus-gaap:OtherLiabilitiesMemberus-gaap:DesignatedAsHedgingInstrumentMember2</w:t>
      </w:r>
      <w:r>
        <w:rPr>
          <w:rFonts w:eastAsia="Times New Roman"/>
          <w:vanish/>
        </w:rPr>
        <w:t>020-12-310000895728us-gaap:InterestRateContractMemberus-gaap:NondesignatedMemberus-gaap:OtherLiabilitiesMember2020-12-310000895728us-gaap:InterestRateContractMemberus-gaap:OtherLiabilitiesMember2020-12-310000895728us-gaap:CashFlowHedgingMemberus-gaap:Commo</w:t>
      </w:r>
      <w:r>
        <w:rPr>
          <w:rFonts w:eastAsia="Times New Roman"/>
          <w:vanish/>
        </w:rPr>
        <w:t>dityContractMemberus-gaap:OtherLiabilitiesMemberus-gaap:DesignatedAsHedgingInstrumentMember2020-12-310000895728us-gaap:CommodityContractMemberus-gaap:OtherLiabilitiesMemberus-gaap:DesignatedAsHedgingInstrumentMemberus-gaap:NetInvestmentHedgingMember2020-12</w:t>
      </w:r>
      <w:r>
        <w:rPr>
          <w:rFonts w:eastAsia="Times New Roman"/>
          <w:vanish/>
        </w:rPr>
        <w:t>-310000895728us-gaap:CommodityContractMemberus-gaap:FairValueHedgingMemberus-gaap:OtherLiabilitiesMemberus-gaap:DesignatedAsHedgingInstrumentMember2020-12-310000895728us-gaap:CommodityContractMemberus-gaap:NondesignatedMemberus-gaap:OtherLiabilitiesMember2</w:t>
      </w:r>
      <w:r>
        <w:rPr>
          <w:rFonts w:eastAsia="Times New Roman"/>
          <w:vanish/>
        </w:rPr>
        <w:t>020-12-310000895728us-gaap:CommodityContractMemberus-gaap:OtherLiabilitiesMember2020-12-310000895728us-gaap:CashFlowHedgingMemberus-gaap:OtherLiabilitiesMemberus-gaap:DesignatedAsHedgingInstrumentMember2020-12-310000895728us-gaap:OtherLiabilitiesMemberus-g</w:t>
      </w:r>
      <w:r>
        <w:rPr>
          <w:rFonts w:eastAsia="Times New Roman"/>
          <w:vanish/>
        </w:rPr>
        <w:t>aap:DesignatedAsHedgingInstrumentMemberus-gaap:NetInvestmentHedgingMember2020-12-310000895728us-gaap:FairValueHedgingMemberus-gaap:OtherLiabilitiesMemberus-gaap:DesignatedAsHedgingInstrumentMember2020-12-310000895728us-gaap:NondesignatedMemberus-gaap:Other</w:t>
      </w:r>
      <w:r>
        <w:rPr>
          <w:rFonts w:eastAsia="Times New Roman"/>
          <w:vanish/>
        </w:rPr>
        <w:t>LiabilitiesMember2020-12-310000895728us-gaap:OtherLiabilitiesMember2020-12-310000895728us-gaap:CashFlowHedgingMemberus-gaap:ForeignExchangeContractMemberus-gaap:DesignatedAsHedgingInstrumentMember2020-12-310000895728us-gaap:ForeignExchangeContractMemberus-</w:t>
      </w:r>
      <w:r>
        <w:rPr>
          <w:rFonts w:eastAsia="Times New Roman"/>
          <w:vanish/>
        </w:rPr>
        <w:t>gaap:DesignatedAsHedgingInstrumentMemberus-gaap:NetInvestmentHedgingMember2020-12-310000895728us-gaap:FairValueHedgingMemberus-gaap:ForeignExchangeContractMemberus-gaap:DesignatedAsHedgingInstrumentMember2020-12-310000895728us-gaap:NondesignatedMemberus-ga</w:t>
      </w:r>
      <w:r>
        <w:rPr>
          <w:rFonts w:eastAsia="Times New Roman"/>
          <w:vanish/>
        </w:rPr>
        <w:t>ap:ForeignExchangeContractMember2020-12-310000895728us-gaap:ForeignExchangeContractMember2020-12-310000895728us-gaap:CashFlowHedgingMemberus-gaap:InterestRateContractMemberus-gaap:DesignatedAsHedgingInstrumentMember2020-12-310000895728us-gaap:InterestRateC</w:t>
      </w:r>
      <w:r>
        <w:rPr>
          <w:rFonts w:eastAsia="Times New Roman"/>
          <w:vanish/>
        </w:rPr>
        <w:t>ontractMemberus-gaap:DesignatedAsHedgingInstrumentMemberus-gaap:NetInvestmentHedgingMember2020-12-310000895728us-gaap:FairValueHedgingMemberus-gaap:InterestRateContractMemberus-gaap:DesignatedAsHedgingInstrumentMember2020-12-310000895728us-gaap:InterestRat</w:t>
      </w:r>
      <w:r>
        <w:rPr>
          <w:rFonts w:eastAsia="Times New Roman"/>
          <w:vanish/>
        </w:rPr>
        <w:t>eContractMemberus-gaap:NondesignatedMember2020-12-310000895728us-gaap:InterestRateContractMember2020-12-310000895728us-gaap:CashFlowHedgingMemberus-gaap:CommodityContractMemberus-gaap:DesignatedAsHedgingInstrumentMember2020-12-310000895728us-gaap:Commodity</w:t>
      </w:r>
      <w:r>
        <w:rPr>
          <w:rFonts w:eastAsia="Times New Roman"/>
          <w:vanish/>
        </w:rPr>
        <w:t>ContractMemberus-gaap:DesignatedAsHedgingInstrumentMemberus-gaap:NetInvestmentHedgingMember2020-12-310000895728us-gaap:CommodityContractMemberus-gaap:FairValueHedgingMemberus-gaap:DesignatedAsHedgingInstrumentMember2020-12-310000895728us-gaap:CommodityCont</w:t>
      </w:r>
      <w:r>
        <w:rPr>
          <w:rFonts w:eastAsia="Times New Roman"/>
          <w:vanish/>
        </w:rPr>
        <w:t>ractMemberus-gaap:NondesignatedMember2020-12-310000895728us-gaap:CommodityContractMember2020-12-310000895728us-gaap:CashFlowHedgingMemberus-gaap:OtherContractMemberus-gaap:DesignatedAsHedgingInstrumentMember2020-12-310000895728us-gaap:OtherContractMemberus</w:t>
      </w:r>
      <w:r>
        <w:rPr>
          <w:rFonts w:eastAsia="Times New Roman"/>
          <w:vanish/>
        </w:rPr>
        <w:t>-gaap:DesignatedAsHedgingInstrumentMemberus-gaap:NetInvestmentHedgingMember2020-12-310000895728us-gaap:FairValueHedgingMemberus-gaap:OtherContractMemberus-gaap:DesignatedAsHedgingInstrumentMember2020-12-310000895728us-gaap:NondesignatedMemberus-gaap:OtherC</w:t>
      </w:r>
      <w:r>
        <w:rPr>
          <w:rFonts w:eastAsia="Times New Roman"/>
          <w:vanish/>
        </w:rPr>
        <w:t>ontractMember2020-12-310000895728us-gaap:OtherContractMember2020-12-310000895728us-gaap:CashFlowHedgingMemberus-gaap:DesignatedAsHedgingInstrumentMember2020-12-310000895728us-gaap:DesignatedAsHedgingInstrumentMemberus-gaap:NetInvestmentHedgingMember2020-12</w:t>
      </w:r>
      <w:r>
        <w:rPr>
          <w:rFonts w:eastAsia="Times New Roman"/>
          <w:vanish/>
        </w:rPr>
        <w:t>-310000895728us-gaap:FairValueHedgingMemberus-gaap:DesignatedAsHedgingInstrumentMember2020-12-310000895728us-gaap:NondesignatedMember2020-12-310000895728enb:ForeignExchangeForwardPurchaseContractMembercurrency:USD2021-09-300000895728currency:USDenb:Foreign</w:t>
      </w:r>
      <w:r>
        <w:rPr>
          <w:rFonts w:eastAsia="Times New Roman"/>
          <w:vanish/>
        </w:rPr>
        <w:t>ExchangeForwardSellContractMember2021-09-30iso4217:GBP0000895728currency:GBPenb:ForeignExchangeForwardSellContractMember2021-09-30iso4217:EUR0000895728currency:EURenb:ForeignExchangeForwardSellContractMember2021-09-30iso4217:JPY0000895728enb:ForeignExchang</w:t>
      </w:r>
      <w:r>
        <w:rPr>
          <w:rFonts w:eastAsia="Times New Roman"/>
          <w:vanish/>
        </w:rPr>
        <w:t>eForwardPurchaseContractMembercurrency:JPY2021-09-300000895728enb:InterestRateContractForLongTermBorrowingsPayFixedRateMember2021-09-300000895728us-gaap:EquityContractMember2021-09-30utr:Bcf0000895728us-gaap:CommodityContractMembersrt:NaturalGasReservesMem</w:t>
      </w:r>
      <w:r>
        <w:rPr>
          <w:rFonts w:eastAsia="Times New Roman"/>
          <w:vanish/>
        </w:rPr>
        <w:t>ber2021-09-30utr:MMBbls0000895728us-gaap:CommodityContractMembersrt:CrudeOilMember2021-09-30utr:MWh0000895728us-gaap:CommodityContractMemberus-gaap:LongMemberenb:PowerMember2021-09-300000895728us-gaap:CommodityContractMemberenb:PowerMemberus-gaap:ShortMemb</w:t>
      </w:r>
      <w:r>
        <w:rPr>
          <w:rFonts w:eastAsia="Times New Roman"/>
          <w:vanish/>
        </w:rPr>
        <w:t>er2021-09-300000895728us-gaap:FairValueHedgingMember2021-07-012021-09-300000895728us-gaap:FairValueHedgingMember2020-07-012020-09-300000895728us-gaap:FairValueHedgingMember2021-01-012021-09-300000895728us-gaap:FairValueHedgingMember2020-01-012020-09-300000</w:t>
      </w:r>
      <w:r>
        <w:rPr>
          <w:rFonts w:eastAsia="Times New Roman"/>
          <w:vanish/>
        </w:rPr>
        <w:t>895728us-gaap:FairValueHedgingMemberus-gaap:InterestRateContractMember2021-07-012021-09-300000895728us-gaap:FairValueHedgingMemberus-gaap:InterestRateContractMember2020-07-012020-09-300000895728us-gaap:FairValueHedgingMemberus-gaap:InterestRateContractMemb</w:t>
      </w:r>
      <w:r>
        <w:rPr>
          <w:rFonts w:eastAsia="Times New Roman"/>
          <w:vanish/>
        </w:rPr>
        <w:t>er2021-01-012021-09-300000895728us-gaap:FairValueHedgingMemberus-gaap:InterestRateContractMember2020-01-012020-09-300000895728us-gaap:CashFlowHedgingMemberus-gaap:ForeignExchangeContractMember2021-07-012021-09-300000895728us-gaap:CashFlowHedgingMemberus-ga</w:t>
      </w:r>
      <w:r>
        <w:rPr>
          <w:rFonts w:eastAsia="Times New Roman"/>
          <w:vanish/>
        </w:rPr>
        <w:t>ap:ForeignExchangeContractMember2020-07-012020-09-300000895728us-gaap:CashFlowHedgingMemberus-gaap:ForeignExchangeContractMember2021-01-012021-09-300000895728us-gaap:CashFlowHedgingMemberus-gaap:ForeignExchangeContractMember2020-01-012020-09-300000895728us</w:t>
      </w:r>
      <w:r>
        <w:rPr>
          <w:rFonts w:eastAsia="Times New Roman"/>
          <w:vanish/>
        </w:rPr>
        <w:t>-gaap:CashFlowHedgingMemberus-gaap:InterestRateContractMember2021-07-012021-09-300000895728us-gaap:CashFlowHedgingMemberus-gaap:InterestRateContractMember2020-07-012020-09-300000895728us-gaap:CashFlowHedgingMemberus-gaap:InterestRateContractMember2021-01-0</w:t>
      </w:r>
      <w:r>
        <w:rPr>
          <w:rFonts w:eastAsia="Times New Roman"/>
          <w:vanish/>
        </w:rPr>
        <w:t>12021-09-300000895728us-gaap:CashFlowHedgingMemberus-gaap:InterestRateContractMember2020-01-012020-09-300000895728us-gaap:CommodityContractMemberus-gaap:CashFlowHedgingMember2021-07-012021-09-300000895728us-gaap:CommodityContractMemberus-gaap:CashFlowHedgi</w:t>
      </w:r>
      <w:r>
        <w:rPr>
          <w:rFonts w:eastAsia="Times New Roman"/>
          <w:vanish/>
        </w:rPr>
        <w:t>ngMember2020-07-012020-09-300000895728us-gaap:CommodityContractMemberus-gaap:CashFlowHedgingMember2021-01-012021-09-300000895728us-gaap:CommodityContractMemberus-gaap:CashFlowHedgingMember2020-01-012020-09-300000895728us-gaap:CashFlowHedgingMemberus-gaap:O</w:t>
      </w:r>
      <w:r>
        <w:rPr>
          <w:rFonts w:eastAsia="Times New Roman"/>
          <w:vanish/>
        </w:rPr>
        <w:t>therContractMember2021-07-012021-09-300000895728us-gaap:CashFlowHedgingMemberus-gaap:OtherContractMember2020-07-012020-09-300000895728us-gaap:CashFlowHedgingMemberus-gaap:OtherContractMember2021-01-012021-09-300000895728us-gaap:CashFlowHedgingMemberus-gaap</w:t>
      </w:r>
      <w:r>
        <w:rPr>
          <w:rFonts w:eastAsia="Times New Roman"/>
          <w:vanish/>
        </w:rPr>
        <w:t>:OtherContractMember2020-01-012020-09-300000895728us-gaap:FairValueHedgingMemberus-gaap:ForeignExchangeContractMember2021-07-012021-09-300000895728us-gaap:FairValueHedgingMemberus-gaap:ForeignExchangeContractMember2020-07-012020-09-300000895728us-gaap:Fair</w:t>
      </w:r>
      <w:r>
        <w:rPr>
          <w:rFonts w:eastAsia="Times New Roman"/>
          <w:vanish/>
        </w:rPr>
        <w:t>ValueHedgingMemberus-gaap:ForeignExchangeContractMember2021-01-012021-09-300000895728us-gaap:FairValueHedgingMemberus-gaap:ForeignExchangeContractMember2020-01-012020-09-300000895728us-gaap:ForeignExchangeContractMemberus-gaap:NetInvestmentHedgingMember202</w:t>
      </w:r>
      <w:r>
        <w:rPr>
          <w:rFonts w:eastAsia="Times New Roman"/>
          <w:vanish/>
        </w:rPr>
        <w:t>1-07-012021-09-300000895728us-gaap:ForeignExchangeContractMemberus-gaap:NetInvestmentHedgingMember2020-07-012020-09-300000895728us-gaap:ForeignExchangeContractMemberus-gaap:NetInvestmentHedgingMember2021-01-012021-09-300000895728us-gaap:ForeignExchangeCont</w:t>
      </w:r>
      <w:r>
        <w:rPr>
          <w:rFonts w:eastAsia="Times New Roman"/>
          <w:vanish/>
        </w:rPr>
        <w:t>ractMemberus-gaap:NetInvestmentHedgingMember2020-01-012020-09-300000895728us-gaap:ForeignExchangeContractMember2021-07-012021-09-300000895728us-gaap:ForeignExchangeContractMember2020-07-012020-09-300000895728us-gaap:InterestRateContractMember2021-07-012021</w:t>
      </w:r>
      <w:r>
        <w:rPr>
          <w:rFonts w:eastAsia="Times New Roman"/>
          <w:vanish/>
        </w:rPr>
        <w:t>-09-300000895728us-gaap:InterestRateContractMember2020-07-012020-09-300000895728us-gaap:CommodityContractMember2021-07-012021-09-300000895728us-gaap:CommodityContractMember2020-07-012020-09-300000895728us-gaap:OtherContractMember2021-07-012021-09-300000895</w:t>
      </w:r>
      <w:r>
        <w:rPr>
          <w:rFonts w:eastAsia="Times New Roman"/>
          <w:vanish/>
        </w:rPr>
        <w:t>728us-gaap:OtherContractMember2020-07-012020-09-300000895728us-gaap:NondesignatedMemberus-gaap:ForeignExchangeContractMember2021-07-012021-09-300000895728us-gaap:NondesignatedMemberus-gaap:ForeignExchangeContractMember2020-07-012020-09-300000895728us-gaap:</w:t>
      </w:r>
      <w:r>
        <w:rPr>
          <w:rFonts w:eastAsia="Times New Roman"/>
          <w:vanish/>
        </w:rPr>
        <w:t>NondesignatedMemberus-gaap:ForeignExchangeContractMember2021-01-012021-09-300000895728us-gaap:NondesignatedMemberus-gaap:ForeignExchangeContractMember2020-01-012020-09-300000895728us-gaap:InterestRateContractMemberus-gaap:NondesignatedMember2021-07-012021-</w:t>
      </w:r>
      <w:r>
        <w:rPr>
          <w:rFonts w:eastAsia="Times New Roman"/>
          <w:vanish/>
        </w:rPr>
        <w:t>09-300000895728us-gaap:InterestRateContractMemberus-gaap:NondesignatedMember2020-07-012020-09-300000895728us-gaap:InterestRateContractMemberus-gaap:NondesignatedMember2021-01-012021-09-300000895728us-gaap:InterestRateContractMemberus-gaap:NondesignatedMemb</w:t>
      </w:r>
      <w:r>
        <w:rPr>
          <w:rFonts w:eastAsia="Times New Roman"/>
          <w:vanish/>
        </w:rPr>
        <w:t>er2020-01-012020-09-300000895728us-gaap:CommodityContractMemberus-gaap:NondesignatedMember2021-07-012021-09-300000895728us-gaap:CommodityContractMemberus-gaap:NondesignatedMember2020-07-012020-09-300000895728us-gaap:CommodityContractMemberus-gaap:Nondesign</w:t>
      </w:r>
      <w:r>
        <w:rPr>
          <w:rFonts w:eastAsia="Times New Roman"/>
          <w:vanish/>
        </w:rPr>
        <w:t>atedMember2021-01-012021-09-300000895728us-gaap:CommodityContractMemberus-gaap:NondesignatedMember2020-01-012020-09-300000895728us-gaap:NondesignatedMemberus-gaap:OtherContractMember2021-07-012021-09-300000895728us-gaap:NondesignatedMemberus-gaap:OtherCont</w:t>
      </w:r>
      <w:r>
        <w:rPr>
          <w:rFonts w:eastAsia="Times New Roman"/>
          <w:vanish/>
        </w:rPr>
        <w:t>ractMember2020-07-012020-09-300000895728us-gaap:NondesignatedMemberus-gaap:OtherContractMember2021-01-012021-09-300000895728us-gaap:NondesignatedMemberus-gaap:OtherContractMember2020-01-012020-09-300000895728us-gaap:NondesignatedMember2021-07-012021-09-300</w:t>
      </w:r>
      <w:r>
        <w:rPr>
          <w:rFonts w:eastAsia="Times New Roman"/>
          <w:vanish/>
        </w:rPr>
        <w:t>000895728us-gaap:NondesignatedMember2020-07-012020-09-300000895728us-gaap:NondesignatedMember2021-01-012021-09-300000895728us-gaap:NondesignatedMember2020-01-012020-09-300000895728enb:TransportationAndOtherServicesRevenuesMemberus-gaap:NondesignatedMemberu</w:t>
      </w:r>
      <w:r>
        <w:rPr>
          <w:rFonts w:eastAsia="Times New Roman"/>
          <w:vanish/>
        </w:rPr>
        <w:t>s-gaap:ForeignExchangeContractMember2021-01-012021-09-300000895728enb:TransportationAndOtherServicesRevenuesMemberus-gaap:NondesignatedMemberus-gaap:ForeignExchangeContractMember2020-01-012020-09-300000895728us-gaap:NondesignatedMemberenb:OtherIncomeExpens</w:t>
      </w:r>
      <w:r>
        <w:rPr>
          <w:rFonts w:eastAsia="Times New Roman"/>
          <w:vanish/>
        </w:rPr>
        <w:t>eMemberus-gaap:ForeignExchangeContractMember2021-01-012021-09-300000895728us-gaap:NondesignatedMemberenb:OtherIncomeExpenseMemberus-gaap:ForeignExchangeContractMember2020-01-012020-09-300000895728us-gaap:CommodityContractMemberenb:TransportationAndOtherSer</w:t>
      </w:r>
      <w:r>
        <w:rPr>
          <w:rFonts w:eastAsia="Times New Roman"/>
          <w:vanish/>
        </w:rPr>
        <w:t>vicesRevenuesMemberus-gaap:NondesignatedMember2021-01-012021-09-300000895728us-gaap:CommodityContractMemberenb:TransportationAndOtherServicesRevenuesMemberus-gaap:NondesignatedMember2020-01-012020-09-300000895728us-gaap:CommodityContractMemberus-gaap:Nonde</w:t>
      </w:r>
      <w:r>
        <w:rPr>
          <w:rFonts w:eastAsia="Times New Roman"/>
          <w:vanish/>
        </w:rPr>
        <w:t>signatedMemberenb:CommoditySalesRevenueMember2021-01-012021-09-300000895728us-gaap:CommodityContractMemberus-gaap:NondesignatedMemberenb:CommoditySalesRevenueMember2020-01-012020-09-300000895728us-gaap:CommodityContractMemberus-gaap:NondesignatedMemberenb:</w:t>
      </w:r>
      <w:r>
        <w:rPr>
          <w:rFonts w:eastAsia="Times New Roman"/>
          <w:vanish/>
        </w:rPr>
        <w:t>CommodityCostsMember2021-01-012021-09-300000895728us-gaap:CommodityContractMemberus-gaap:NondesignatedMemberenb:CommodityCostsMember2020-01-012020-09-300000895728us-gaap:CommodityContractMemberus-gaap:NondesignatedMemberenb:OperatingAndAdministrativeExpens</w:t>
      </w:r>
      <w:r>
        <w:rPr>
          <w:rFonts w:eastAsia="Times New Roman"/>
          <w:vanish/>
        </w:rPr>
        <w:t>eMember2021-01-012021-09-300000895728us-gaap:CommodityContractMemberus-gaap:NondesignatedMemberenb:OperatingAndAdministrativeExpenseMember2020-01-012020-09-300000895728enb:CanadianFinancialInstitutionsMemberus-gaap:DerivativeMember2021-01-012021-09-3000008</w:t>
      </w:r>
      <w:r>
        <w:rPr>
          <w:rFonts w:eastAsia="Times New Roman"/>
          <w:vanish/>
        </w:rPr>
        <w:t>95728enb:CanadianFinancialInstitutionsMemberus-gaap:DerivativeMember2020-01-012020-12-310000895728enb:USFinancialInstitutionsMemberus-gaap:DerivativeMember2021-01-012021-09-300000895728enb:USFinancialInstitutionsMemberus-gaap:DerivativeMember2020-01-012020</w:t>
      </w:r>
      <w:r>
        <w:rPr>
          <w:rFonts w:eastAsia="Times New Roman"/>
          <w:vanish/>
        </w:rPr>
        <w:t>-12-310000895728enb:EuropeanFinancialInstitutionsMemberus-gaap:DerivativeMember2021-01-012021-09-300000895728enb:EuropeanFinancialInstitutionsMemberus-gaap:DerivativeMember2020-01-012020-12-310000895728enb:AsianFinancialInstitutionsMemberus-gaap:Derivative</w:t>
      </w:r>
      <w:r>
        <w:rPr>
          <w:rFonts w:eastAsia="Times New Roman"/>
          <w:vanish/>
        </w:rPr>
        <w:t>Member2021-01-012021-09-300000895728enb:AsianFinancialInstitutionsMemberus-gaap:DerivativeMember2020-01-012020-12-310000895728enb:OtherCounterpartiesMemberus-gaap:DerivativeMember2021-01-012021-09-300000895728enb:OtherCounterpartiesMemberus-gaap:Derivative</w:t>
      </w:r>
      <w:r>
        <w:rPr>
          <w:rFonts w:eastAsia="Times New Roman"/>
          <w:vanish/>
        </w:rPr>
        <w:t>Member2020-01-012020-12-310000895728us-gaap:DerivativeMember2021-01-012021-09-300000895728us-gaap:DerivativeMember2020-01-012020-12-310000895728us-gaap:DerivativeMember2020-12-310000895728us-gaap:DerivativeMember2021-09-300000895728us-gaap:FairValueMeasure</w:t>
      </w:r>
      <w:r>
        <w:rPr>
          <w:rFonts w:eastAsia="Times New Roman"/>
          <w:vanish/>
        </w:rPr>
        <w:t>mentsRecurringMemberus-gaap:ForeignExchangeContractMemberus-gaap:FairValueInputsLevel1Member2021-09-300000895728us-gaap:FairValueMeasurementsRecurringMemberus-gaap:ForeignExchangeContractMemberus-gaap:FairValueInputsLevel2Member2021-09-300000895728us-gaap:</w:t>
      </w:r>
      <w:r>
        <w:rPr>
          <w:rFonts w:eastAsia="Times New Roman"/>
          <w:vanish/>
        </w:rPr>
        <w:t>FairValueInputsLevel3Memberus-gaap:FairValueMeasurementsRecurringMemberus-gaap:ForeignExchangeContractMember2021-09-300000895728us-gaap:FairValueMeasurementsRecurringMemberus-gaap:ForeignExchangeContractMember2021-09-300000895728us-gaap:CommodityContractMe</w:t>
      </w:r>
      <w:r>
        <w:rPr>
          <w:rFonts w:eastAsia="Times New Roman"/>
          <w:vanish/>
        </w:rPr>
        <w:t>mberus-gaap:FairValueMeasurementsRecurringMemberus-gaap:FairValueInputsLevel1Member2021-09-300000895728us-gaap:CommodityContractMemberus-gaap:FairValueMeasurementsRecurringMemberus-gaap:FairValueInputsLevel2Member2021-09-300000895728us-gaap:FairValueInputs</w:t>
      </w:r>
      <w:r>
        <w:rPr>
          <w:rFonts w:eastAsia="Times New Roman"/>
          <w:vanish/>
        </w:rPr>
        <w:t>Level3Memberus-gaap:CommodityContractMemberus-gaap:FairValueMeasurementsRecurringMember2021-09-300000895728us-gaap:CommodityContractMemberus-gaap:FairValueMeasurementsRecurringMember2021-09-300000895728us-gaap:FairValueMeasurementsRecurringMemberus-gaap:Ot</w:t>
      </w:r>
      <w:r>
        <w:rPr>
          <w:rFonts w:eastAsia="Times New Roman"/>
          <w:vanish/>
        </w:rPr>
        <w:t>herContractMemberus-gaap:FairValueInputsLevel1Member2021-09-300000895728us-gaap:FairValueMeasurementsRecurringMemberus-gaap:OtherContractMemberus-gaap:FairValueInputsLevel2Member2021-09-300000895728us-gaap:FairValueInputsLevel3Memberus-gaap:FairValueMeasur</w:t>
      </w:r>
      <w:r>
        <w:rPr>
          <w:rFonts w:eastAsia="Times New Roman"/>
          <w:vanish/>
        </w:rPr>
        <w:t>ementsRecurringMemberus-gaap:OtherContractMember2021-09-300000895728us-gaap:FairValueMeasurementsRecurringMemberus-gaap:OtherContractMember2021-09-300000895728us-gaap:FairValueMeasurementsRecurringMemberus-gaap:FairValueInputsLevel1Member2021-09-3000008957</w:t>
      </w:r>
      <w:r>
        <w:rPr>
          <w:rFonts w:eastAsia="Times New Roman"/>
          <w:vanish/>
        </w:rPr>
        <w:t>28us-gaap:FairValueMeasurementsRecurringMemberus-gaap:FairValueInputsLevel2Member2021-09-300000895728us-gaap:FairValueInputsLevel3Memberus-gaap:FairValueMeasurementsRecurringMember2021-09-300000895728us-gaap:FairValueMeasurementsRecurringMember2021-09-3000</w:t>
      </w:r>
      <w:r>
        <w:rPr>
          <w:rFonts w:eastAsia="Times New Roman"/>
          <w:vanish/>
        </w:rPr>
        <w:t>00895728us-gaap:FairValueMeasurementsRecurringMemberus-gaap:InterestRateContractMemberus-gaap:FairValueInputsLevel1Member2021-09-300000895728us-gaap:FairValueMeasurementsRecurringMemberus-gaap:InterestRateContractMemberus-gaap:FairValueInputsLevel2Member20</w:t>
      </w:r>
      <w:r>
        <w:rPr>
          <w:rFonts w:eastAsia="Times New Roman"/>
          <w:vanish/>
        </w:rPr>
        <w:t>21-09-300000895728us-gaap:FairValueInputsLevel3Memberus-gaap:FairValueMeasurementsRecurringMemberus-gaap:InterestRateContractMember2021-09-300000895728us-gaap:FairValueMeasurementsRecurringMemberus-gaap:InterestRateContractMember2021-09-300000895728us-gaap</w:t>
      </w:r>
      <w:r>
        <w:rPr>
          <w:rFonts w:eastAsia="Times New Roman"/>
          <w:vanish/>
        </w:rPr>
        <w:t>:FairValueMeasurementsRecurringMemberus-gaap:ForeignExchangeContractMemberus-gaap:FairValueInputsLevel1Member2020-12-310000895728us-gaap:FairValueMeasurementsRecurringMemberus-gaap:ForeignExchangeContractMemberus-gaap:FairValueInputsLevel2Member2020-12-310</w:t>
      </w:r>
      <w:r>
        <w:rPr>
          <w:rFonts w:eastAsia="Times New Roman"/>
          <w:vanish/>
        </w:rPr>
        <w:t>000895728us-gaap:FairValueInputsLevel3Memberus-gaap:FairValueMeasurementsRecurringMemberus-gaap:ForeignExchangeContractMember2020-12-310000895728us-gaap:FairValueMeasurementsRecurringMemberus-gaap:ForeignExchangeContractMember2020-12-310000895728us-gaap:Co</w:t>
      </w:r>
      <w:r>
        <w:rPr>
          <w:rFonts w:eastAsia="Times New Roman"/>
          <w:vanish/>
        </w:rPr>
        <w:t>mmodityContractMemberus-gaap:FairValueMeasurementsRecurringMemberus-gaap:FairValueInputsLevel1Member2020-12-310000895728us-gaap:CommodityContractMemberus-gaap:FairValueMeasurementsRecurringMemberus-gaap:FairValueInputsLevel2Member2020-12-310000895728us-gaa</w:t>
      </w:r>
      <w:r>
        <w:rPr>
          <w:rFonts w:eastAsia="Times New Roman"/>
          <w:vanish/>
        </w:rPr>
        <w:t>p:FairValueInputsLevel3Memberus-gaap:CommodityContractMemberus-gaap:FairValueMeasurementsRecurringMember2020-12-310000895728us-gaap:CommodityContractMemberus-gaap:FairValueMeasurementsRecurringMember2020-12-310000895728us-gaap:FairValueMeasurementsRecurrin</w:t>
      </w:r>
      <w:r>
        <w:rPr>
          <w:rFonts w:eastAsia="Times New Roman"/>
          <w:vanish/>
        </w:rPr>
        <w:t>gMemberus-gaap:FairValueInputsLevel1Member2020-12-310000895728us-gaap:FairValueMeasurementsRecurringMemberus-gaap:FairValueInputsLevel2Member2020-12-310000895728us-gaap:FairValueInputsLevel3Memberus-gaap:FairValueMeasurementsRecurringMember2020-12-31000089</w:t>
      </w:r>
      <w:r>
        <w:rPr>
          <w:rFonts w:eastAsia="Times New Roman"/>
          <w:vanish/>
        </w:rPr>
        <w:t>5728us-gaap:FairValueMeasurementsRecurringMember2020-12-310000895728us-gaap:FairValueMeasurementsRecurringMemberus-gaap:InterestRateContractMemberus-gaap:FairValueInputsLevel1Member2020-12-310000895728us-gaap:FairValueMeasurementsRecurringMemberus-gaap:Int</w:t>
      </w:r>
      <w:r>
        <w:rPr>
          <w:rFonts w:eastAsia="Times New Roman"/>
          <w:vanish/>
        </w:rPr>
        <w:t>erestRateContractMemberus-gaap:FairValueInputsLevel2Member2020-12-310000895728us-gaap:FairValueInputsLevel3Memberus-gaap:FairValueMeasurementsRecurringMemberus-gaap:InterestRateContractMember2020-12-310000895728us-gaap:FairValueMeasurementsRecurringMemberu</w:t>
      </w:r>
      <w:r>
        <w:rPr>
          <w:rFonts w:eastAsia="Times New Roman"/>
          <w:vanish/>
        </w:rPr>
        <w:t>s-gaap:InterestRateContractMember2020-12-310000895728us-gaap:FairValueMeasurementsRecurringMemberus-gaap:OtherContractMemberus-gaap:FairValueInputsLevel1Member2020-12-310000895728us-gaap:FairValueMeasurementsRecurringMemberus-gaap:OtherContractMemberus-gaa</w:t>
      </w:r>
      <w:r>
        <w:rPr>
          <w:rFonts w:eastAsia="Times New Roman"/>
          <w:vanish/>
        </w:rPr>
        <w:t>p:FairValueInputsLevel2Member2020-12-310000895728us-gaap:FairValueInputsLevel3Memberus-gaap:FairValueMeasurementsRecurringMemberus-gaap:OtherContractMember2020-12-310000895728us-gaap:FairValueMeasurementsRecurringMemberus-gaap:OtherContractMember2020-12-31</w:t>
      </w:r>
      <w:r>
        <w:rPr>
          <w:rFonts w:eastAsia="Times New Roman"/>
          <w:vanish/>
        </w:rPr>
        <w:t>0000895728us-gaap:FairValueInputsLevel3Memberus-gaap:MarketApproachValuationTechniqueMemberus-gaap:FairValueMeasurementsRecurringMembersrt:NaturalGasReservesMemberenb:FinancialForwardCommodityContractMember2021-09-30iso4217:CADenb:MillionsofBTU-MMBTU000089</w:t>
      </w:r>
      <w:r>
        <w:rPr>
          <w:rFonts w:eastAsia="Times New Roman"/>
          <w:vanish/>
        </w:rPr>
        <w:t>5728us-gaap:FairValueInputsLevel3Memberus-gaap:MarketApproachValuationTechniqueMembersrt:MinimumMembersrt:NaturalGasReservesMemberenb:FinancialForwardCommodityContractMember2021-09-300000895728us-gaap:FairValueInputsLevel3Memberus-gaap:MarketApproachValuat</w:t>
      </w:r>
      <w:r>
        <w:rPr>
          <w:rFonts w:eastAsia="Times New Roman"/>
          <w:vanish/>
        </w:rPr>
        <w:t>ionTechniqueMembersrt:NaturalGasReservesMembersrt:MaximumMemberenb:FinancialForwardCommodityContractMember2021-09-300000895728us-gaap:FairValueInputsLevel3Memberus-gaap:MarketApproachValuationTechniqueMembersrt:NaturalGasReservesMemberenb:FinancialForwardC</w:t>
      </w:r>
      <w:r>
        <w:rPr>
          <w:rFonts w:eastAsia="Times New Roman"/>
          <w:vanish/>
        </w:rPr>
        <w:t>ommodityContractMembersrt:WeightedAverageMember2021-09-300000895728us-gaap:FairValueInputsLevel3Memberus-gaap:MarketApproachValuationTechniqueMemberus-gaap:FairValueMeasurementsRecurringMembersrt:CrudeOilMemberenb:FinancialForwardCommodityContractMember202</w:t>
      </w:r>
      <w:r>
        <w:rPr>
          <w:rFonts w:eastAsia="Times New Roman"/>
          <w:vanish/>
        </w:rPr>
        <w:t>1-09-30iso4217:CADutr:bbl0000895728us-gaap:FairValueInputsLevel3Memberus-gaap:MarketApproachValuationTechniqueMembersrt:MinimumMembersrt:CrudeOilMemberenb:FinancialForwardCommodityContractMember2021-09-300000895728us-gaap:FairValueInputsLevel3Memberus-gaap</w:t>
      </w:r>
      <w:r>
        <w:rPr>
          <w:rFonts w:eastAsia="Times New Roman"/>
          <w:vanish/>
        </w:rPr>
        <w:t>:MarketApproachValuationTechniqueMembersrt:MaximumMembersrt:CrudeOilMemberenb:FinancialForwardCommodityContractMember2021-09-300000895728us-gaap:FairValueInputsLevel3Memberus-gaap:MarketApproachValuationTechniqueMembersrt:CrudeOilMemberenb:FinancialForward</w:t>
      </w:r>
      <w:r>
        <w:rPr>
          <w:rFonts w:eastAsia="Times New Roman"/>
          <w:vanish/>
        </w:rPr>
        <w:t>CommodityContractMembersrt:WeightedAverageMember2021-09-300000895728us-gaap:FairValueInputsLevel3Memberus-gaap:MarketApproachValuationTechniqueMembersrt:NaturalGasLiquidsReservesMemberus-gaap:FairValueMeasurementsRecurringMemberenb:FinancialForwardCommodit</w:t>
      </w:r>
      <w:r>
        <w:rPr>
          <w:rFonts w:eastAsia="Times New Roman"/>
          <w:vanish/>
        </w:rPr>
        <w:t>yContractMember2021-09-30iso4217:CADenb:Gallon-gal0000895728us-gaap:FairValueInputsLevel3Memberus-gaap:MarketApproachValuationTechniqueMembersrt:NaturalGasLiquidsReservesMembersrt:MinimumMemberenb:FinancialForwardCommodityContractMember2021-09-300000895728</w:t>
      </w:r>
      <w:r>
        <w:rPr>
          <w:rFonts w:eastAsia="Times New Roman"/>
          <w:vanish/>
        </w:rPr>
        <w:t>us-gaap:FairValueInputsLevel3Memberus-gaap:MarketApproachValuationTechniqueMembersrt:NaturalGasLiquidsReservesMembersrt:MaximumMemberenb:FinancialForwardCommodityContractMember2021-09-300000895728us-gaap:FairValueInputsLevel3Memberus-gaap:MarketApproachVal</w:t>
      </w:r>
      <w:r>
        <w:rPr>
          <w:rFonts w:eastAsia="Times New Roman"/>
          <w:vanish/>
        </w:rPr>
        <w:t>uationTechniqueMembersrt:NaturalGasLiquidsReservesMemberenb:FinancialForwardCommodityContractMembersrt:WeightedAverageMember2021-09-300000895728us-gaap:FairValueInputsLevel3Memberus-gaap:MarketApproachValuationTechniqueMemberus-gaap:FairValueMeasurementsRe</w:t>
      </w:r>
      <w:r>
        <w:rPr>
          <w:rFonts w:eastAsia="Times New Roman"/>
          <w:vanish/>
        </w:rPr>
        <w:t>curringMemberenb:PowerMemberenb:FinancialForwardCommodityContractMember2021-09-30iso4217:CADutr:MWh0000895728us-gaap:FairValueInputsLevel3Memberus-gaap:MarketApproachValuationTechniqueMembersrt:MinimumMemberenb:PowerMemberenb:FinancialForwardCommodityContr</w:t>
      </w:r>
      <w:r>
        <w:rPr>
          <w:rFonts w:eastAsia="Times New Roman"/>
          <w:vanish/>
        </w:rPr>
        <w:t>actMember2021-09-300000895728us-gaap:FairValueInputsLevel3Memberus-gaap:MarketApproachValuationTechniqueMemberenb:PowerMembersrt:MaximumMemberenb:FinancialForwardCommodityContractMember2021-09-300000895728us-gaap:FairValueInputsLevel3Memberus-gaap:MarketAp</w:t>
      </w:r>
      <w:r>
        <w:rPr>
          <w:rFonts w:eastAsia="Times New Roman"/>
          <w:vanish/>
        </w:rPr>
        <w:t>proachValuationTechniqueMemberenb:PowerMemberenb:FinancialForwardCommodityContractMembersrt:WeightedAverageMember2021-09-300000895728enb:PhysicalForwardCommodityContractMemberus-gaap:FairValueInputsLevel3Memberus-gaap:MarketApproachValuationTechniqueMember</w:t>
      </w:r>
      <w:r>
        <w:rPr>
          <w:rFonts w:eastAsia="Times New Roman"/>
          <w:vanish/>
        </w:rPr>
        <w:t>us-gaap:FairValueMeasurementsRecurringMembersrt:NaturalGasReservesMember2021-09-300000895728enb:PhysicalForwardCommodityContractMemberus-gaap:FairValueInputsLevel3Memberus-gaap:MarketApproachValuationTechniqueMembersrt:MinimumMembersrt:NaturalGasReservesMe</w:t>
      </w:r>
      <w:r>
        <w:rPr>
          <w:rFonts w:eastAsia="Times New Roman"/>
          <w:vanish/>
        </w:rPr>
        <w:t>mber2021-09-300000895728enb:PhysicalForwardCommodityContractMemberus-gaap:FairValueInputsLevel3Memberus-gaap:MarketApproachValuationTechniqueMembersrt:NaturalGasReservesMembersrt:MaximumMember2021-09-300000895728enb:PhysicalForwardCommodityContractMemberus</w:t>
      </w:r>
      <w:r>
        <w:rPr>
          <w:rFonts w:eastAsia="Times New Roman"/>
          <w:vanish/>
        </w:rPr>
        <w:t>-gaap:FairValueInputsLevel3Memberus-gaap:MarketApproachValuationTechniqueMembersrt:NaturalGasReservesMembersrt:WeightedAverageMember2021-09-300000895728enb:PhysicalForwardCommodityContractMemberus-gaap:FairValueInputsLevel3Memberus-gaap:MarketApproachValua</w:t>
      </w:r>
      <w:r>
        <w:rPr>
          <w:rFonts w:eastAsia="Times New Roman"/>
          <w:vanish/>
        </w:rPr>
        <w:t>tionTechniqueMemberus-gaap:FairValueMeasurementsRecurringMembersrt:CrudeOilMember2021-09-300000895728enb:PhysicalForwardCommodityContractMemberus-gaap:FairValueInputsLevel3Memberus-gaap:MarketApproachValuationTechniqueMembersrt:MinimumMembersrt:CrudeOilMem</w:t>
      </w:r>
      <w:r>
        <w:rPr>
          <w:rFonts w:eastAsia="Times New Roman"/>
          <w:vanish/>
        </w:rPr>
        <w:t>ber2021-09-300000895728enb:PhysicalForwardCommodityContractMemberus-gaap:FairValueInputsLevel3Memberus-gaap:MarketApproachValuationTechniqueMembersrt:MaximumMembersrt:CrudeOilMember2021-09-300000895728enb:PhysicalForwardCommodityContractMemberus-gaap:FairV</w:t>
      </w:r>
      <w:r>
        <w:rPr>
          <w:rFonts w:eastAsia="Times New Roman"/>
          <w:vanish/>
        </w:rPr>
        <w:t>alueInputsLevel3Memberus-gaap:MarketApproachValuationTechniqueMembersrt:CrudeOilMembersrt:WeightedAverageMember2021-09-300000895728enb:PhysicalForwardCommodityContractMemberus-gaap:FairValueInputsLevel3Memberus-gaap:MarketApproachValuationTechniqueMembersr</w:t>
      </w:r>
      <w:r>
        <w:rPr>
          <w:rFonts w:eastAsia="Times New Roman"/>
          <w:vanish/>
        </w:rPr>
        <w:t>t:NaturalGasLiquidsReservesMemberus-gaap:FairValueMeasurementsRecurringMember2021-09-300000895728enb:PhysicalForwardCommodityContractMemberus-gaap:FairValueInputsLevel3Memberus-gaap:MarketApproachValuationTechniqueMembersrt:NaturalGasLiquidsReservesMembers</w:t>
      </w:r>
      <w:r>
        <w:rPr>
          <w:rFonts w:eastAsia="Times New Roman"/>
          <w:vanish/>
        </w:rPr>
        <w:t>rt:MinimumMember2021-09-300000895728enb:PhysicalForwardCommodityContractMemberus-gaap:FairValueInputsLevel3Memberus-gaap:MarketApproachValuationTechniqueMembersrt:NaturalGasLiquidsReservesMembersrt:MaximumMember2021-09-300000895728enb:PhysicalForwardCommod</w:t>
      </w:r>
      <w:r>
        <w:rPr>
          <w:rFonts w:eastAsia="Times New Roman"/>
          <w:vanish/>
        </w:rPr>
        <w:t>ityContractMemberus-gaap:FairValueInputsLevel3Memberus-gaap:MarketApproachValuationTechniqueMembersrt:NaturalGasLiquidsReservesMembersrt:WeightedAverageMember2021-09-300000895728us-gaap:NetInvestmentHedgingMember2021-01-012021-09-300000895728us-gaap:NetInv</w:t>
      </w:r>
      <w:r>
        <w:rPr>
          <w:rFonts w:eastAsia="Times New Roman"/>
          <w:vanish/>
        </w:rPr>
        <w:t>estmentHedgingMember2020-01-012020-09-300000895728us-gaap:EstimateOfFairValueFairValueDisclosureMember2021-09-300000895728us-gaap:EstimateOfFairValueFairValueDisclosureMember2020-12-310000895728enb:NovercoMember2021-09-300000895728us-gaap:PreferredStockMem</w:t>
      </w:r>
      <w:r>
        <w:rPr>
          <w:rFonts w:eastAsia="Times New Roman"/>
          <w:vanish/>
        </w:rPr>
        <w:t>ber2021-09-300000895728us-gaap:PreferredStockMember2020-12-310000895728us-gaap:PreferredStockMember2021-07-012021-09-300000895728us-gaap:CarryingReportedAmountFairValueDisclosureMember2021-09-300000895728us-gaap:CarryingReportedAmountFairValueDisclosureMem</w:t>
      </w:r>
      <w:r>
        <w:rPr>
          <w:rFonts w:eastAsia="Times New Roman"/>
          <w:vanish/>
        </w:rPr>
        <w:t>ber2020-12-310000895728enb:ModaMidstreamOperatingLLCModaMemberus-gaap:SubsequentEventMember2021-10-122021-10-12</w:t>
      </w:r>
    </w:p>
    <w:p w:rsidR="00000000" w:rsidRDefault="00EE1167">
      <w:pPr>
        <w:jc w:val="center"/>
        <w:divId w:val="213748140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jc w:val="center"/>
        </w:trPr>
        <w:tc>
          <w:tcPr>
            <w:tcW w:w="50" w:type="pct"/>
            <w:vAlign w:val="center"/>
            <w:hideMark/>
          </w:tcPr>
          <w:p w:rsidR="00000000" w:rsidRDefault="00EE1167">
            <w:pPr>
              <w:jc w:val="center"/>
              <w:rPr>
                <w:rFonts w:eastAsia="Times New Roman"/>
              </w:rPr>
            </w:pPr>
          </w:p>
        </w:tc>
        <w:tc>
          <w:tcPr>
            <w:tcW w:w="49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bl>
    <w:p w:rsidR="00000000" w:rsidRDefault="00EE1167">
      <w:pPr>
        <w:jc w:val="center"/>
        <w:rPr>
          <w:rFonts w:eastAsia="Times New Roman"/>
        </w:rPr>
      </w:pPr>
    </w:p>
    <w:p w:rsidR="00000000" w:rsidRDefault="00EE1167">
      <w:pPr>
        <w:jc w:val="center"/>
        <w:rPr>
          <w:rFonts w:eastAsia="Times New Roman"/>
        </w:rPr>
      </w:pPr>
      <w:r>
        <w:rPr>
          <w:rFonts w:ascii="Arial" w:eastAsia="Times New Roman" w:hAnsi="Arial" w:cs="Arial"/>
          <w:b/>
          <w:bCs/>
          <w:color w:val="000000"/>
          <w:sz w:val="26"/>
          <w:szCs w:val="26"/>
        </w:rPr>
        <w:t>UNITED STATES</w:t>
      </w:r>
    </w:p>
    <w:p w:rsidR="00000000" w:rsidRDefault="00EE1167">
      <w:pPr>
        <w:jc w:val="center"/>
        <w:rPr>
          <w:rFonts w:eastAsia="Times New Roman"/>
        </w:rPr>
      </w:pPr>
      <w:r>
        <w:rPr>
          <w:rFonts w:ascii="Arial" w:eastAsia="Times New Roman" w:hAnsi="Arial" w:cs="Arial"/>
          <w:b/>
          <w:bCs/>
          <w:color w:val="000000"/>
          <w:sz w:val="26"/>
          <w:szCs w:val="26"/>
        </w:rPr>
        <w:t>SECURITIES AND EXCHANGE COMMISSION</w:t>
      </w:r>
    </w:p>
    <w:p w:rsidR="00000000" w:rsidRDefault="00EE1167">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2077506182"/>
          <w:jc w:val="center"/>
        </w:trPr>
        <w:tc>
          <w:tcPr>
            <w:tcW w:w="20" w:type="dxa"/>
            <w:vAlign w:val="center"/>
            <w:hideMark/>
          </w:tcPr>
          <w:p w:rsidR="00000000" w:rsidRDefault="00EE1167">
            <w:pPr>
              <w:jc w:val="center"/>
              <w:rPr>
                <w:rFonts w:eastAsia="Times New Roman"/>
              </w:rPr>
            </w:pPr>
          </w:p>
        </w:tc>
        <w:tc>
          <w:tcPr>
            <w:tcW w:w="80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6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r>
      <w:tr w:rsidR="00000000">
        <w:trPr>
          <w:divId w:val="2077506182"/>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E1167">
            <w:pPr>
              <w:spacing w:after="100"/>
              <w:jc w:val="right"/>
              <w:divId w:val="30081459"/>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E1167">
            <w:pPr>
              <w:spacing w:after="100"/>
              <w:divId w:val="789935454"/>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EE1167">
            <w:pPr>
              <w:jc w:val="center"/>
              <w:rPr>
                <w:rFonts w:eastAsia="Times New Roman"/>
              </w:rPr>
            </w:pPr>
          </w:p>
        </w:tc>
        <w:tc>
          <w:tcPr>
            <w:tcW w:w="56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3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951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EE1167">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EE1167">
      <w:pPr>
        <w:jc w:val="center"/>
        <w:rPr>
          <w:rFonts w:eastAsia="Times New Roman"/>
        </w:rPr>
      </w:pPr>
      <w:r>
        <w:rPr>
          <w:rFonts w:ascii="Arial" w:eastAsia="Times New Roman" w:hAnsi="Arial" w:cs="Arial"/>
          <w:b/>
          <w:bCs/>
          <w:color w:val="000000"/>
          <w:sz w:val="20"/>
          <w:szCs w:val="20"/>
        </w:rPr>
        <w:t>For the quarterly period ended September 30, 2021</w:t>
      </w:r>
      <w:r>
        <w:rPr>
          <w:rFonts w:ascii="Arial" w:eastAsia="Times New Roman" w:hAnsi="Arial" w:cs="Arial"/>
          <w:color w:val="000000"/>
          <w:sz w:val="20"/>
          <w:szCs w:val="20"/>
        </w:rPr>
        <w:t xml:space="preserve"> </w:t>
      </w:r>
    </w:p>
    <w:p w:rsidR="00000000" w:rsidRDefault="00EE1167">
      <w:pPr>
        <w:jc w:val="center"/>
        <w:divId w:val="1272392053"/>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716129601"/>
          <w:jc w:val="center"/>
        </w:trPr>
        <w:tc>
          <w:tcPr>
            <w:tcW w:w="20" w:type="dxa"/>
            <w:vAlign w:val="center"/>
            <w:hideMark/>
          </w:tcPr>
          <w:p w:rsidR="00000000" w:rsidRDefault="00EE1167">
            <w:pPr>
              <w:jc w:val="center"/>
              <w:rPr>
                <w:rFonts w:eastAsia="Times New Roman"/>
              </w:rPr>
            </w:pPr>
          </w:p>
        </w:tc>
        <w:tc>
          <w:tcPr>
            <w:tcW w:w="54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3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954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r>
      <w:tr w:rsidR="00000000">
        <w:trPr>
          <w:divId w:val="716129601"/>
          <w:trHeight w:val="420"/>
          <w:jc w:val="center"/>
        </w:trPr>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EE1167">
            <w:pPr>
              <w:spacing w:after="100"/>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EE1167">
      <w:pPr>
        <w:jc w:val="center"/>
        <w:rPr>
          <w:rFonts w:eastAsia="Times New Roman"/>
        </w:rPr>
      </w:pPr>
      <w:r>
        <w:rPr>
          <w:rFonts w:ascii="Arial" w:eastAsia="Times New Roman" w:hAnsi="Arial" w:cs="Arial"/>
          <w:b/>
          <w:bCs/>
          <w:color w:val="000000"/>
          <w:sz w:val="20"/>
          <w:szCs w:val="20"/>
        </w:rPr>
        <w:t>For the transition period from            to           </w:t>
      </w:r>
    </w:p>
    <w:p w:rsidR="00000000" w:rsidRDefault="00EE1167">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1892646588"/>
          <w:jc w:val="center"/>
        </w:trPr>
        <w:tc>
          <w:tcPr>
            <w:tcW w:w="20" w:type="dxa"/>
            <w:vAlign w:val="center"/>
            <w:hideMark/>
          </w:tcPr>
          <w:p w:rsidR="00000000" w:rsidRDefault="00EE1167">
            <w:pPr>
              <w:jc w:val="center"/>
              <w:rPr>
                <w:rFonts w:eastAsia="Times New Roman"/>
              </w:rPr>
            </w:pPr>
          </w:p>
        </w:tc>
        <w:tc>
          <w:tcPr>
            <w:tcW w:w="338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338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338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r>
      <w:tr w:rsidR="00000000">
        <w:trPr>
          <w:divId w:val="1892646588"/>
          <w:trHeight w:val="880"/>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E1167">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r>
      <w:tr w:rsidR="00000000">
        <w:trPr>
          <w:divId w:val="1892646588"/>
          <w:trHeight w:val="300"/>
          <w:jc w:val="center"/>
        </w:trPr>
        <w:tc>
          <w:tcPr>
            <w:tcW w:w="0" w:type="auto"/>
            <w:gridSpan w:val="9"/>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rPr>
              <w:t>ENBRIDGE INC.</w:t>
            </w:r>
          </w:p>
        </w:tc>
      </w:tr>
      <w:tr w:rsidR="00000000">
        <w:trPr>
          <w:divId w:val="1892646588"/>
          <w:trHeight w:val="240"/>
          <w:jc w:val="center"/>
        </w:trPr>
        <w:tc>
          <w:tcPr>
            <w:tcW w:w="0" w:type="auto"/>
            <w:gridSpan w:val="9"/>
            <w:tcMar>
              <w:top w:w="30" w:type="dxa"/>
              <w:left w:w="20" w:type="dxa"/>
              <w:bottom w:w="30" w:type="dxa"/>
              <w:right w:w="20" w:type="dxa"/>
            </w:tcMar>
            <w:vAlign w:val="bottom"/>
            <w:hideMark/>
          </w:tcPr>
          <w:p w:rsidR="00000000" w:rsidRDefault="00EE1167">
            <w:pPr>
              <w:spacing w:after="100"/>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EE1167">
            <w:pPr>
              <w:jc w:val="center"/>
              <w:rPr>
                <w:rFonts w:eastAsia="Times New Roman"/>
              </w:rPr>
            </w:pPr>
          </w:p>
        </w:tc>
        <w:tc>
          <w:tcPr>
            <w:tcW w:w="233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15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33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EE1167">
            <w:pPr>
              <w:spacing w:after="100"/>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(State or Other Jurisdiction of</w:t>
            </w:r>
          </w:p>
          <w:p w:rsidR="00000000" w:rsidRDefault="00EE1167">
            <w:pPr>
              <w:spacing w:after="100"/>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(I.R.S. Employer</w:t>
            </w:r>
          </w:p>
          <w:p w:rsidR="00000000" w:rsidRDefault="00EE1167">
            <w:pPr>
              <w:spacing w:after="100"/>
              <w:jc w:val="center"/>
              <w:rPr>
                <w:rFonts w:eastAsia="Times New Roman"/>
              </w:rPr>
            </w:pPr>
            <w:r>
              <w:rPr>
                <w:rFonts w:ascii="Arial" w:eastAsia="Times New Roman" w:hAnsi="Arial" w:cs="Arial"/>
                <w:color w:val="000000"/>
                <w:sz w:val="20"/>
                <w:szCs w:val="20"/>
              </w:rPr>
              <w:t>Identification No.)</w:t>
            </w:r>
          </w:p>
        </w:tc>
      </w:tr>
    </w:tbl>
    <w:p w:rsidR="00000000" w:rsidRDefault="00EE1167">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EE1167">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EE1167">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EE1167">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EE1167">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EE1167">
      <w:pPr>
        <w:jc w:val="center"/>
        <w:rPr>
          <w:rFonts w:eastAsia="Times New Roman"/>
        </w:rPr>
      </w:pPr>
      <w:r>
        <w:rPr>
          <w:rFonts w:ascii="Arial" w:eastAsia="Times New Roman" w:hAnsi="Arial" w:cs="Arial"/>
          <w:color w:val="000000"/>
          <w:sz w:val="12"/>
          <w:szCs w:val="12"/>
        </w:rPr>
        <w:t>_______________________________</w:t>
      </w:r>
    </w:p>
    <w:p w:rsidR="00000000" w:rsidRDefault="00EE1167">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jc w:val="center"/>
        </w:trPr>
        <w:tc>
          <w:tcPr>
            <w:tcW w:w="50" w:type="pct"/>
            <w:vAlign w:val="center"/>
            <w:hideMark/>
          </w:tcPr>
          <w:p w:rsidR="00000000" w:rsidRDefault="00EE1167">
            <w:pPr>
              <w:ind w:firstLine="45"/>
              <w:jc w:val="center"/>
              <w:rPr>
                <w:rFonts w:eastAsia="Times New Roman"/>
              </w:rPr>
            </w:pPr>
          </w:p>
        </w:tc>
        <w:tc>
          <w:tcPr>
            <w:tcW w:w="144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2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115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2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1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New York Stock Exchange</w:t>
            </w: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New York Stock Exchange</w:t>
            </w:r>
          </w:p>
        </w:tc>
      </w:tr>
    </w:tbl>
    <w:p w:rsidR="00000000" w:rsidRDefault="00EE1167">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EE1167">
      <w:pPr>
        <w:jc w:val="both"/>
        <w:divId w:val="1722752444"/>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EE1167">
      <w:pPr>
        <w:jc w:val="both"/>
        <w:divId w:val="1375084563"/>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Arial" w:eastAsia="Times New Roman" w:hAnsi="Arial" w:cs="Arial"/>
          <w:color w:val="000000"/>
          <w:sz w:val="16"/>
          <w:szCs w:val="16"/>
        </w:rPr>
        <w:t>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EE1167">
      <w:pPr>
        <w:jc w:val="both"/>
        <w:rPr>
          <w:rFonts w:eastAsia="Times New Roman"/>
        </w:rPr>
      </w:pPr>
      <w:r>
        <w:rPr>
          <w:rFonts w:ascii="Arial" w:eastAsia="Times New Roman" w:hAnsi="Arial" w:cs="Arial"/>
          <w:color w:val="000000"/>
          <w:sz w:val="16"/>
          <w:szCs w:val="16"/>
        </w:rPr>
        <w:t>Indicate by check mark whether the registrant is a large accelerated filer, an accelerated filer, a non-accelerated filer, a smaller reporting company, or an emerging growth company. See the d</w:t>
      </w:r>
      <w:r>
        <w:rPr>
          <w:rFonts w:ascii="Arial" w:eastAsia="Times New Roman" w:hAnsi="Arial" w:cs="Arial"/>
          <w:color w:val="000000"/>
          <w:sz w:val="16"/>
          <w:szCs w:val="16"/>
        </w:rPr>
        <w:t>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c>
          <w:tcPr>
            <w:tcW w:w="20" w:type="dxa"/>
            <w:vAlign w:val="center"/>
            <w:hideMark/>
          </w:tcPr>
          <w:p w:rsidR="00000000" w:rsidRDefault="00EE1167">
            <w:pPr>
              <w:jc w:val="both"/>
              <w:rPr>
                <w:rFonts w:eastAsia="Times New Roman"/>
              </w:rPr>
            </w:pPr>
          </w:p>
        </w:tc>
        <w:tc>
          <w:tcPr>
            <w:tcW w:w="200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30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5495"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0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c>
          <w:tcPr>
            <w:tcW w:w="260" w:type="dxa"/>
            <w:vAlign w:val="center"/>
            <w:hideMark/>
          </w:tcPr>
          <w:p w:rsidR="00000000" w:rsidRDefault="00EE1167">
            <w:pPr>
              <w:spacing w:after="100"/>
              <w:rPr>
                <w:rFonts w:eastAsia="Times New Roman"/>
                <w:sz w:val="20"/>
                <w:szCs w:val="20"/>
              </w:rPr>
            </w:pPr>
          </w:p>
        </w:tc>
        <w:tc>
          <w:tcPr>
            <w:tcW w:w="20" w:type="dxa"/>
            <w:vAlign w:val="center"/>
            <w:hideMark/>
          </w:tcPr>
          <w:p w:rsidR="00000000" w:rsidRDefault="00EE1167">
            <w:pPr>
              <w:spacing w:after="100"/>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EE1167">
            <w:pPr>
              <w:spacing w:after="100"/>
              <w:divId w:val="21248103"/>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EE1167">
            <w:pPr>
              <w:spacing w:after="100"/>
              <w:divId w:val="1777748738"/>
              <w:rPr>
                <w:rFonts w:eastAsia="Times New Roman"/>
              </w:rPr>
            </w:pPr>
            <w:r>
              <w:rPr>
                <w:rFonts w:ascii="Arial" w:eastAsia="Times New Roman" w:hAnsi="Arial" w:cs="Arial"/>
                <w:color w:val="000000"/>
                <w:sz w:val="16"/>
                <w:szCs w:val="16"/>
              </w:rPr>
              <w:lastRenderedPageBreak/>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EE1167">
            <w:pPr>
              <w:spacing w:after="100"/>
              <w:divId w:val="665085785"/>
              <w:rPr>
                <w:rFonts w:eastAsia="Times New Roman"/>
              </w:rPr>
            </w:pPr>
            <w:r>
              <w:rPr>
                <w:rFonts w:ascii="Arial" w:eastAsia="Times New Roman" w:hAnsi="Arial" w:cs="Arial"/>
                <w:color w:val="000000"/>
                <w:sz w:val="16"/>
                <w:szCs w:val="16"/>
              </w:rPr>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r>
    </w:tbl>
    <w:p w:rsidR="00000000" w:rsidRDefault="00EE1167">
      <w:pPr>
        <w:jc w:val="both"/>
        <w:divId w:val="1168330616"/>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EE1167">
      <w:pPr>
        <w:jc w:val="both"/>
        <w:divId w:val="1114246088"/>
        <w:rPr>
          <w:rFonts w:eastAsia="Times New Roman"/>
        </w:rPr>
      </w:pPr>
      <w:r>
        <w:rPr>
          <w:rFonts w:ascii="Arial" w:eastAsia="Times New Roman" w:hAnsi="Arial" w:cs="Arial"/>
          <w:color w:val="000000"/>
          <w:sz w:val="16"/>
          <w:szCs w:val="16"/>
        </w:rPr>
        <w:t>Indicate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EE1167">
      <w:pPr>
        <w:divId w:val="85620671"/>
        <w:rPr>
          <w:rFonts w:eastAsia="Times New Roman"/>
        </w:rPr>
      </w:pPr>
      <w:r>
        <w:rPr>
          <w:rFonts w:ascii="Arial" w:eastAsia="Times New Roman" w:hAnsi="Arial" w:cs="Arial"/>
          <w:color w:val="000000"/>
          <w:sz w:val="16"/>
          <w:szCs w:val="16"/>
        </w:rPr>
        <w:t>The registrant had 2,025,962,505 common shares outstanding as at October 29, 2021.</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201987028"/>
        </w:trPr>
        <w:tc>
          <w:tcPr>
            <w:tcW w:w="50" w:type="pct"/>
            <w:vAlign w:val="center"/>
            <w:hideMark/>
          </w:tcPr>
          <w:p w:rsidR="00000000" w:rsidRDefault="00EE1167">
            <w:pPr>
              <w:rPr>
                <w:rFonts w:eastAsia="Times New Roman"/>
              </w:rPr>
            </w:pPr>
          </w:p>
        </w:tc>
        <w:tc>
          <w:tcPr>
            <w:tcW w:w="49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01987028"/>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bl>
    <w:p w:rsidR="00000000" w:rsidRDefault="00EE1167">
      <w:pPr>
        <w:jc w:val="center"/>
        <w:divId w:val="1114713135"/>
        <w:rPr>
          <w:rFonts w:eastAsia="Times New Roman"/>
        </w:rPr>
      </w:pPr>
      <w:r>
        <w:rPr>
          <w:rFonts w:ascii="Arial" w:eastAsia="Times New Roman" w:hAnsi="Arial" w:cs="Arial"/>
          <w:color w:val="000000"/>
          <w:sz w:val="20"/>
          <w:szCs w:val="20"/>
        </w:rPr>
        <w:t>1</w:t>
      </w:r>
    </w:p>
    <w:p w:rsidR="00000000" w:rsidRDefault="00EE1167">
      <w:pPr>
        <w:rPr>
          <w:rFonts w:eastAsia="Times New Roman"/>
        </w:rPr>
      </w:pPr>
      <w:r>
        <w:rPr>
          <w:rFonts w:eastAsia="Times New Roman"/>
        </w:rPr>
        <w:pict>
          <v:rect id="_x0000_i1026" style="width:0;height:1.5pt" o:hralign="center" o:hrstd="t" o:hr="t" fillcolor="#a0a0a0" stroked="f"/>
        </w:pict>
      </w:r>
    </w:p>
    <w:p w:rsidR="00000000" w:rsidRDefault="00EE1167">
      <w:pPr>
        <w:jc w:val="center"/>
        <w:divId w:val="59913966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jc w:val="center"/>
        </w:trPr>
        <w:tc>
          <w:tcPr>
            <w:tcW w:w="50" w:type="pct"/>
            <w:vAlign w:val="center"/>
            <w:hideMark/>
          </w:tcPr>
          <w:p w:rsidR="00000000" w:rsidRDefault="00EE1167">
            <w:pPr>
              <w:jc w:val="center"/>
              <w:rPr>
                <w:rFonts w:eastAsia="Times New Roman"/>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9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20"/>
                <w:szCs w:val="20"/>
              </w:rPr>
              <w:t>PART I</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EE1167">
            <w:pPr>
              <w:spacing w:after="100"/>
              <w:divId w:val="2019580250"/>
              <w:rPr>
                <w:rFonts w:eastAsia="Times New Roman"/>
              </w:rPr>
            </w:pPr>
            <w:hyperlink w:anchor="i9df9d95fedb8475db3cf4b9e63ed7885_22"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2" w:history="1">
              <w:r>
                <w:rPr>
                  <w:rStyle w:val="a3"/>
                  <w:rFonts w:ascii="Arial" w:eastAsia="Times New Roman" w:hAnsi="Arial" w:cs="Arial"/>
                  <w:sz w:val="20"/>
                  <w:szCs w:val="20"/>
                </w:rPr>
                <w:t>6</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EE1167">
            <w:pPr>
              <w:spacing w:after="100"/>
              <w:divId w:val="2020502204"/>
              <w:rPr>
                <w:rFonts w:eastAsia="Times New Roman"/>
              </w:rPr>
            </w:pPr>
            <w:hyperlink w:anchor="i9df9d95fedb8475db3cf4b9e63ed7885_124"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124" w:history="1">
              <w:r>
                <w:rPr>
                  <w:rStyle w:val="a3"/>
                  <w:rFonts w:ascii="Arial" w:eastAsia="Times New Roman" w:hAnsi="Arial" w:cs="Arial"/>
                  <w:sz w:val="20"/>
                  <w:szCs w:val="20"/>
                </w:rPr>
                <w:t>37</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EE1167">
            <w:pPr>
              <w:spacing w:after="100"/>
              <w:divId w:val="1535465664"/>
              <w:rPr>
                <w:rFonts w:eastAsia="Times New Roman"/>
              </w:rPr>
            </w:pPr>
            <w:hyperlink w:anchor="i9df9d95fedb8475db3cf4b9e63ed7885_208"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08" w:history="1">
              <w:r>
                <w:rPr>
                  <w:rStyle w:val="a3"/>
                  <w:rFonts w:ascii="Arial" w:eastAsia="Times New Roman" w:hAnsi="Arial" w:cs="Arial"/>
                  <w:sz w:val="20"/>
                  <w:szCs w:val="20"/>
                </w:rPr>
                <w:t>63</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EE1167">
            <w:pPr>
              <w:spacing w:after="100"/>
              <w:divId w:val="1416437266"/>
              <w:rPr>
                <w:rFonts w:eastAsia="Times New Roman"/>
              </w:rPr>
            </w:pPr>
            <w:hyperlink w:anchor="i9df9d95fedb8475db3cf4b9e63ed7885_211"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11" w:history="1">
              <w:r>
                <w:rPr>
                  <w:rStyle w:val="a3"/>
                  <w:rFonts w:ascii="Arial" w:eastAsia="Times New Roman" w:hAnsi="Arial" w:cs="Arial"/>
                  <w:sz w:val="20"/>
                  <w:szCs w:val="20"/>
                </w:rPr>
                <w:t>63</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EE1167">
            <w:pPr>
              <w:spacing w:after="100"/>
              <w:divId w:val="938873733"/>
              <w:rPr>
                <w:rFonts w:eastAsia="Times New Roman"/>
              </w:rPr>
            </w:pPr>
            <w:hyperlink w:anchor="i9df9d95fedb8475db3cf4b9e63ed7885_217"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17" w:history="1">
              <w:r>
                <w:rPr>
                  <w:rStyle w:val="a3"/>
                  <w:rFonts w:ascii="Arial" w:eastAsia="Times New Roman" w:hAnsi="Arial" w:cs="Arial"/>
                  <w:sz w:val="20"/>
                  <w:szCs w:val="20"/>
                </w:rPr>
                <w:t>65</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EE1167">
            <w:pPr>
              <w:spacing w:after="100"/>
              <w:divId w:val="1743483566"/>
              <w:rPr>
                <w:rFonts w:eastAsia="Times New Roman"/>
              </w:rPr>
            </w:pPr>
            <w:hyperlink w:anchor="i9df9d95fedb8475db3cf4b9e63ed7885_220"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20" w:history="1">
              <w:r>
                <w:rPr>
                  <w:rStyle w:val="a3"/>
                  <w:rFonts w:ascii="Arial" w:eastAsia="Times New Roman" w:hAnsi="Arial" w:cs="Arial"/>
                  <w:sz w:val="20"/>
                  <w:szCs w:val="20"/>
                </w:rPr>
                <w:t>65</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EE1167">
            <w:pPr>
              <w:spacing w:after="100"/>
              <w:divId w:val="596602959"/>
              <w:rPr>
                <w:rFonts w:eastAsia="Times New Roman"/>
              </w:rPr>
            </w:pPr>
            <w:hyperlink w:anchor="i9df9d95fedb8475db3cf4b9e63ed7885_223" w:history="1">
              <w:r>
                <w:rPr>
                  <w:rStyle w:val="a3"/>
                  <w:rFonts w:ascii="Arial" w:eastAsia="Times New Roman" w:hAnsi="Arial" w:cs="Arial"/>
                  <w:sz w:val="20"/>
                  <w:szCs w:val="20"/>
                </w:rPr>
                <w:t>Unregistered Sales of Equity Securities and U</w:t>
              </w:r>
              <w:r>
                <w:rPr>
                  <w:rStyle w:val="a3"/>
                  <w:rFonts w:ascii="Arial" w:eastAsia="Times New Roman" w:hAnsi="Arial" w:cs="Arial"/>
                  <w:sz w:val="20"/>
                  <w:szCs w:val="20"/>
                </w:rPr>
                <w:t>se of Proceeds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23" w:history="1">
              <w:r>
                <w:rPr>
                  <w:rStyle w:val="a3"/>
                  <w:rFonts w:ascii="Arial" w:eastAsia="Times New Roman" w:hAnsi="Arial" w:cs="Arial"/>
                  <w:sz w:val="20"/>
                  <w:szCs w:val="20"/>
                </w:rPr>
                <w:t>65</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EE1167">
            <w:pPr>
              <w:spacing w:after="100"/>
              <w:divId w:val="798719893"/>
              <w:rPr>
                <w:rFonts w:eastAsia="Times New Roman"/>
              </w:rPr>
            </w:pPr>
            <w:hyperlink w:anchor="i9df9d95fedb8475db3cf4b9e63ed7885_226"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26" w:history="1">
              <w:r>
                <w:rPr>
                  <w:rStyle w:val="a3"/>
                  <w:rFonts w:ascii="Arial" w:eastAsia="Times New Roman" w:hAnsi="Arial" w:cs="Arial"/>
                  <w:sz w:val="20"/>
                  <w:szCs w:val="20"/>
                </w:rPr>
                <w:t>65</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EE1167">
            <w:pPr>
              <w:spacing w:after="100"/>
              <w:divId w:val="361788312"/>
              <w:rPr>
                <w:rFonts w:eastAsia="Times New Roman"/>
              </w:rPr>
            </w:pPr>
            <w:hyperlink w:anchor="i9df9d95fedb8475db3cf4b9e63ed7885_229"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29" w:history="1">
              <w:r>
                <w:rPr>
                  <w:rStyle w:val="a3"/>
                  <w:rFonts w:ascii="Arial" w:eastAsia="Times New Roman" w:hAnsi="Arial" w:cs="Arial"/>
                  <w:sz w:val="20"/>
                  <w:szCs w:val="20"/>
                </w:rPr>
                <w:t>65</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EE1167">
            <w:pPr>
              <w:spacing w:after="100"/>
              <w:divId w:val="976452543"/>
              <w:rPr>
                <w:rFonts w:eastAsia="Times New Roman"/>
              </w:rPr>
            </w:pPr>
            <w:hyperlink w:anchor="i9df9d95fedb8475db3cf4b9e63ed7885_232"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32" w:history="1">
              <w:r>
                <w:rPr>
                  <w:rStyle w:val="a3"/>
                  <w:rFonts w:ascii="Arial" w:eastAsia="Times New Roman" w:hAnsi="Arial" w:cs="Arial"/>
                  <w:sz w:val="20"/>
                  <w:szCs w:val="20"/>
                </w:rPr>
                <w:t>66</w:t>
              </w:r>
            </w:hyperlink>
          </w:p>
        </w:tc>
      </w:tr>
      <w:tr w:rsidR="00000000">
        <w:trPr>
          <w:jc w:val="center"/>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EE1167">
            <w:pPr>
              <w:spacing w:after="100"/>
              <w:divId w:val="186215298"/>
              <w:rPr>
                <w:rFonts w:eastAsia="Times New Roman"/>
              </w:rPr>
            </w:pPr>
            <w:hyperlink w:anchor="i9df9d95fedb8475db3cf4b9e63ed7885_235"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35" w:history="1">
              <w:r>
                <w:rPr>
                  <w:rStyle w:val="a3"/>
                  <w:rFonts w:ascii="Arial" w:eastAsia="Times New Roman" w:hAnsi="Arial" w:cs="Arial"/>
                  <w:sz w:val="20"/>
                  <w:szCs w:val="20"/>
                </w:rPr>
                <w:t>66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EE1167">
            <w:pPr>
              <w:spacing w:after="100"/>
              <w:divId w:val="1974020482"/>
              <w:rPr>
                <w:rFonts w:eastAsia="Times New Roman"/>
              </w:rPr>
            </w:pPr>
            <w:hyperlink w:anchor="i9df9d95fedb8475db3cf4b9e63ed7885_238"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hyperlink w:anchor="i9df9d95fedb8475db3cf4b9e63ed7885_238" w:history="1">
              <w:r>
                <w:rPr>
                  <w:rStyle w:val="a3"/>
                  <w:rFonts w:ascii="Arial" w:eastAsia="Times New Roman" w:hAnsi="Arial" w:cs="Arial"/>
                  <w:sz w:val="20"/>
                  <w:szCs w:val="20"/>
                </w:rPr>
                <w:t>67</w:t>
              </w:r>
            </w:hyperlink>
          </w:p>
        </w:tc>
      </w:tr>
    </w:tbl>
    <w:p w:rsidR="00000000" w:rsidRDefault="00EE1167">
      <w:pPr>
        <w:divId w:val="959068485"/>
        <w:rPr>
          <w:rFonts w:eastAsia="Times New Roman"/>
        </w:rPr>
      </w:pPr>
    </w:p>
    <w:p w:rsidR="00000000" w:rsidRDefault="00EE1167">
      <w:pPr>
        <w:jc w:val="center"/>
        <w:divId w:val="430585504"/>
        <w:rPr>
          <w:rFonts w:eastAsia="Times New Roman"/>
        </w:rPr>
      </w:pPr>
      <w:r>
        <w:rPr>
          <w:rFonts w:ascii="Arial" w:eastAsia="Times New Roman" w:hAnsi="Arial" w:cs="Arial"/>
          <w:color w:val="000000"/>
          <w:sz w:val="20"/>
          <w:szCs w:val="20"/>
        </w:rPr>
        <w:t>2</w:t>
      </w:r>
    </w:p>
    <w:p w:rsidR="00000000" w:rsidRDefault="00EE1167">
      <w:pPr>
        <w:rPr>
          <w:rFonts w:eastAsia="Times New Roman"/>
        </w:rPr>
      </w:pPr>
      <w:r>
        <w:rPr>
          <w:rFonts w:eastAsia="Times New Roman"/>
        </w:rPr>
        <w:pict>
          <v:rect id="_x0000_i1027" style="width:0;height:1.5pt" o:hralign="center" o:hrstd="t" o:hr="t" fillcolor="#a0a0a0" stroked="f"/>
        </w:pict>
      </w:r>
    </w:p>
    <w:p w:rsidR="00000000" w:rsidRDefault="00EE1167">
      <w:pPr>
        <w:jc w:val="center"/>
        <w:divId w:val="1656373903"/>
        <w:rPr>
          <w:rFonts w:eastAsia="Times New Roman"/>
        </w:rPr>
      </w:pPr>
    </w:p>
    <w:p w:rsidR="00000000" w:rsidRDefault="00EE1167">
      <w:pPr>
        <w:divId w:val="377437987"/>
        <w:rPr>
          <w:rFonts w:eastAsia="Times New Roman"/>
        </w:rPr>
      </w:pPr>
      <w:r>
        <w:rPr>
          <w:rFonts w:ascii="Arial" w:eastAsia="Times New Roman" w:hAnsi="Arial" w:cs="Arial"/>
          <w:b/>
          <w:bCs/>
          <w:color w:val="000000"/>
          <w:sz w:val="26"/>
          <w:szCs w:val="26"/>
        </w:rPr>
        <w:t>GLOSSARY</w:t>
      </w:r>
    </w:p>
    <w:p w:rsidR="00000000" w:rsidRDefault="00EE1167">
      <w:pPr>
        <w:divId w:val="1146773872"/>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2024"/>
        <w:gridCol w:w="37"/>
        <w:gridCol w:w="69"/>
        <w:gridCol w:w="6071"/>
        <w:gridCol w:w="36"/>
      </w:tblGrid>
      <w:tr w:rsidR="00000000">
        <w:trPr>
          <w:divId w:val="1417703834"/>
        </w:trPr>
        <w:tc>
          <w:tcPr>
            <w:tcW w:w="50" w:type="pct"/>
            <w:vAlign w:val="center"/>
            <w:hideMark/>
          </w:tcPr>
          <w:p w:rsidR="00000000" w:rsidRDefault="00EE1167">
            <w:pPr>
              <w:rPr>
                <w:rFonts w:eastAsia="Times New Roman"/>
              </w:rPr>
            </w:pPr>
          </w:p>
        </w:tc>
        <w:tc>
          <w:tcPr>
            <w:tcW w:w="122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6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17703834"/>
          <w:trHeight w:val="24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Accumulated other comprehensive loss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Army Corps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United States Army Corps of Engineers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ASC</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Accounting Standards Codification</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Accounting Standards Update</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CPP Investments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Canada Pension Plan Investment Board</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lastRenderedPageBreak/>
              <w:t>DAPL</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Dakota Access Pipeline</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DCP Midstream</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DCP Midstream, LLC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Enbridge Energy Partners, L.P.</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EIS</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Environmental Impact Statement</w:t>
            </w:r>
          </w:p>
        </w:tc>
      </w:tr>
      <w:tr w:rsidR="00000000">
        <w:trPr>
          <w:divId w:val="141770383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EMF</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Éolien Maritime France SAS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Enbridge</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Enbridge Inc.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Enbridge Gas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Enbridge Gas Inc.</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Federal Energy Regulatory Commission</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MTN</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Medium-term notes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MW</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Megawatts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Natural gas liquids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Noverco</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Noverco Inc.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Other comprehensive income/(loss)</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OEB</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Ontario Energy Board</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OPEB</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Other postretirement benefits</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PADD II</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Petroleum Administration for Defense District - Midwest District</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divId w:val="471408103"/>
              <w:rPr>
                <w:rFonts w:eastAsia="Times New Roman"/>
              </w:rPr>
            </w:pPr>
            <w:r>
              <w:rPr>
                <w:rFonts w:ascii="Arial" w:eastAsia="Times New Roman" w:hAnsi="Arial" w:cs="Arial"/>
                <w:color w:val="000000"/>
                <w:sz w:val="20"/>
                <w:szCs w:val="20"/>
              </w:rPr>
              <w:t>PennEast</w:t>
            </w:r>
          </w:p>
        </w:tc>
        <w:tc>
          <w:tcPr>
            <w:tcW w:w="0" w:type="auto"/>
            <w:gridSpan w:val="3"/>
            <w:tcMar>
              <w:top w:w="30" w:type="dxa"/>
              <w:left w:w="20" w:type="dxa"/>
              <w:bottom w:w="30" w:type="dxa"/>
              <w:right w:w="20" w:type="dxa"/>
            </w:tcMar>
            <w:hideMark/>
          </w:tcPr>
          <w:p w:rsidR="00000000" w:rsidRDefault="00EE1167">
            <w:pPr>
              <w:spacing w:after="100"/>
              <w:divId w:val="1042945690"/>
              <w:rPr>
                <w:rFonts w:eastAsia="Times New Roman"/>
              </w:rPr>
            </w:pPr>
            <w:r>
              <w:rPr>
                <w:rFonts w:ascii="Arial" w:eastAsia="Times New Roman" w:hAnsi="Arial" w:cs="Arial"/>
                <w:color w:val="000000"/>
                <w:sz w:val="20"/>
                <w:szCs w:val="20"/>
              </w:rPr>
              <w:t>PennEast Pipeline Company, L.L.C.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Spectra Energy Partners, LP</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SESH</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Southeast Supply Header, L.L.C.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Steckman</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Steckman Ridge, LP</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Texas Eastern</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Texas Eastern Transmission, LP</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the Partnerships</w:t>
            </w:r>
          </w:p>
        </w:tc>
        <w:tc>
          <w:tcPr>
            <w:tcW w:w="0" w:type="auto"/>
            <w:gridSpan w:val="3"/>
            <w:tcMar>
              <w:top w:w="30" w:type="dxa"/>
              <w:left w:w="20" w:type="dxa"/>
              <w:bottom w:w="30" w:type="dxa"/>
              <w:right w:w="20" w:type="dxa"/>
            </w:tcMar>
            <w:hideMark/>
          </w:tcPr>
          <w:p w:rsidR="00000000" w:rsidRDefault="00EE1167">
            <w:pPr>
              <w:spacing w:after="100"/>
              <w:divId w:val="403843622"/>
              <w:rPr>
                <w:rFonts w:eastAsia="Times New Roman"/>
              </w:rPr>
            </w:pPr>
            <w:r>
              <w:rPr>
                <w:rFonts w:ascii="Arial" w:eastAsia="Times New Roman" w:hAnsi="Arial" w:cs="Arial"/>
                <w:color w:val="000000"/>
                <w:sz w:val="20"/>
                <w:szCs w:val="20"/>
              </w:rPr>
              <w:t>Spectra Energy Partners, LP (SEP) and Enbridge Energy Partners, L.P. (EEP)</w:t>
            </w:r>
          </w:p>
          <w:p w:rsidR="00000000" w:rsidRDefault="00EE1167">
            <w:pPr>
              <w:spacing w:after="100"/>
              <w:divId w:val="2074887601"/>
              <w:rPr>
                <w:rFonts w:eastAsia="Times New Roman"/>
              </w:rPr>
            </w:pP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the State</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State of Michigan</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the Straits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Straits of Mackinac</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United States of America</w:t>
            </w:r>
          </w:p>
        </w:tc>
      </w:tr>
      <w:tr w:rsidR="00000000">
        <w:trPr>
          <w:divId w:val="1417703834"/>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US$</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Unites States dollars</w:t>
            </w:r>
          </w:p>
        </w:tc>
      </w:tr>
      <w:tr w:rsidR="00000000">
        <w:trPr>
          <w:divId w:val="1417703834"/>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7038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bl>
    <w:p w:rsidR="00000000" w:rsidRDefault="00EE1167">
      <w:pPr>
        <w:jc w:val="center"/>
        <w:divId w:val="997881310"/>
        <w:rPr>
          <w:rFonts w:eastAsia="Times New Roman"/>
        </w:rPr>
      </w:pPr>
      <w:r>
        <w:rPr>
          <w:rFonts w:ascii="Arial" w:eastAsia="Times New Roman" w:hAnsi="Arial" w:cs="Arial"/>
          <w:color w:val="000000"/>
          <w:sz w:val="20"/>
          <w:szCs w:val="20"/>
        </w:rPr>
        <w:t>3</w:t>
      </w:r>
    </w:p>
    <w:p w:rsidR="00000000" w:rsidRDefault="00EE1167">
      <w:pPr>
        <w:rPr>
          <w:rFonts w:eastAsia="Times New Roman"/>
        </w:rPr>
      </w:pPr>
      <w:r>
        <w:rPr>
          <w:rFonts w:eastAsia="Times New Roman"/>
        </w:rPr>
        <w:pict>
          <v:rect id="_x0000_i1028" style="width:0;height:1.5pt" o:hralign="center" o:hrstd="t" o:hr="t" fillcolor="#a0a0a0" stroked="f"/>
        </w:pict>
      </w:r>
    </w:p>
    <w:p w:rsidR="00000000" w:rsidRDefault="00EE1167">
      <w:pPr>
        <w:jc w:val="center"/>
        <w:divId w:val="472450698"/>
        <w:rPr>
          <w:rFonts w:eastAsia="Times New Roman"/>
        </w:rPr>
      </w:pPr>
    </w:p>
    <w:p w:rsidR="00000000" w:rsidRDefault="00EE1167">
      <w:pPr>
        <w:divId w:val="1554653594"/>
        <w:rPr>
          <w:rFonts w:eastAsia="Times New Roman"/>
        </w:rPr>
      </w:pPr>
      <w:r>
        <w:rPr>
          <w:rFonts w:ascii="Arial" w:eastAsia="Times New Roman" w:hAnsi="Arial" w:cs="Arial"/>
          <w:b/>
          <w:bCs/>
          <w:color w:val="000000"/>
          <w:sz w:val="26"/>
          <w:szCs w:val="26"/>
        </w:rPr>
        <w:t>CONVENTIONS</w:t>
      </w:r>
    </w:p>
    <w:p w:rsidR="00000000" w:rsidRDefault="00EE1167">
      <w:pPr>
        <w:divId w:val="525561327"/>
        <w:rPr>
          <w:rFonts w:eastAsia="Times New Roman"/>
        </w:rPr>
      </w:pPr>
    </w:p>
    <w:p w:rsidR="00000000" w:rsidRDefault="00EE1167">
      <w:pPr>
        <w:divId w:val="605624140"/>
        <w:rPr>
          <w:rFonts w:eastAsia="Times New Roman"/>
        </w:rPr>
      </w:pPr>
      <w:r>
        <w:rPr>
          <w:rFonts w:ascii="Arial" w:eastAsia="Times New Roman" w:hAnsi="Arial" w:cs="Arial"/>
          <w:color w:val="000000"/>
          <w:sz w:val="20"/>
          <w:szCs w:val="20"/>
        </w:rPr>
        <w:lastRenderedPageBreak/>
        <w:t xml:space="preserve">The terms "we", "our", "us" and "Enbridge" as used in this report refer collectively to Enbridge Inc. unless the context suggests otherwise. These terms are used for convenience only and are not intended </w:t>
      </w:r>
      <w:r>
        <w:rPr>
          <w:rFonts w:ascii="Arial" w:eastAsia="Times New Roman" w:hAnsi="Arial" w:cs="Arial"/>
          <w:color w:val="000000"/>
          <w:sz w:val="20"/>
          <w:szCs w:val="20"/>
        </w:rPr>
        <w:t>as a precise description of any separate legal entity within Enbridge.</w:t>
      </w:r>
    </w:p>
    <w:p w:rsidR="00000000" w:rsidRDefault="00EE1167">
      <w:pPr>
        <w:divId w:val="1588230181"/>
        <w:rPr>
          <w:rFonts w:eastAsia="Times New Roman"/>
        </w:rPr>
      </w:pPr>
    </w:p>
    <w:p w:rsidR="00000000" w:rsidRDefault="00EE1167">
      <w:pPr>
        <w:divId w:val="1195311792"/>
        <w:rPr>
          <w:rFonts w:eastAsia="Times New Roman"/>
        </w:rPr>
      </w:pPr>
      <w:r>
        <w:rPr>
          <w:rFonts w:ascii="Arial" w:eastAsia="Times New Roman" w:hAnsi="Arial" w:cs="Arial"/>
          <w:color w:val="000000"/>
          <w:sz w:val="20"/>
          <w:szCs w:val="20"/>
        </w:rPr>
        <w:t>Unless otherwise specified, all dollar amounts are expressed in Canadian dollars, all references to “dollars”, “$” or “C$” are to Canadian dollars and all references to “US$” are to U</w:t>
      </w:r>
      <w:r>
        <w:rPr>
          <w:rFonts w:ascii="Arial" w:eastAsia="Times New Roman" w:hAnsi="Arial" w:cs="Arial"/>
          <w:color w:val="000000"/>
          <w:sz w:val="20"/>
          <w:szCs w:val="20"/>
        </w:rPr>
        <w:t>nited States (US) dollars. All amounts are provided on a before tax basis, unless otherwise stated.</w:t>
      </w:r>
    </w:p>
    <w:p w:rsidR="00000000" w:rsidRDefault="00EE1167">
      <w:pPr>
        <w:divId w:val="769663885"/>
        <w:rPr>
          <w:rFonts w:eastAsia="Times New Roman"/>
        </w:rPr>
      </w:pPr>
    </w:p>
    <w:p w:rsidR="00000000" w:rsidRDefault="00EE1167">
      <w:pPr>
        <w:divId w:val="1882403166"/>
        <w:rPr>
          <w:rFonts w:eastAsia="Times New Roman"/>
        </w:rPr>
      </w:pPr>
      <w:r>
        <w:rPr>
          <w:rFonts w:ascii="Arial" w:eastAsia="Times New Roman" w:hAnsi="Arial" w:cs="Arial"/>
          <w:b/>
          <w:bCs/>
          <w:color w:val="000000"/>
          <w:sz w:val="26"/>
          <w:szCs w:val="26"/>
        </w:rPr>
        <w:t>FORWARD-LOOKING INFORMATION</w:t>
      </w:r>
    </w:p>
    <w:p w:rsidR="00000000" w:rsidRDefault="00EE1167">
      <w:pPr>
        <w:divId w:val="2124490785"/>
        <w:rPr>
          <w:rFonts w:eastAsia="Times New Roman"/>
        </w:rPr>
      </w:pPr>
    </w:p>
    <w:p w:rsidR="00000000" w:rsidRDefault="00EE1167">
      <w:pPr>
        <w:divId w:val="42292522"/>
        <w:rPr>
          <w:rFonts w:eastAsia="Times New Roman"/>
        </w:rPr>
      </w:pPr>
      <w:r>
        <w:rPr>
          <w:rFonts w:ascii="Arial" w:eastAsia="Times New Roman" w:hAnsi="Arial" w:cs="Arial"/>
          <w:i/>
          <w:iCs/>
          <w:color w:val="000000"/>
          <w:sz w:val="18"/>
          <w:szCs w:val="18"/>
        </w:rPr>
        <w:t xml:space="preserve">Forward-looking information, or forward-looking statements, have been included in this quarterly report on Form 10-Q to provide information about us and our subsidiaries and affiliates, including management’s assessment of our and our subsidiaries’ future </w:t>
      </w:r>
      <w:r>
        <w:rPr>
          <w:rFonts w:ascii="Arial" w:eastAsia="Times New Roman" w:hAnsi="Arial" w:cs="Arial"/>
          <w:i/>
          <w:iCs/>
          <w:color w:val="000000"/>
          <w:sz w:val="18"/>
          <w:szCs w:val="18"/>
        </w:rPr>
        <w:t>plans and operations. This information may not be appropriate for other purposes. Forward-looking statements are typically identified by words such as ‘‘anticipate”, “believe”, “estimate”, “expect”, “forecast”, “intend”, “likely”, “plan”, “project”, “targe</w:t>
      </w:r>
      <w:r>
        <w:rPr>
          <w:rFonts w:ascii="Arial" w:eastAsia="Times New Roman" w:hAnsi="Arial" w:cs="Arial"/>
          <w:i/>
          <w:iCs/>
          <w:color w:val="000000"/>
          <w:sz w:val="18"/>
          <w:szCs w:val="18"/>
        </w:rPr>
        <w:t xml:space="preserve">t” and similar words suggesting future outcomes or statements regarding an outlook. Forward-looking information or statements included or incorporated by reference in this document include, but are not limited to, statements with respect to the following: </w:t>
      </w:r>
      <w:r>
        <w:rPr>
          <w:rFonts w:ascii="Arial" w:eastAsia="Times New Roman" w:hAnsi="Arial" w:cs="Arial"/>
          <w:i/>
          <w:iCs/>
          <w:color w:val="000000"/>
          <w:sz w:val="18"/>
          <w:szCs w:val="18"/>
        </w:rPr>
        <w:t xml:space="preserve">our corporate vision and strategy, including strategic priorities and enablers; the COVID-19 pandemic and the duration and impact thereof; energy intensity and emissions reduction targets and related environmental, social and governance matters; diversity </w:t>
      </w:r>
      <w:r>
        <w:rPr>
          <w:rFonts w:ascii="Arial" w:eastAsia="Times New Roman" w:hAnsi="Arial" w:cs="Arial"/>
          <w:i/>
          <w:iCs/>
          <w:color w:val="000000"/>
          <w:sz w:val="18"/>
          <w:szCs w:val="18"/>
        </w:rPr>
        <w:t>and inclusion goals; expected supply of, demand for and prices of crude oil, natural gas, natural gas liquids (NGL), liquified natural gas (LNG) and renewable energy; energy transition; anticipated utilization of our existing assets; expected earnings befo</w:t>
      </w:r>
      <w:r>
        <w:rPr>
          <w:rFonts w:ascii="Arial" w:eastAsia="Times New Roman" w:hAnsi="Arial" w:cs="Arial"/>
          <w:i/>
          <w:iCs/>
          <w:color w:val="000000"/>
          <w:sz w:val="18"/>
          <w:szCs w:val="18"/>
        </w:rPr>
        <w:t>re interest, income taxes and depreciation and amortization (EBITDA); expected earnings/(loss); expected future cash flows and distributable cash flow; dividend growth and payout policy; financial strength and flexibility; expectations on sources of liquid</w:t>
      </w:r>
      <w:r>
        <w:rPr>
          <w:rFonts w:ascii="Arial" w:eastAsia="Times New Roman" w:hAnsi="Arial" w:cs="Arial"/>
          <w:i/>
          <w:iCs/>
          <w:color w:val="000000"/>
          <w:sz w:val="18"/>
          <w:szCs w:val="18"/>
        </w:rPr>
        <w:t>ity and sufficiency of financial resources; expected strategic priorities and performance of the Liquids Pipelines, Gas Transmission and Midstream, Gas Distribution and Storage, Renewable Power Generation and Energy Services businesses; expected costs rela</w:t>
      </w:r>
      <w:r>
        <w:rPr>
          <w:rFonts w:ascii="Arial" w:eastAsia="Times New Roman" w:hAnsi="Arial" w:cs="Arial"/>
          <w:i/>
          <w:iCs/>
          <w:color w:val="000000"/>
          <w:sz w:val="18"/>
          <w:szCs w:val="18"/>
        </w:rPr>
        <w:t xml:space="preserve">ted to announced projects and projects under construction; expected in-service dates for announced projects and projects under construction and for maintenance; expected capital expenditures, investment capacity and capital allocation priorities; expected </w:t>
      </w:r>
      <w:r>
        <w:rPr>
          <w:rFonts w:ascii="Arial" w:eastAsia="Times New Roman" w:hAnsi="Arial" w:cs="Arial"/>
          <w:i/>
          <w:iCs/>
          <w:color w:val="000000"/>
          <w:sz w:val="18"/>
          <w:szCs w:val="18"/>
        </w:rPr>
        <w:t>equity funding requirements for our commercially secured growth program; expected future growth and expansion opportunities; expectations about our joint venture partners’ ability to complete and finance projects under construction; expected closing of acq</w:t>
      </w:r>
      <w:r>
        <w:rPr>
          <w:rFonts w:ascii="Arial" w:eastAsia="Times New Roman" w:hAnsi="Arial" w:cs="Arial"/>
          <w:i/>
          <w:iCs/>
          <w:color w:val="000000"/>
          <w:sz w:val="18"/>
          <w:szCs w:val="18"/>
        </w:rPr>
        <w:t>uisitions and dispositions and the timing thereof; expected benefits of transactions, including the realization of efficiencies, synergies and cost savings; expected future actions of regulators and courts; toll and rate cases discussions and filings, incl</w:t>
      </w:r>
      <w:r>
        <w:rPr>
          <w:rFonts w:ascii="Arial" w:eastAsia="Times New Roman" w:hAnsi="Arial" w:cs="Arial"/>
          <w:i/>
          <w:iCs/>
          <w:color w:val="000000"/>
          <w:sz w:val="18"/>
          <w:szCs w:val="18"/>
        </w:rPr>
        <w:t xml:space="preserve">uding Mainline System contracting; anticipated competition; and Line 5 dual pipelines and related litigation and other matters. </w:t>
      </w:r>
    </w:p>
    <w:p w:rsidR="00000000" w:rsidRDefault="00EE1167">
      <w:pPr>
        <w:divId w:val="1039281987"/>
        <w:rPr>
          <w:rFonts w:eastAsia="Times New Roman"/>
        </w:rPr>
      </w:pPr>
    </w:p>
    <w:p w:rsidR="00000000" w:rsidRDefault="00EE1167">
      <w:pPr>
        <w:divId w:val="878786920"/>
        <w:rPr>
          <w:rFonts w:eastAsia="Times New Roman"/>
        </w:rPr>
      </w:pPr>
      <w:r>
        <w:rPr>
          <w:rFonts w:ascii="Arial" w:eastAsia="Times New Roman" w:hAnsi="Arial" w:cs="Arial"/>
          <w:i/>
          <w:iCs/>
          <w:color w:val="000000"/>
          <w:sz w:val="18"/>
          <w:szCs w:val="18"/>
        </w:rPr>
        <w:t>Although we believe these forward-looking statements are reasonable based on the information available on the date such state</w:t>
      </w:r>
      <w:r>
        <w:rPr>
          <w:rFonts w:ascii="Arial" w:eastAsia="Times New Roman" w:hAnsi="Arial" w:cs="Arial"/>
          <w:i/>
          <w:iCs/>
          <w:color w:val="000000"/>
          <w:sz w:val="18"/>
          <w:szCs w:val="18"/>
        </w:rPr>
        <w:t>ments are made and processes used to prepare the information, such statements are not guarantees of future performance and readers are cautioned against placing undue reliance on forward-looking statements. By their nature, these statements involve a varie</w:t>
      </w:r>
      <w:r>
        <w:rPr>
          <w:rFonts w:ascii="Arial" w:eastAsia="Times New Roman" w:hAnsi="Arial" w:cs="Arial"/>
          <w:i/>
          <w:iCs/>
          <w:color w:val="000000"/>
          <w:sz w:val="18"/>
          <w:szCs w:val="18"/>
        </w:rPr>
        <w:t>ty of assumptions, known and unknown risks and uncertainties and other factors, which may cause actual results, levels of activity and achievements to differ materially from those expressed or implied by such statements. Material assumptions include assump</w:t>
      </w:r>
      <w:r>
        <w:rPr>
          <w:rFonts w:ascii="Arial" w:eastAsia="Times New Roman" w:hAnsi="Arial" w:cs="Arial"/>
          <w:i/>
          <w:iCs/>
          <w:color w:val="000000"/>
          <w:sz w:val="18"/>
          <w:szCs w:val="18"/>
        </w:rPr>
        <w:t>tions about the following: the COVID-19 pandemic and the duration and impact thereof; the expected supply of and demand for crude oil, natural gas, NGL and renewable energy; prices of crude oil, natural gas, NGL and renewable energy; anticipated utilizatio</w:t>
      </w:r>
      <w:r>
        <w:rPr>
          <w:rFonts w:ascii="Arial" w:eastAsia="Times New Roman" w:hAnsi="Arial" w:cs="Arial"/>
          <w:i/>
          <w:iCs/>
          <w:color w:val="000000"/>
          <w:sz w:val="18"/>
          <w:szCs w:val="18"/>
        </w:rPr>
        <w:t>n of assets; exchange rates; inflation; interest rates; availability and price of labor and construction materials; operational reliability; customer and regulatory approvals; maintenance of support and regulatory approvals for our projects; anticipated in</w:t>
      </w:r>
      <w:r>
        <w:rPr>
          <w:rFonts w:ascii="Arial" w:eastAsia="Times New Roman" w:hAnsi="Arial" w:cs="Arial"/>
          <w:i/>
          <w:iCs/>
          <w:color w:val="000000"/>
          <w:sz w:val="18"/>
          <w:szCs w:val="18"/>
        </w:rPr>
        <w:t>-service dates; weather; the timing and closing of acquisitions and dispositions; the realization of anticipated benefits and synergies of transactions; governmental legislation; litigation; estimated future dividends and impact of our dividend policy on o</w:t>
      </w:r>
      <w:r>
        <w:rPr>
          <w:rFonts w:ascii="Arial" w:eastAsia="Times New Roman" w:hAnsi="Arial" w:cs="Arial"/>
          <w:i/>
          <w:iCs/>
          <w:color w:val="000000"/>
          <w:sz w:val="18"/>
          <w:szCs w:val="18"/>
        </w:rPr>
        <w:t>ur future cash flows; our credit ratings; capital project funding; hedging program; expected EBITDA; expected earnings/(loss); expected future cash flows; and expected distributable cash flow. Assumptions regarding the expected supply of and demand for cru</w:t>
      </w:r>
      <w:r>
        <w:rPr>
          <w:rFonts w:ascii="Arial" w:eastAsia="Times New Roman" w:hAnsi="Arial" w:cs="Arial"/>
          <w:i/>
          <w:iCs/>
          <w:color w:val="000000"/>
          <w:sz w:val="18"/>
          <w:szCs w:val="18"/>
        </w:rPr>
        <w:t>de oil, natural gas, NGL and renewable energy, and the prices of these commodities, are material to and underlie all forward-looking statements, as they may impact current and future levels of demand for our services. Similarly, exchange rates, inflation a</w:t>
      </w:r>
      <w:r>
        <w:rPr>
          <w:rFonts w:ascii="Arial" w:eastAsia="Times New Roman" w:hAnsi="Arial" w:cs="Arial"/>
          <w:i/>
          <w:iCs/>
          <w:color w:val="000000"/>
          <w:sz w:val="18"/>
          <w:szCs w:val="18"/>
        </w:rPr>
        <w:t>nd interest rates and the COVID-19 pandemic impact the economies and business environments in which we operate and may impact levels of demand for our services and cost of inputs, and are therefore inherent in all forward-looking statements. Due to the int</w:t>
      </w:r>
      <w:r>
        <w:rPr>
          <w:rFonts w:ascii="Arial" w:eastAsia="Times New Roman" w:hAnsi="Arial" w:cs="Arial"/>
          <w:i/>
          <w:iCs/>
          <w:color w:val="000000"/>
          <w:sz w:val="18"/>
          <w:szCs w:val="18"/>
        </w:rPr>
        <w:t xml:space="preserve">erdependencies and correlation of these macroeconomic factors, the impact of any one assumption on a forward-looking statement cannot be determined with certainty, particularly with respect to expected EBITDA, expected </w:t>
      </w:r>
    </w:p>
    <w:p w:rsidR="00000000" w:rsidRDefault="00EE1167">
      <w:pPr>
        <w:jc w:val="center"/>
        <w:divId w:val="1467239365"/>
        <w:rPr>
          <w:rFonts w:eastAsia="Times New Roman"/>
        </w:rPr>
      </w:pPr>
      <w:r>
        <w:rPr>
          <w:rFonts w:ascii="Arial" w:eastAsia="Times New Roman" w:hAnsi="Arial" w:cs="Arial"/>
          <w:color w:val="000000"/>
          <w:sz w:val="20"/>
          <w:szCs w:val="20"/>
        </w:rPr>
        <w:t>4</w:t>
      </w:r>
    </w:p>
    <w:p w:rsidR="00000000" w:rsidRDefault="00EE1167">
      <w:pPr>
        <w:rPr>
          <w:rFonts w:eastAsia="Times New Roman"/>
        </w:rPr>
      </w:pPr>
      <w:r>
        <w:rPr>
          <w:rFonts w:eastAsia="Times New Roman"/>
        </w:rPr>
        <w:lastRenderedPageBreak/>
        <w:pict>
          <v:rect id="_x0000_i1029" style="width:0;height:1.5pt" o:hralign="center" o:hrstd="t" o:hr="t" fillcolor="#a0a0a0" stroked="f"/>
        </w:pict>
      </w:r>
    </w:p>
    <w:p w:rsidR="00000000" w:rsidRDefault="00EE1167">
      <w:pPr>
        <w:jc w:val="center"/>
        <w:divId w:val="725109210"/>
        <w:rPr>
          <w:rFonts w:eastAsia="Times New Roman"/>
        </w:rPr>
      </w:pPr>
    </w:p>
    <w:p w:rsidR="00000000" w:rsidRDefault="00EE1167">
      <w:pPr>
        <w:divId w:val="1300763804"/>
        <w:rPr>
          <w:rFonts w:eastAsia="Times New Roman"/>
        </w:rPr>
      </w:pPr>
      <w:r>
        <w:rPr>
          <w:rFonts w:ascii="Arial" w:eastAsia="Times New Roman" w:hAnsi="Arial" w:cs="Arial"/>
          <w:i/>
          <w:iCs/>
          <w:color w:val="000000"/>
          <w:sz w:val="18"/>
          <w:szCs w:val="18"/>
        </w:rPr>
        <w:t>earnings/(loss), expected future cash flows, expected distributable cash flow or estimated future dividends. The most relevant assumptions associated with forward-looking statements regarding announced projects and projects under construction, includin</w:t>
      </w:r>
      <w:r>
        <w:rPr>
          <w:rFonts w:ascii="Arial" w:eastAsia="Times New Roman" w:hAnsi="Arial" w:cs="Arial"/>
          <w:i/>
          <w:iCs/>
          <w:color w:val="000000"/>
          <w:sz w:val="18"/>
          <w:szCs w:val="18"/>
        </w:rPr>
        <w:t xml:space="preserve">g estimated completion dates and expected capital expenditures, include the following: the availability and price of labor and construction materials; the effects of inflation and foreign exchange rates on labor and material costs; the effects of interest </w:t>
      </w:r>
      <w:r>
        <w:rPr>
          <w:rFonts w:ascii="Arial" w:eastAsia="Times New Roman" w:hAnsi="Arial" w:cs="Arial"/>
          <w:i/>
          <w:iCs/>
          <w:color w:val="000000"/>
          <w:sz w:val="18"/>
          <w:szCs w:val="18"/>
        </w:rPr>
        <w:t xml:space="preserve">rates on borrowing costs; the impact of weather and customer, government, court and regulatory approvals on construction and in-service schedules and cost recovery regimes; and the COVID-19 pandemic and the duration and impact thereof. </w:t>
      </w:r>
    </w:p>
    <w:p w:rsidR="00000000" w:rsidRDefault="00EE1167">
      <w:pPr>
        <w:divId w:val="1152066074"/>
        <w:rPr>
          <w:rFonts w:eastAsia="Times New Roman"/>
        </w:rPr>
      </w:pPr>
    </w:p>
    <w:p w:rsidR="00000000" w:rsidRDefault="00EE1167">
      <w:pPr>
        <w:divId w:val="1252085605"/>
        <w:rPr>
          <w:rFonts w:eastAsia="Times New Roman"/>
        </w:rPr>
      </w:pPr>
      <w:r>
        <w:rPr>
          <w:rFonts w:ascii="Arial" w:eastAsia="Times New Roman" w:hAnsi="Arial" w:cs="Arial"/>
          <w:i/>
          <w:iCs/>
          <w:color w:val="000000"/>
          <w:sz w:val="18"/>
          <w:szCs w:val="18"/>
        </w:rPr>
        <w:t>Our forward-looki</w:t>
      </w:r>
      <w:r>
        <w:rPr>
          <w:rFonts w:ascii="Arial" w:eastAsia="Times New Roman" w:hAnsi="Arial" w:cs="Arial"/>
          <w:i/>
          <w:iCs/>
          <w:color w:val="000000"/>
          <w:sz w:val="18"/>
          <w:szCs w:val="18"/>
        </w:rPr>
        <w:t>ng statements are subject to risks and uncertainties pertaining to the successful execution of our strategic priorities, operating performance, legislative and regulatory parameters; litigation, including with respect to the Dakota Access Pipeline (DAPL) a</w:t>
      </w:r>
      <w:r>
        <w:rPr>
          <w:rFonts w:ascii="Arial" w:eastAsia="Times New Roman" w:hAnsi="Arial" w:cs="Arial"/>
          <w:i/>
          <w:iCs/>
          <w:color w:val="000000"/>
          <w:sz w:val="18"/>
          <w:szCs w:val="18"/>
        </w:rPr>
        <w:t>nd Line 5 dual pipelines; acquisitions, dispositions and other transactions and the realization of anticipated benefits therefrom; our dividend policy; project approval and support; renewals of rights-of-way; weather; economic and competitive conditions; p</w:t>
      </w:r>
      <w:r>
        <w:rPr>
          <w:rFonts w:ascii="Arial" w:eastAsia="Times New Roman" w:hAnsi="Arial" w:cs="Arial"/>
          <w:i/>
          <w:iCs/>
          <w:color w:val="000000"/>
          <w:sz w:val="18"/>
          <w:szCs w:val="18"/>
        </w:rPr>
        <w:t>ublic opinion; changes in tax laws and tax rates; exchange rates; interest rates; commodity prices; political decisions; the supply of, demand for and prices of commodities; and the COVID-19 pandemic, including but not limited to those risks and uncertaint</w:t>
      </w:r>
      <w:r>
        <w:rPr>
          <w:rFonts w:ascii="Arial" w:eastAsia="Times New Roman" w:hAnsi="Arial" w:cs="Arial"/>
          <w:i/>
          <w:iCs/>
          <w:color w:val="000000"/>
          <w:sz w:val="18"/>
          <w:szCs w:val="18"/>
        </w:rPr>
        <w:t>ies discussed in this quarterly report on Form 10-Q and in our other filings with Canadian and United States (US) securities regulators. The impact of any one risk, uncertainty or factor on a particular forward-looking statement is not determinable with ce</w:t>
      </w:r>
      <w:r>
        <w:rPr>
          <w:rFonts w:ascii="Arial" w:eastAsia="Times New Roman" w:hAnsi="Arial" w:cs="Arial"/>
          <w:i/>
          <w:iCs/>
          <w:color w:val="000000"/>
          <w:sz w:val="18"/>
          <w:szCs w:val="18"/>
        </w:rPr>
        <w:t xml:space="preserve">rtainty as these are interdependent and our future course of action depends on management’s assessment of all information available at the relevant time. Except to the extent required by applicable law, Enbridge assumes no obligation to publicly update or </w:t>
      </w:r>
      <w:r>
        <w:rPr>
          <w:rFonts w:ascii="Arial" w:eastAsia="Times New Roman" w:hAnsi="Arial" w:cs="Arial"/>
          <w:i/>
          <w:iCs/>
          <w:color w:val="000000"/>
          <w:sz w:val="18"/>
          <w:szCs w:val="18"/>
        </w:rPr>
        <w:t xml:space="preserve">revise any forward-looking statement made in this quarterly report on Form 10-Q or otherwise, whether as a result of new information, future events or otherwise. All forward-looking statements, whether written or oral, attributable to us or persons acting </w:t>
      </w:r>
      <w:r>
        <w:rPr>
          <w:rFonts w:ascii="Arial" w:eastAsia="Times New Roman" w:hAnsi="Arial" w:cs="Arial"/>
          <w:i/>
          <w:iCs/>
          <w:color w:val="000000"/>
          <w:sz w:val="18"/>
          <w:szCs w:val="18"/>
        </w:rPr>
        <w:t xml:space="preserve">on our behalf, are expressly qualified in their entirety by these cautionary statements. </w:t>
      </w:r>
    </w:p>
    <w:p w:rsidR="00000000" w:rsidRDefault="00EE1167">
      <w:pPr>
        <w:divId w:val="57940396"/>
        <w:rPr>
          <w:rFonts w:eastAsia="Times New Roman"/>
        </w:rPr>
      </w:pPr>
    </w:p>
    <w:p w:rsidR="00000000" w:rsidRDefault="00EE1167">
      <w:pPr>
        <w:jc w:val="center"/>
        <w:divId w:val="1810826526"/>
        <w:rPr>
          <w:rFonts w:eastAsia="Times New Roman"/>
        </w:rPr>
      </w:pPr>
      <w:r>
        <w:rPr>
          <w:rFonts w:ascii="Arial" w:eastAsia="Times New Roman" w:hAnsi="Arial" w:cs="Arial"/>
          <w:color w:val="000000"/>
          <w:sz w:val="20"/>
          <w:szCs w:val="20"/>
        </w:rPr>
        <w:t>5</w:t>
      </w:r>
    </w:p>
    <w:p w:rsidR="00000000" w:rsidRDefault="00EE1167">
      <w:pPr>
        <w:rPr>
          <w:rFonts w:eastAsia="Times New Roman"/>
        </w:rPr>
      </w:pPr>
      <w:r>
        <w:rPr>
          <w:rFonts w:eastAsia="Times New Roman"/>
        </w:rPr>
        <w:pict>
          <v:rect id="_x0000_i1030" style="width:0;height:1.5pt" o:hralign="center" o:hrstd="t" o:hr="t" fillcolor="#a0a0a0" stroked="f"/>
        </w:pict>
      </w:r>
    </w:p>
    <w:p w:rsidR="00000000" w:rsidRDefault="00EE1167">
      <w:pPr>
        <w:jc w:val="center"/>
        <w:divId w:val="109058186"/>
        <w:rPr>
          <w:rFonts w:eastAsia="Times New Roman"/>
        </w:rPr>
      </w:pPr>
    </w:p>
    <w:p w:rsidR="00000000" w:rsidRDefault="00EE1167">
      <w:pPr>
        <w:jc w:val="center"/>
        <w:rPr>
          <w:rFonts w:eastAsia="Times New Roman"/>
        </w:rPr>
      </w:pPr>
      <w:r>
        <w:rPr>
          <w:rFonts w:ascii="Arial" w:eastAsia="Times New Roman" w:hAnsi="Arial" w:cs="Arial"/>
          <w:b/>
          <w:bCs/>
          <w:color w:val="000000"/>
          <w:sz w:val="30"/>
          <w:szCs w:val="30"/>
        </w:rPr>
        <w:t>PART I - FINANCIAL INFORMATION</w:t>
      </w:r>
    </w:p>
    <w:p w:rsidR="00000000" w:rsidRDefault="00EE1167">
      <w:pPr>
        <w:jc w:val="center"/>
        <w:rPr>
          <w:rFonts w:eastAsia="Times New Roman"/>
        </w:rPr>
      </w:pPr>
    </w:p>
    <w:p w:rsidR="00000000" w:rsidRDefault="00EE1167">
      <w:pPr>
        <w:divId w:val="140317891"/>
        <w:rPr>
          <w:rFonts w:eastAsia="Times New Roman"/>
        </w:rPr>
      </w:pPr>
      <w:r>
        <w:rPr>
          <w:rFonts w:ascii="Arial" w:eastAsia="Times New Roman" w:hAnsi="Arial" w:cs="Arial"/>
          <w:b/>
          <w:bCs/>
          <w:color w:val="000000"/>
          <w:sz w:val="28"/>
          <w:szCs w:val="28"/>
        </w:rPr>
        <w:t>ITEM 1. FINANCIAL STATEMENTS</w:t>
      </w:r>
    </w:p>
    <w:p w:rsidR="00000000" w:rsidRDefault="00EE1167">
      <w:pPr>
        <w:divId w:val="51468126"/>
        <w:rPr>
          <w:rFonts w:eastAsia="Times New Roman"/>
        </w:rPr>
      </w:pPr>
    </w:p>
    <w:p w:rsidR="00000000" w:rsidRDefault="00EE1167">
      <w:pPr>
        <w:ind w:firstLine="720"/>
        <w:jc w:val="center"/>
        <w:rPr>
          <w:rFonts w:eastAsia="Times New Roman"/>
        </w:rPr>
      </w:pPr>
      <w:r>
        <w:rPr>
          <w:rFonts w:ascii="Arial" w:eastAsia="Times New Roman" w:hAnsi="Arial" w:cs="Arial"/>
          <w:b/>
          <w:bCs/>
          <w:color w:val="000000"/>
          <w:sz w:val="30"/>
          <w:szCs w:val="30"/>
        </w:rPr>
        <w:t>ENBRIDGE INC.</w:t>
      </w:r>
    </w:p>
    <w:p w:rsidR="00000000" w:rsidRDefault="00EE1167">
      <w:pPr>
        <w:jc w:val="center"/>
        <w:rPr>
          <w:rFonts w:eastAsia="Times New Roman"/>
        </w:rPr>
      </w:pPr>
      <w:r>
        <w:rPr>
          <w:rFonts w:ascii="Arial" w:eastAsia="Times New Roman" w:hAnsi="Arial" w:cs="Arial"/>
          <w:b/>
          <w:bCs/>
          <w:color w:val="000000"/>
          <w:sz w:val="30"/>
          <w:szCs w:val="30"/>
        </w:rPr>
        <w:t xml:space="preserve">CONSOLIDATED STATEMENTS OF EARNINGS </w:t>
      </w:r>
    </w:p>
    <w:p w:rsidR="00000000" w:rsidRDefault="00EE1167">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40"/>
        <w:gridCol w:w="65"/>
        <w:gridCol w:w="808"/>
        <w:gridCol w:w="37"/>
        <w:gridCol w:w="65"/>
        <w:gridCol w:w="808"/>
        <w:gridCol w:w="36"/>
        <w:gridCol w:w="36"/>
        <w:gridCol w:w="36"/>
        <w:gridCol w:w="36"/>
        <w:gridCol w:w="63"/>
        <w:gridCol w:w="806"/>
        <w:gridCol w:w="36"/>
        <w:gridCol w:w="65"/>
        <w:gridCol w:w="809"/>
        <w:gridCol w:w="36"/>
      </w:tblGrid>
      <w:tr w:rsidR="00000000">
        <w:trPr>
          <w:divId w:val="824861289"/>
        </w:trPr>
        <w:tc>
          <w:tcPr>
            <w:tcW w:w="50" w:type="pct"/>
            <w:vAlign w:val="center"/>
            <w:hideMark/>
          </w:tcPr>
          <w:p w:rsidR="00000000" w:rsidRDefault="00EE1167">
            <w:pPr>
              <w:jc w:val="cente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82486128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824861289"/>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7,279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4,595 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14,920 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3,695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4,075 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11,740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11,609 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492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440 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2,769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2,550 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divId w:val="1447500470"/>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11,466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9,110 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34,551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29,079 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Operating expenses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7,347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4,443 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19,975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14,464 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lastRenderedPageBreak/>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1,188 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1,554 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4,710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4,955 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935 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824861289"/>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10,078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7,015 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28,849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23,373 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Operating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1,388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2,095 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5,702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5,706 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315 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1,187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805 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divId w:val="1099985050"/>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(615)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(2,351)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173 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(257)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(648)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(718)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(1,923)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(2,105)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1,013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1,335 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5,301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1,790 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divId w:val="1702052327"/>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10)</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(952)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Earnings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814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1,104 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4,349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1,517 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780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1,084 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4,256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1,492 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682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990 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3,976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1,208 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E1167">
            <w:pPr>
              <w:spacing w:after="100"/>
              <w:ind w:hanging="180"/>
              <w:divId w:val="1140343919"/>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0.49 </w:t>
            </w:r>
          </w:p>
        </w:tc>
        <w:tc>
          <w:tcPr>
            <w:tcW w:w="0" w:type="auto"/>
            <w:tcBorders>
              <w:top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1.97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0.60 </w:t>
            </w:r>
          </w:p>
        </w:tc>
        <w:tc>
          <w:tcPr>
            <w:tcW w:w="0" w:type="auto"/>
            <w:tcBorders>
              <w:top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24861289"/>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1780837498"/>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0.49 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tcBorders>
              <w:top w:val="single" w:sz="8" w:space="0" w:color="000000"/>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0.60 </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824861289"/>
        <w:rPr>
          <w:rFonts w:eastAsia="Times New Roman"/>
        </w:rPr>
      </w:pPr>
      <w:r>
        <w:rPr>
          <w:rFonts w:ascii="Arial" w:eastAsia="Times New Roman" w:hAnsi="Arial" w:cs="Arial"/>
          <w:color w:val="000000"/>
          <w:sz w:val="16"/>
          <w:szCs w:val="16"/>
        </w:rPr>
        <w:t>The</w:t>
      </w:r>
      <w:r>
        <w:rPr>
          <w:rFonts w:ascii="Arial" w:eastAsia="Times New Roman" w:hAnsi="Arial" w:cs="Arial"/>
          <w:color w:val="000000"/>
          <w:sz w:val="16"/>
          <w:szCs w:val="16"/>
        </w:rPr>
        <w:t xml:space="preserve"> accompanying notes are an integral part of these interim consolidated financial statements.</w:t>
      </w:r>
    </w:p>
    <w:p w:rsidR="00000000" w:rsidRDefault="00EE1167">
      <w:pPr>
        <w:jc w:val="center"/>
        <w:divId w:val="2092651767"/>
        <w:rPr>
          <w:rFonts w:eastAsia="Times New Roman"/>
        </w:rPr>
      </w:pPr>
      <w:r>
        <w:rPr>
          <w:rFonts w:ascii="Arial" w:eastAsia="Times New Roman" w:hAnsi="Arial" w:cs="Arial"/>
          <w:color w:val="000000"/>
          <w:sz w:val="20"/>
          <w:szCs w:val="20"/>
        </w:rPr>
        <w:t>6</w:t>
      </w:r>
    </w:p>
    <w:p w:rsidR="00000000" w:rsidRDefault="00EE1167">
      <w:pPr>
        <w:rPr>
          <w:rFonts w:eastAsia="Times New Roman"/>
        </w:rPr>
      </w:pPr>
      <w:r>
        <w:rPr>
          <w:rFonts w:eastAsia="Times New Roman"/>
        </w:rPr>
        <w:pict>
          <v:rect id="_x0000_i1031" style="width:0;height:1.5pt" o:hralign="center" o:hrstd="t" o:hr="t" fillcolor="#a0a0a0" stroked="f"/>
        </w:pict>
      </w:r>
    </w:p>
    <w:p w:rsidR="00000000" w:rsidRDefault="00EE1167">
      <w:pPr>
        <w:jc w:val="center"/>
        <w:divId w:val="997880039"/>
        <w:rPr>
          <w:rFonts w:eastAsia="Times New Roman"/>
        </w:rPr>
      </w:pPr>
    </w:p>
    <w:p w:rsidR="00000000" w:rsidRDefault="00EE1167">
      <w:pPr>
        <w:jc w:val="center"/>
        <w:rPr>
          <w:rFonts w:eastAsia="Times New Roman"/>
        </w:rPr>
      </w:pPr>
      <w:r>
        <w:rPr>
          <w:rFonts w:ascii="Arial" w:eastAsia="Times New Roman" w:hAnsi="Arial" w:cs="Arial"/>
          <w:b/>
          <w:bCs/>
          <w:color w:val="000000"/>
          <w:sz w:val="30"/>
          <w:szCs w:val="30"/>
        </w:rPr>
        <w:t>ENBRIDGE INC.</w:t>
      </w:r>
    </w:p>
    <w:p w:rsidR="00000000" w:rsidRDefault="00EE1167">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EE116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rPr>
          <w:jc w:val="center"/>
        </w:trPr>
        <w:tc>
          <w:tcPr>
            <w:tcW w:w="50" w:type="pct"/>
            <w:vAlign w:val="center"/>
            <w:hideMark/>
          </w:tcPr>
          <w:p w:rsidR="00000000" w:rsidRDefault="00EE1167">
            <w:pPr>
              <w:jc w:val="cente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1,104 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4,349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1,517 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(532)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(206)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154 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(221)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Other comprehensive income/(loss) from equity investees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(14)</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58 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138 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Reclassification to earnings of pension and other postretirement benefits (OPEB) amounts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(1,119)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(350)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1,817 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1,088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(890)</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1,225 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1,902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214 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4,365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2,742 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Comprehensive (income)/loss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(62)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(68)</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(79)</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1,840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230 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4,297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2,663 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1,742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136 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4,017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2,379 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707603325"/>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EE1167">
      <w:pPr>
        <w:jc w:val="center"/>
        <w:divId w:val="1682511035"/>
        <w:rPr>
          <w:rFonts w:eastAsia="Times New Roman"/>
        </w:rPr>
      </w:pPr>
      <w:r>
        <w:rPr>
          <w:rFonts w:ascii="Arial" w:eastAsia="Times New Roman" w:hAnsi="Arial" w:cs="Arial"/>
          <w:color w:val="000000"/>
          <w:sz w:val="20"/>
          <w:szCs w:val="20"/>
        </w:rPr>
        <w:t>7</w:t>
      </w:r>
    </w:p>
    <w:p w:rsidR="00000000" w:rsidRDefault="00EE1167">
      <w:pPr>
        <w:rPr>
          <w:rFonts w:eastAsia="Times New Roman"/>
        </w:rPr>
      </w:pPr>
      <w:r>
        <w:rPr>
          <w:rFonts w:eastAsia="Times New Roman"/>
        </w:rPr>
        <w:pict>
          <v:rect id="_x0000_i1032" style="width:0;height:1.5pt" o:hralign="center" o:hrstd="t" o:hr="t" fillcolor="#a0a0a0" stroked="f"/>
        </w:pict>
      </w:r>
    </w:p>
    <w:p w:rsidR="00000000" w:rsidRDefault="00EE1167">
      <w:pPr>
        <w:jc w:val="center"/>
        <w:divId w:val="1062750389"/>
        <w:rPr>
          <w:rFonts w:eastAsia="Times New Roman"/>
        </w:rPr>
      </w:pPr>
    </w:p>
    <w:p w:rsidR="00000000" w:rsidRDefault="00EE1167">
      <w:pPr>
        <w:jc w:val="center"/>
        <w:rPr>
          <w:rFonts w:eastAsia="Times New Roman"/>
        </w:rPr>
      </w:pPr>
      <w:r>
        <w:rPr>
          <w:rFonts w:ascii="Arial" w:eastAsia="Times New Roman" w:hAnsi="Arial" w:cs="Arial"/>
          <w:b/>
          <w:bCs/>
          <w:color w:val="000000"/>
          <w:sz w:val="30"/>
          <w:szCs w:val="30"/>
        </w:rPr>
        <w:t>ENBRIDGE INC.</w:t>
      </w:r>
    </w:p>
    <w:p w:rsidR="00000000" w:rsidRDefault="00EE1167">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EE1167">
      <w:pPr>
        <w:divId w:val="167722435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5112"/>
        <w:gridCol w:w="39"/>
        <w:gridCol w:w="65"/>
        <w:gridCol w:w="648"/>
        <w:gridCol w:w="37"/>
        <w:gridCol w:w="65"/>
        <w:gridCol w:w="648"/>
        <w:gridCol w:w="36"/>
        <w:gridCol w:w="36"/>
        <w:gridCol w:w="36"/>
        <w:gridCol w:w="36"/>
        <w:gridCol w:w="62"/>
        <w:gridCol w:w="634"/>
        <w:gridCol w:w="37"/>
        <w:gridCol w:w="65"/>
        <w:gridCol w:w="649"/>
        <w:gridCol w:w="36"/>
      </w:tblGrid>
      <w:tr w:rsidR="00000000">
        <w:trPr>
          <w:divId w:val="1038511334"/>
        </w:trPr>
        <w:tc>
          <w:tcPr>
            <w:tcW w:w="50" w:type="pct"/>
            <w:vAlign w:val="center"/>
            <w:hideMark/>
          </w:tcPr>
          <w:p w:rsidR="00000000" w:rsidRDefault="00EE1167">
            <w:pPr>
              <w:rPr>
                <w:rFonts w:eastAsia="Times New Roman"/>
              </w:rPr>
            </w:pPr>
          </w:p>
        </w:tc>
        <w:tc>
          <w:tcPr>
            <w:tcW w:w="308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2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w:t>
            </w:r>
          </w:p>
        </w:tc>
      </w:tr>
      <w:tr w:rsidR="00000000">
        <w:trPr>
          <w:divId w:val="103851133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2020</w:t>
            </w: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Preference shares</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and end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divId w:val="1817145349"/>
              <w:rPr>
                <w:rFonts w:eastAsia="Times New Roman"/>
              </w:rPr>
            </w:pPr>
            <w:r>
              <w:rPr>
                <w:rFonts w:ascii="Arial" w:eastAsia="Times New Roman" w:hAnsi="Arial" w:cs="Arial"/>
                <w:color w:val="000000"/>
                <w:sz w:val="16"/>
                <w:szCs w:val="16"/>
              </w:rPr>
              <w:t>Common share</w:t>
            </w:r>
            <w:r>
              <w:rPr>
                <w:rFonts w:ascii="Arial" w:eastAsia="Times New Roman" w:hAnsi="Arial" w:cs="Arial"/>
                <w:color w:val="000000"/>
                <w:sz w:val="16"/>
                <w:szCs w:val="16"/>
              </w:rPr>
              <w:t>s</w:t>
            </w:r>
            <w:r>
              <w:rPr>
                <w:rFonts w:ascii="Arial" w:eastAsia="Times New Roman" w:hAnsi="Arial" w:cs="Arial"/>
                <w:color w:val="000000"/>
                <w:sz w:val="10"/>
                <w:szCs w:val="10"/>
              </w:rPr>
              <w:t xml:space="preserve">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64,780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64,763 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64,768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64,746 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64,790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64,764 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64,790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64,764 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xml:space="preserve">Options exercised </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265 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265 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Deficit</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(8,388)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(7,797)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(9,995)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(6,314)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1,084 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4,256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1,492 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(94)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(280)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(284)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(1,692)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(1,640)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(3,384)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(3,281)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20" w:type="dxa"/>
              <w:bottom w:w="30" w:type="dxa"/>
              <w:right w:w="20" w:type="dxa"/>
            </w:tcMar>
            <w:vAlign w:val="center"/>
            <w:hideMark/>
          </w:tcPr>
          <w:p w:rsidR="00000000" w:rsidRDefault="00EE1167">
            <w:pPr>
              <w:spacing w:after="100"/>
              <w:ind w:hanging="180"/>
              <w:divId w:val="260770196"/>
              <w:rPr>
                <w:rFonts w:eastAsia="Times New Roman"/>
              </w:rPr>
            </w:pPr>
            <w:r>
              <w:rPr>
                <w:rFonts w:ascii="Arial" w:eastAsia="Times New Roman" w:hAnsi="Arial" w:cs="Arial"/>
                <w:color w:val="000000"/>
                <w:sz w:val="16"/>
                <w:szCs w:val="16"/>
              </w:rPr>
              <w:t xml:space="preserve">Adoption of </w:t>
            </w:r>
            <w:r>
              <w:rPr>
                <w:rFonts w:ascii="Arial" w:eastAsia="Times New Roman" w:hAnsi="Arial" w:cs="Arial"/>
                <w:i/>
                <w:iCs/>
                <w:color w:val="000000"/>
                <w:sz w:val="16"/>
                <w:szCs w:val="16"/>
              </w:rPr>
              <w:t>ASU 2016-13 Financial Instruments - Credit Losse</w:t>
            </w:r>
            <w:r>
              <w:rPr>
                <w:rFonts w:ascii="Arial" w:eastAsia="Times New Roman" w:hAnsi="Arial" w:cs="Arial"/>
                <w:i/>
                <w:iCs/>
                <w:color w:val="000000"/>
                <w:sz w:val="16"/>
                <w:szCs w:val="16"/>
              </w:rPr>
              <w: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(66)</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(9,397)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(8,442)</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(9,397)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(8,442)</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divId w:val="129322780"/>
              <w:rPr>
                <w:rFonts w:eastAsia="Times New Roman"/>
              </w:rPr>
            </w:pPr>
            <w:r>
              <w:rPr>
                <w:rFonts w:ascii="Arial" w:eastAsia="Times New Roman" w:hAnsi="Arial" w:cs="Arial"/>
                <w:color w:val="000000"/>
                <w:sz w:val="16"/>
                <w:szCs w:val="16"/>
              </w:rPr>
              <w:t xml:space="preserve">Accumulated other comprehensive income/(loss) </w:t>
            </w:r>
            <w:r>
              <w:rPr>
                <w:rFonts w:ascii="Arial" w:eastAsia="Times New Roman" w:hAnsi="Arial" w:cs="Arial"/>
                <w:i/>
                <w:iCs/>
                <w:color w:val="000000"/>
                <w:sz w:val="14"/>
                <w:szCs w:val="14"/>
              </w:rPr>
              <w:t>(Note 7)</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(2,420)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1,753 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335"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1,060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(854)</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1,171 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03851133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(1,360)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899 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(1,360)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899 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62,087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65,204 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62,087</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65,204 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Noncontrolling interests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2,870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3,315 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3,364 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20" w:type="dxa"/>
              <w:bottom w:w="30" w:type="dxa"/>
              <w:right w:w="20" w:type="dxa"/>
            </w:tcMar>
            <w:vAlign w:val="center"/>
            <w:hideMark/>
          </w:tcPr>
          <w:p w:rsidR="00000000" w:rsidRDefault="00EE1167">
            <w:pPr>
              <w:spacing w:after="100"/>
              <w:ind w:hanging="180"/>
              <w:divId w:val="2006938573"/>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Contributions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Distributions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(232)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2,575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3,231 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2,575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3,231 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64,662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68,435 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64,662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68,435 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0.835</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0.810 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2.505</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2.430 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3851133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38511334"/>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bl>
    <w:p w:rsidR="00000000" w:rsidRDefault="00EE1167">
      <w:pPr>
        <w:divId w:val="1476340293"/>
        <w:rPr>
          <w:rFonts w:eastAsia="Times New Roman"/>
        </w:rPr>
      </w:pPr>
      <w:r>
        <w:rPr>
          <w:rFonts w:ascii="Arial" w:eastAsia="Times New Roman" w:hAnsi="Arial" w:cs="Arial"/>
          <w:color w:val="000000"/>
          <w:sz w:val="16"/>
          <w:szCs w:val="16"/>
        </w:rPr>
        <w:t>The accompan</w:t>
      </w:r>
      <w:r>
        <w:rPr>
          <w:rFonts w:ascii="Arial" w:eastAsia="Times New Roman" w:hAnsi="Arial" w:cs="Arial"/>
          <w:color w:val="000000"/>
          <w:sz w:val="16"/>
          <w:szCs w:val="16"/>
        </w:rPr>
        <w:t>ying notes are an integral part of these interim consolidated financial statements.</w:t>
      </w:r>
    </w:p>
    <w:p w:rsidR="00000000" w:rsidRDefault="00EE1167">
      <w:pPr>
        <w:jc w:val="center"/>
        <w:divId w:val="825782260"/>
        <w:rPr>
          <w:rFonts w:eastAsia="Times New Roman"/>
        </w:rPr>
      </w:pPr>
      <w:r>
        <w:rPr>
          <w:rFonts w:ascii="Arial" w:eastAsia="Times New Roman" w:hAnsi="Arial" w:cs="Arial"/>
          <w:color w:val="000000"/>
          <w:sz w:val="20"/>
          <w:szCs w:val="20"/>
        </w:rPr>
        <w:t>8</w:t>
      </w:r>
    </w:p>
    <w:p w:rsidR="00000000" w:rsidRDefault="00EE1167">
      <w:pPr>
        <w:rPr>
          <w:rFonts w:eastAsia="Times New Roman"/>
        </w:rPr>
      </w:pPr>
      <w:r>
        <w:rPr>
          <w:rFonts w:eastAsia="Times New Roman"/>
        </w:rPr>
        <w:pict>
          <v:rect id="_x0000_i1033" style="width:0;height:1.5pt" o:hralign="center" o:hrstd="t" o:hr="t" fillcolor="#a0a0a0" stroked="f"/>
        </w:pict>
      </w:r>
    </w:p>
    <w:p w:rsidR="00000000" w:rsidRDefault="00EE1167">
      <w:pPr>
        <w:jc w:val="center"/>
        <w:divId w:val="303588020"/>
        <w:rPr>
          <w:rFonts w:eastAsia="Times New Roman"/>
        </w:rPr>
      </w:pPr>
    </w:p>
    <w:p w:rsidR="00000000" w:rsidRDefault="00EE1167">
      <w:pPr>
        <w:jc w:val="center"/>
        <w:rPr>
          <w:rFonts w:eastAsia="Times New Roman"/>
        </w:rPr>
      </w:pPr>
      <w:r>
        <w:rPr>
          <w:rFonts w:ascii="Arial" w:eastAsia="Times New Roman" w:hAnsi="Arial" w:cs="Arial"/>
          <w:b/>
          <w:bCs/>
          <w:color w:val="000000"/>
          <w:sz w:val="30"/>
          <w:szCs w:val="30"/>
        </w:rPr>
        <w:t>ENBRIDGE INC.</w:t>
      </w:r>
    </w:p>
    <w:p w:rsidR="00000000" w:rsidRDefault="00EE1167">
      <w:pPr>
        <w:jc w:val="center"/>
        <w:rPr>
          <w:rFonts w:eastAsia="Times New Roman"/>
        </w:rPr>
      </w:pPr>
      <w:r>
        <w:rPr>
          <w:rFonts w:ascii="Arial" w:eastAsia="Times New Roman" w:hAnsi="Arial" w:cs="Arial"/>
          <w:b/>
          <w:bCs/>
          <w:color w:val="000000"/>
          <w:sz w:val="30"/>
          <w:szCs w:val="30"/>
        </w:rPr>
        <w:t>CONSOLIDATED STATEMENTS OF CASH FLOWS</w:t>
      </w:r>
    </w:p>
    <w:p w:rsidR="00000000" w:rsidRDefault="00EE116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366"/>
        <w:gridCol w:w="40"/>
        <w:gridCol w:w="68"/>
        <w:gridCol w:w="811"/>
        <w:gridCol w:w="37"/>
        <w:gridCol w:w="68"/>
        <w:gridCol w:w="812"/>
        <w:gridCol w:w="36"/>
      </w:tblGrid>
      <w:tr w:rsidR="00000000">
        <w:trPr>
          <w:jc w:val="center"/>
        </w:trPr>
        <w:tc>
          <w:tcPr>
            <w:tcW w:w="50" w:type="pct"/>
            <w:vAlign w:val="center"/>
            <w:hideMark/>
          </w:tcPr>
          <w:p w:rsidR="00000000" w:rsidRDefault="00EE1167">
            <w:pPr>
              <w:jc w:val="center"/>
              <w:rPr>
                <w:rFonts w:eastAsia="Times New Roman"/>
              </w:rPr>
            </w:pPr>
          </w:p>
        </w:tc>
        <w:tc>
          <w:tcPr>
            <w:tcW w:w="383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20"/>
                <w:szCs w:val="20"/>
              </w:rPr>
              <w:t>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4,349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1,517 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335"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Deferred income tax expense/(recovery)</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843978762"/>
              <w:rPr>
                <w:rFonts w:eastAsia="Times New Roman"/>
              </w:rPr>
            </w:pPr>
            <w:r>
              <w:rPr>
                <w:rFonts w:ascii="Arial" w:eastAsia="Times New Roman" w:hAnsi="Arial" w:cs="Arial"/>
                <w:color w:val="000000"/>
                <w:sz w:val="20"/>
                <w:szCs w:val="20"/>
              </w:rPr>
              <w:t xml:space="preserve">Unrealized derivative fair value loss, net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(805)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Distributions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1,145 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divId w:val="1013606564"/>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2,351 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Gain on disposition</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4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222 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Changes in operating assets and liabilities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(1,068)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213 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6,954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7,527 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20"/>
                <w:szCs w:val="20"/>
              </w:rPr>
              <w:t>Investing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2143844392"/>
              <w:rPr>
                <w:rFonts w:eastAsia="Times New Roman"/>
              </w:rPr>
            </w:pPr>
            <w:r>
              <w:rPr>
                <w:rFonts w:ascii="Arial" w:eastAsia="Times New Roman" w:hAnsi="Arial" w:cs="Arial"/>
                <w:color w:val="000000"/>
                <w:sz w:val="20"/>
                <w:szCs w:val="20"/>
              </w:rPr>
              <w:t>Capital expenditures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(5,475)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(3,790)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1176916803"/>
              <w:rPr>
                <w:rFonts w:eastAsia="Times New Roman"/>
              </w:rPr>
            </w:pPr>
            <w:r>
              <w:rPr>
                <w:rFonts w:ascii="Arial" w:eastAsia="Times New Roman" w:hAnsi="Arial" w:cs="Arial"/>
                <w:color w:val="000000"/>
                <w:sz w:val="20"/>
                <w:szCs w:val="20"/>
              </w:rPr>
              <w:t>Long-term investments and 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(413)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1699699520"/>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438 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Additions to intangible assets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(185)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Proceeds from disposition</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265 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Affiliate loans, net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(5,495)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(3,644)</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20"/>
                <w:szCs w:val="20"/>
              </w:rPr>
              <w:t>Financing activities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1463428027"/>
              <w:rPr>
                <w:rFonts w:eastAsia="Times New Roman"/>
              </w:rPr>
            </w:pPr>
            <w:r>
              <w:rPr>
                <w:rFonts w:ascii="Arial" w:eastAsia="Times New Roman" w:hAnsi="Arial" w:cs="Arial"/>
                <w:color w:val="000000"/>
                <w:sz w:val="20"/>
                <w:szCs w:val="20"/>
              </w:rPr>
              <w:t xml:space="preserve">Net change in short-term borrowings </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1636522049"/>
              <w:rPr>
                <w:rFonts w:eastAsia="Times New Roman"/>
              </w:rPr>
            </w:pPr>
            <w:r>
              <w:rPr>
                <w:rFonts w:ascii="Arial" w:eastAsia="Times New Roman" w:hAnsi="Arial" w:cs="Arial"/>
                <w:color w:val="000000"/>
                <w:sz w:val="20"/>
                <w:szCs w:val="20"/>
              </w:rPr>
              <w:t>Net change in commercial paper and credit facility draws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Debenture and term note issues, net of issue costs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6,135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4,834 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Debenture and term note repayments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(1,888)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(3,517)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Contributions from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Distributions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(232)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Common shares issued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(274)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Common share dividends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(5,074)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(4,920)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cash used in financing activities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(1,422)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(3,845)</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ind w:hanging="180"/>
              <w:divId w:val="1521163562"/>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(12)</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(22)</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increase in cash and cash equivalents and restricted cash</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676 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xml:space="preserve">Cash and cash equivalents and restricted cash at end of period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515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692 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091007732"/>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EE1167">
      <w:pPr>
        <w:jc w:val="center"/>
        <w:divId w:val="1491866207"/>
        <w:rPr>
          <w:rFonts w:eastAsia="Times New Roman"/>
        </w:rPr>
      </w:pPr>
      <w:r>
        <w:rPr>
          <w:rFonts w:ascii="Arial" w:eastAsia="Times New Roman" w:hAnsi="Arial" w:cs="Arial"/>
          <w:color w:val="000000"/>
          <w:sz w:val="20"/>
          <w:szCs w:val="20"/>
        </w:rPr>
        <w:t>9</w:t>
      </w:r>
    </w:p>
    <w:p w:rsidR="00000000" w:rsidRDefault="00EE1167">
      <w:pPr>
        <w:rPr>
          <w:rFonts w:eastAsia="Times New Roman"/>
        </w:rPr>
      </w:pPr>
      <w:r>
        <w:rPr>
          <w:rFonts w:eastAsia="Times New Roman"/>
        </w:rPr>
        <w:pict>
          <v:rect id="_x0000_i1034" style="width:0;height:1.5pt" o:hralign="center" o:hrstd="t" o:hr="t" fillcolor="#a0a0a0" stroked="f"/>
        </w:pict>
      </w:r>
    </w:p>
    <w:p w:rsidR="00000000" w:rsidRDefault="00EE1167">
      <w:pPr>
        <w:jc w:val="center"/>
        <w:divId w:val="1688866017"/>
        <w:rPr>
          <w:rFonts w:eastAsia="Times New Roman"/>
        </w:rPr>
      </w:pPr>
    </w:p>
    <w:p w:rsidR="00000000" w:rsidRDefault="00EE1167">
      <w:pPr>
        <w:ind w:firstLine="720"/>
        <w:jc w:val="center"/>
        <w:rPr>
          <w:rFonts w:eastAsia="Times New Roman"/>
        </w:rPr>
      </w:pPr>
      <w:r>
        <w:rPr>
          <w:rFonts w:ascii="Arial" w:eastAsia="Times New Roman" w:hAnsi="Arial" w:cs="Arial"/>
          <w:b/>
          <w:bCs/>
          <w:color w:val="000000"/>
          <w:sz w:val="30"/>
          <w:szCs w:val="30"/>
        </w:rPr>
        <w:t>ENBRIDGE INC.</w:t>
      </w:r>
    </w:p>
    <w:p w:rsidR="00000000" w:rsidRDefault="00EE1167">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EE116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8"/>
        <w:gridCol w:w="40"/>
        <w:gridCol w:w="69"/>
        <w:gridCol w:w="1225"/>
        <w:gridCol w:w="36"/>
        <w:gridCol w:w="69"/>
        <w:gridCol w:w="1225"/>
        <w:gridCol w:w="36"/>
      </w:tblGrid>
      <w:tr w:rsidR="00000000">
        <w:trPr>
          <w:jc w:val="center"/>
        </w:trPr>
        <w:tc>
          <w:tcPr>
            <w:tcW w:w="50" w:type="pct"/>
            <w:vAlign w:val="center"/>
            <w:hideMark/>
          </w:tcPr>
          <w:p w:rsidR="00000000" w:rsidRDefault="00EE1167">
            <w:pPr>
              <w:jc w:val="center"/>
              <w:rPr>
                <w:rFonts w:eastAsia="Times New Roman"/>
              </w:rPr>
            </w:pPr>
          </w:p>
        </w:tc>
        <w:tc>
          <w:tcPr>
            <w:tcW w:w="334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4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4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452 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6,378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5,258 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1,536 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8,558</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7,350 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98,097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94,571 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13,489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13,818 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553 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8,413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8,446 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2,212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32,573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32,688 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770 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assets</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164,532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160,276 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trHeight w:val="240"/>
          <w:jc w:val="center"/>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1,121 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8,754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9,228 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divId w:val="527066503"/>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619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651 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4,693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2,957 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15,441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13,979 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65,036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62,819 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8,116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8,783 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11,277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10,332 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99,870</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95,913 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divId w:val="500050449"/>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12)</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jc w:val="center"/>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ind w:hanging="180"/>
              <w:divId w:val="1629164448"/>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(2,026 outstanding at September </w:t>
            </w:r>
            <w:r>
              <w:rPr>
                <w:rFonts w:ascii="Arial" w:eastAsia="Times New Roman" w:hAnsi="Arial" w:cs="Arial"/>
                <w:i/>
                <w:iCs/>
                <w:color w:val="000000"/>
                <w:sz w:val="16"/>
                <w:szCs w:val="16"/>
              </w:rPr>
              <w:t>30, 2021 and December 31, 2020)</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64,790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64,768 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(9,397)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(9,995)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EE1167">
            <w:pPr>
              <w:spacing w:after="100"/>
              <w:divId w:val="1718503015"/>
              <w:rPr>
                <w:rFonts w:eastAsia="Times New Roman"/>
              </w:rPr>
            </w:pPr>
            <w:r>
              <w:rPr>
                <w:rFonts w:ascii="Arial" w:eastAsia="Times New Roman" w:hAnsi="Arial" w:cs="Arial"/>
                <w:color w:val="000000"/>
                <w:sz w:val="20"/>
                <w:szCs w:val="20"/>
              </w:rPr>
              <w:t xml:space="preserve">Accumulated other comprehensive loss </w:t>
            </w:r>
            <w:r>
              <w:rPr>
                <w:rFonts w:ascii="Arial" w:eastAsia="Times New Roman" w:hAnsi="Arial" w:cs="Arial"/>
                <w:i/>
                <w:iCs/>
                <w:color w:val="000000"/>
                <w:sz w:val="16"/>
                <w:szCs w:val="16"/>
              </w:rPr>
              <w:t>(Note 7)</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(1,360)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(1,401)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Reciprocal shareholding</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62,087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61,367 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2,996 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64,662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64,363 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164,532</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160,276 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263999597"/>
        <w:rPr>
          <w:rFonts w:eastAsia="Times New Roman"/>
        </w:rPr>
      </w:pPr>
      <w:r>
        <w:rPr>
          <w:rFonts w:ascii="Arial" w:eastAsia="Times New Roman" w:hAnsi="Arial" w:cs="Arial"/>
          <w:color w:val="000000"/>
          <w:sz w:val="16"/>
          <w:szCs w:val="16"/>
        </w:rPr>
        <w:t>The accompanying notes are an integral part of these interim consolidated financial statements.</w:t>
      </w:r>
    </w:p>
    <w:p w:rsidR="00000000" w:rsidRDefault="00EE1167">
      <w:pPr>
        <w:divId w:val="1395078955"/>
        <w:rPr>
          <w:rFonts w:eastAsia="Times New Roman"/>
        </w:rPr>
      </w:pPr>
    </w:p>
    <w:p w:rsidR="00000000" w:rsidRDefault="00EE1167">
      <w:pPr>
        <w:jc w:val="center"/>
        <w:divId w:val="182670435"/>
        <w:rPr>
          <w:rFonts w:eastAsia="Times New Roman"/>
        </w:rPr>
      </w:pPr>
      <w:r>
        <w:rPr>
          <w:rFonts w:ascii="Arial" w:eastAsia="Times New Roman" w:hAnsi="Arial" w:cs="Arial"/>
          <w:color w:val="000000"/>
          <w:sz w:val="20"/>
          <w:szCs w:val="20"/>
        </w:rPr>
        <w:t>10</w:t>
      </w:r>
    </w:p>
    <w:p w:rsidR="00000000" w:rsidRDefault="00EE1167">
      <w:pPr>
        <w:rPr>
          <w:rFonts w:eastAsia="Times New Roman"/>
        </w:rPr>
      </w:pPr>
      <w:r>
        <w:rPr>
          <w:rFonts w:eastAsia="Times New Roman"/>
        </w:rPr>
        <w:pict>
          <v:rect id="_x0000_i1035" style="width:0;height:1.5pt" o:hralign="center" o:hrstd="t" o:hr="t" fillcolor="#a0a0a0" stroked="f"/>
        </w:pict>
      </w:r>
    </w:p>
    <w:p w:rsidR="00000000" w:rsidRDefault="00EE1167">
      <w:pPr>
        <w:jc w:val="center"/>
        <w:divId w:val="216167246"/>
        <w:rPr>
          <w:rFonts w:eastAsia="Times New Roman"/>
        </w:rPr>
      </w:pPr>
    </w:p>
    <w:p w:rsidR="00000000" w:rsidRDefault="00EE1167">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EE1167">
      <w:pPr>
        <w:jc w:val="center"/>
        <w:rPr>
          <w:rFonts w:eastAsia="Times New Roman"/>
        </w:rPr>
      </w:pPr>
      <w:r>
        <w:rPr>
          <w:rFonts w:ascii="Arial" w:eastAsia="Times New Roman" w:hAnsi="Arial" w:cs="Arial"/>
          <w:i/>
          <w:iCs/>
          <w:color w:val="000000"/>
          <w:sz w:val="26"/>
          <w:szCs w:val="26"/>
        </w:rPr>
        <w:t>(unaudited)</w:t>
      </w:r>
    </w:p>
    <w:p w:rsidR="00000000" w:rsidRDefault="00EE1167">
      <w:pPr>
        <w:divId w:val="470368453"/>
        <w:rPr>
          <w:rFonts w:eastAsia="Times New Roman"/>
        </w:rPr>
      </w:pPr>
    </w:p>
    <w:p w:rsidR="00000000" w:rsidRDefault="00EE1167">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EE1167">
      <w:pPr>
        <w:divId w:val="1424498345"/>
        <w:rPr>
          <w:rFonts w:eastAsia="Times New Roman"/>
        </w:rPr>
      </w:pPr>
    </w:p>
    <w:p w:rsidR="00000000" w:rsidRDefault="00EE1167">
      <w:pPr>
        <w:divId w:val="1000086810"/>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Regulation</w:t>
      </w:r>
      <w:r>
        <w:rPr>
          <w:rFonts w:ascii="Arial" w:eastAsia="Times New Roman" w:hAnsi="Arial" w:cs="Arial"/>
          <w:color w:val="000000"/>
          <w:sz w:val="20"/>
          <w:szCs w:val="20"/>
        </w:rPr>
        <w:t xml:space="preserve"> S-X for interim consolidated financial information. They do not include all of the information and notes required by US GAAP for annual consolidated financial statements and should therefore be read in conjunction with our audited consolidated financial s</w:t>
      </w:r>
      <w:r>
        <w:rPr>
          <w:rFonts w:ascii="Arial" w:eastAsia="Times New Roman" w:hAnsi="Arial" w:cs="Arial"/>
          <w:color w:val="000000"/>
          <w:sz w:val="20"/>
          <w:szCs w:val="20"/>
        </w:rPr>
        <w:t>tatements and notes for the year ended December 31, 2020. In the opinion of management, the interim consolidated financial statements contain all normal recurring adjustments necessary to present fairly our financial position, results of operations and cas</w:t>
      </w:r>
      <w:r>
        <w:rPr>
          <w:rFonts w:ascii="Arial" w:eastAsia="Times New Roman" w:hAnsi="Arial" w:cs="Arial"/>
          <w:color w:val="000000"/>
          <w:sz w:val="20"/>
          <w:szCs w:val="20"/>
        </w:rPr>
        <w:t>h flows for the interim periods reported. These interim consolidated financial statements follow the same significant accounting policies as those included in our audited consolidated financial statements for the year ended December 31, 2020, except for th</w:t>
      </w:r>
      <w:r>
        <w:rPr>
          <w:rFonts w:ascii="Arial" w:eastAsia="Times New Roman" w:hAnsi="Arial" w:cs="Arial"/>
          <w:color w:val="000000"/>
          <w:sz w:val="20"/>
          <w:szCs w:val="20"/>
        </w:rPr>
        <w:t xml:space="preserve">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EE1167">
      <w:pPr>
        <w:divId w:val="62487793"/>
        <w:rPr>
          <w:rFonts w:eastAsia="Times New Roman"/>
        </w:rPr>
      </w:pPr>
    </w:p>
    <w:p w:rsidR="00000000" w:rsidRDefault="00EE1167">
      <w:pPr>
        <w:divId w:val="1288199259"/>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other</w:t>
      </w:r>
      <w:r>
        <w:rPr>
          <w:rFonts w:ascii="Arial" w:eastAsia="Times New Roman" w:hAnsi="Arial" w:cs="Arial"/>
          <w:color w:val="000000"/>
          <w:sz w:val="20"/>
          <w:szCs w:val="20"/>
        </w:rPr>
        <w:t xml:space="preserve"> factors such as supply of and demand for crude oil and natural gas, and may not be indicative of annual results.</w:t>
      </w:r>
    </w:p>
    <w:p w:rsidR="00000000" w:rsidRDefault="00EE1167">
      <w:pPr>
        <w:divId w:val="1025324238"/>
        <w:rPr>
          <w:rFonts w:eastAsia="Times New Roman"/>
        </w:rPr>
      </w:pPr>
    </w:p>
    <w:p w:rsidR="00000000" w:rsidRDefault="00EE1167">
      <w:pPr>
        <w:ind w:hanging="360"/>
        <w:divId w:val="1691637198"/>
        <w:rPr>
          <w:rFonts w:eastAsia="Times New Roman"/>
        </w:rPr>
      </w:pPr>
      <w:r>
        <w:rPr>
          <w:rFonts w:ascii="Arial" w:eastAsia="Times New Roman" w:hAnsi="Arial" w:cs="Arial"/>
          <w:b/>
          <w:bCs/>
          <w:color w:val="000000"/>
          <w:sz w:val="26"/>
          <w:szCs w:val="26"/>
        </w:rPr>
        <w:t>2. CHANGES IN ACCOUNTING POLICIES</w:t>
      </w:r>
    </w:p>
    <w:p w:rsidR="00000000" w:rsidRDefault="00EE1167">
      <w:pPr>
        <w:divId w:val="1766919028"/>
        <w:rPr>
          <w:rFonts w:eastAsia="Times New Roman"/>
        </w:rPr>
      </w:pPr>
    </w:p>
    <w:p w:rsidR="00000000" w:rsidRDefault="00EE1167">
      <w:pPr>
        <w:divId w:val="1512454818"/>
        <w:rPr>
          <w:rFonts w:eastAsia="Times New Roman"/>
        </w:rPr>
      </w:pPr>
      <w:r>
        <w:rPr>
          <w:rFonts w:ascii="Arial" w:eastAsia="Times New Roman" w:hAnsi="Arial" w:cs="Arial"/>
          <w:b/>
          <w:bCs/>
          <w:color w:val="000000"/>
          <w:sz w:val="20"/>
          <w:szCs w:val="20"/>
        </w:rPr>
        <w:t>ADOPTION OF NEW ACCOUNTING STANDARDS</w:t>
      </w:r>
    </w:p>
    <w:p w:rsidR="00000000" w:rsidRDefault="00EE1167">
      <w:pPr>
        <w:divId w:val="1846431572"/>
        <w:rPr>
          <w:rFonts w:eastAsia="Times New Roman"/>
        </w:rPr>
      </w:pPr>
      <w:r>
        <w:rPr>
          <w:rFonts w:ascii="Arial" w:eastAsia="Times New Roman" w:hAnsi="Arial" w:cs="Arial"/>
          <w:b/>
          <w:bCs/>
          <w:color w:val="000000"/>
          <w:sz w:val="20"/>
          <w:szCs w:val="20"/>
        </w:rPr>
        <w:t>Reference Rate Reform</w:t>
      </w:r>
    </w:p>
    <w:p w:rsidR="00000000" w:rsidRDefault="00EE1167">
      <w:pPr>
        <w:divId w:val="1931428125"/>
        <w:rPr>
          <w:rFonts w:eastAsia="Times New Roman"/>
        </w:rPr>
      </w:pPr>
      <w:r>
        <w:rPr>
          <w:rFonts w:ascii="Arial" w:eastAsia="Times New Roman" w:hAnsi="Arial" w:cs="Arial"/>
          <w:color w:val="000000"/>
          <w:sz w:val="20"/>
          <w:szCs w:val="20"/>
        </w:rPr>
        <w:t>For eligible hedging relationships existing a</w:t>
      </w:r>
      <w:r>
        <w:rPr>
          <w:rFonts w:ascii="Arial" w:eastAsia="Times New Roman" w:hAnsi="Arial" w:cs="Arial"/>
          <w:color w:val="000000"/>
          <w:sz w:val="20"/>
          <w:szCs w:val="20"/>
        </w:rPr>
        <w:t>s at January 1, 2021 and prospectively, we have applied the optional expedient in Accounting Standards Update (ASU) 2020-04 whereby the modification of the hedging instrument does not result in an automatic hedging relationship de-designation. The adoption</w:t>
      </w:r>
      <w:r>
        <w:rPr>
          <w:rFonts w:ascii="Arial" w:eastAsia="Times New Roman" w:hAnsi="Arial" w:cs="Arial"/>
          <w:color w:val="000000"/>
          <w:sz w:val="20"/>
          <w:szCs w:val="20"/>
        </w:rPr>
        <w:t xml:space="preserve"> of this ASU did not have a material impact on our consolidated financial statements.</w:t>
      </w:r>
    </w:p>
    <w:p w:rsidR="00000000" w:rsidRDefault="00EE1167">
      <w:pPr>
        <w:divId w:val="409426138"/>
        <w:rPr>
          <w:rFonts w:eastAsia="Times New Roman"/>
        </w:rPr>
      </w:pPr>
    </w:p>
    <w:p w:rsidR="00000000" w:rsidRDefault="00EE1167">
      <w:pPr>
        <w:divId w:val="973019378"/>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EE1167">
      <w:pPr>
        <w:divId w:val="14816053"/>
        <w:rPr>
          <w:rFonts w:eastAsia="Times New Roman"/>
        </w:rPr>
      </w:pPr>
      <w:r>
        <w:rPr>
          <w:rFonts w:ascii="Arial" w:eastAsia="Times New Roman" w:hAnsi="Arial" w:cs="Arial"/>
          <w:color w:val="000000"/>
          <w:sz w:val="20"/>
          <w:szCs w:val="20"/>
        </w:rPr>
        <w:t>Effective January 1, 2021, we adopted ASU 2020-01 on a prospective basis. Th</w:t>
      </w:r>
      <w:r>
        <w:rPr>
          <w:rFonts w:ascii="Arial" w:eastAsia="Times New Roman" w:hAnsi="Arial" w:cs="Arial"/>
          <w:color w:val="000000"/>
          <w:sz w:val="20"/>
          <w:szCs w:val="20"/>
        </w:rPr>
        <w:t xml:space="preserve">e new standard was issued in January 2020 and clarifies that observable transactions should be considered for the purpose of applying the measurement alternative in accordance with Accounting Standards Codification (ASC) 321 </w:t>
      </w:r>
      <w:r>
        <w:rPr>
          <w:rFonts w:ascii="Arial" w:eastAsia="Times New Roman" w:hAnsi="Arial" w:cs="Arial"/>
          <w:i/>
          <w:iCs/>
          <w:color w:val="000000"/>
          <w:sz w:val="20"/>
          <w:szCs w:val="20"/>
        </w:rPr>
        <w:t>Investments - Equity Securities</w:t>
      </w:r>
      <w:r>
        <w:rPr>
          <w:rFonts w:ascii="Arial" w:eastAsia="Times New Roman" w:hAnsi="Arial" w:cs="Arial"/>
          <w:color w:val="000000"/>
          <w:sz w:val="20"/>
          <w:szCs w:val="20"/>
        </w:rPr>
        <w:t xml:space="preserve"> immediately before the application or upon discontinuance of the equity method of accounting. Furthermore, the ASU clarifies that forward contracts or purchased options on equity securities are not out of scope of ASC 815 </w:t>
      </w:r>
      <w:r>
        <w:rPr>
          <w:rFonts w:ascii="Arial" w:eastAsia="Times New Roman" w:hAnsi="Arial" w:cs="Arial"/>
          <w:i/>
          <w:iCs/>
          <w:color w:val="000000"/>
          <w:sz w:val="20"/>
          <w:szCs w:val="20"/>
        </w:rPr>
        <w:t>Derivatives and Hedging</w:t>
      </w:r>
      <w:r>
        <w:rPr>
          <w:rFonts w:ascii="Arial" w:eastAsia="Times New Roman" w:hAnsi="Arial" w:cs="Arial"/>
          <w:color w:val="000000"/>
          <w:sz w:val="20"/>
          <w:szCs w:val="20"/>
        </w:rPr>
        <w:t xml:space="preserve"> guidance </w:t>
      </w:r>
      <w:r>
        <w:rPr>
          <w:rFonts w:ascii="Arial" w:eastAsia="Times New Roman" w:hAnsi="Arial" w:cs="Arial"/>
          <w:color w:val="000000"/>
          <w:sz w:val="20"/>
          <w:szCs w:val="20"/>
        </w:rPr>
        <w:t>only because, upon the contracts’ exercise, the equity securities could be accounted for under the equity method of accounting or fair value option. The adoption of this ASU did not have a material impact on our consolidated financial statements.</w:t>
      </w:r>
    </w:p>
    <w:p w:rsidR="00000000" w:rsidRDefault="00EE1167">
      <w:pPr>
        <w:divId w:val="1929385556"/>
        <w:rPr>
          <w:rFonts w:eastAsia="Times New Roman"/>
        </w:rPr>
      </w:pPr>
    </w:p>
    <w:p w:rsidR="00000000" w:rsidRDefault="00EE1167">
      <w:pPr>
        <w:divId w:val="272589864"/>
        <w:rPr>
          <w:rFonts w:eastAsia="Times New Roman"/>
        </w:rPr>
      </w:pPr>
      <w:r>
        <w:rPr>
          <w:rFonts w:ascii="Arial" w:eastAsia="Times New Roman" w:hAnsi="Arial" w:cs="Arial"/>
          <w:b/>
          <w:bCs/>
          <w:color w:val="000000"/>
          <w:sz w:val="20"/>
          <w:szCs w:val="20"/>
        </w:rPr>
        <w:t>Account</w:t>
      </w:r>
      <w:r>
        <w:rPr>
          <w:rFonts w:ascii="Arial" w:eastAsia="Times New Roman" w:hAnsi="Arial" w:cs="Arial"/>
          <w:b/>
          <w:bCs/>
          <w:color w:val="000000"/>
          <w:sz w:val="20"/>
          <w:szCs w:val="20"/>
        </w:rPr>
        <w:t>ing for Income Taxes</w:t>
      </w:r>
    </w:p>
    <w:p w:rsidR="00000000" w:rsidRDefault="00EE1167">
      <w:pPr>
        <w:divId w:val="188765226"/>
        <w:rPr>
          <w:rFonts w:eastAsia="Times New Roman"/>
        </w:rPr>
      </w:pPr>
      <w:r>
        <w:rPr>
          <w:rFonts w:ascii="Arial" w:eastAsia="Times New Roman" w:hAnsi="Arial" w:cs="Arial"/>
          <w:color w:val="000000"/>
          <w:sz w:val="20"/>
          <w:szCs w:val="20"/>
        </w:rPr>
        <w:t xml:space="preserve">Effective January 1, 2021, we adopted ASU 2019-12 on a prospective basis. The new standard was issued in December 2019 with the intent of simplifying the accounting for income taxes. The accounting update removes certain exceptions to </w:t>
      </w:r>
      <w:r>
        <w:rPr>
          <w:rFonts w:ascii="Arial" w:eastAsia="Times New Roman" w:hAnsi="Arial" w:cs="Arial"/>
          <w:color w:val="000000"/>
          <w:sz w:val="20"/>
          <w:szCs w:val="20"/>
        </w:rPr>
        <w:t xml:space="preserve">the general principles in ASC 740 </w:t>
      </w:r>
      <w:r>
        <w:rPr>
          <w:rFonts w:ascii="Arial" w:eastAsia="Times New Roman" w:hAnsi="Arial" w:cs="Arial"/>
          <w:i/>
          <w:iCs/>
          <w:color w:val="000000"/>
          <w:sz w:val="20"/>
          <w:szCs w:val="20"/>
        </w:rPr>
        <w:t>Income Taxes</w:t>
      </w:r>
      <w:r>
        <w:rPr>
          <w:rFonts w:ascii="Arial" w:eastAsia="Times New Roman" w:hAnsi="Arial" w:cs="Arial"/>
          <w:color w:val="000000"/>
          <w:sz w:val="20"/>
          <w:szCs w:val="20"/>
        </w:rPr>
        <w:t xml:space="preserve"> as well as provides simplification by clarifying and amending existing guidance. The adoption of this ASU did not have a material impact on our consolidated financial statements.</w:t>
      </w:r>
    </w:p>
    <w:p w:rsidR="00000000" w:rsidRDefault="00EE1167">
      <w:pPr>
        <w:divId w:val="2015107416"/>
        <w:rPr>
          <w:rFonts w:eastAsia="Times New Roman"/>
        </w:rPr>
      </w:pPr>
    </w:p>
    <w:p w:rsidR="00000000" w:rsidRDefault="00EE1167">
      <w:pPr>
        <w:jc w:val="center"/>
        <w:divId w:val="1177429301"/>
        <w:rPr>
          <w:rFonts w:eastAsia="Times New Roman"/>
        </w:rPr>
      </w:pPr>
      <w:r>
        <w:rPr>
          <w:rFonts w:ascii="Arial" w:eastAsia="Times New Roman" w:hAnsi="Arial" w:cs="Arial"/>
          <w:color w:val="000000"/>
          <w:sz w:val="20"/>
          <w:szCs w:val="20"/>
        </w:rPr>
        <w:t>11</w:t>
      </w:r>
    </w:p>
    <w:p w:rsidR="00000000" w:rsidRDefault="00EE1167">
      <w:pPr>
        <w:rPr>
          <w:rFonts w:eastAsia="Times New Roman"/>
        </w:rPr>
      </w:pPr>
      <w:r>
        <w:rPr>
          <w:rFonts w:eastAsia="Times New Roman"/>
        </w:rPr>
        <w:pict>
          <v:rect id="_x0000_i1036" style="width:0;height:1.5pt" o:hralign="center" o:hrstd="t" o:hr="t" fillcolor="#a0a0a0" stroked="f"/>
        </w:pict>
      </w:r>
    </w:p>
    <w:p w:rsidR="00000000" w:rsidRDefault="00EE1167">
      <w:pPr>
        <w:jc w:val="center"/>
        <w:divId w:val="1767269569"/>
        <w:rPr>
          <w:rFonts w:eastAsia="Times New Roman"/>
        </w:rPr>
      </w:pPr>
    </w:p>
    <w:p w:rsidR="00000000" w:rsidRDefault="00EE1167">
      <w:pPr>
        <w:divId w:val="1522012706"/>
        <w:rPr>
          <w:rFonts w:eastAsia="Times New Roman"/>
        </w:rPr>
      </w:pPr>
      <w:r>
        <w:rPr>
          <w:rFonts w:ascii="Arial" w:eastAsia="Times New Roman" w:hAnsi="Arial" w:cs="Arial"/>
          <w:b/>
          <w:bCs/>
          <w:color w:val="000000"/>
          <w:sz w:val="20"/>
          <w:szCs w:val="20"/>
        </w:rPr>
        <w:t>FUTURE ACCOUNTING POLICY CHANGES</w:t>
      </w:r>
    </w:p>
    <w:p w:rsidR="00000000" w:rsidRDefault="00EE1167">
      <w:pPr>
        <w:divId w:val="863517624"/>
        <w:rPr>
          <w:rFonts w:eastAsia="Times New Roman"/>
        </w:rPr>
      </w:pPr>
      <w:r>
        <w:rPr>
          <w:rFonts w:ascii="Arial" w:eastAsia="Times New Roman" w:hAnsi="Arial" w:cs="Arial"/>
          <w:b/>
          <w:bCs/>
          <w:color w:val="000000"/>
          <w:sz w:val="20"/>
          <w:szCs w:val="20"/>
        </w:rPr>
        <w:t>Accounting for Certain Lessor Leases with Variable Lease Payments</w:t>
      </w:r>
    </w:p>
    <w:p w:rsidR="00000000" w:rsidRDefault="00EE1167">
      <w:pPr>
        <w:divId w:val="382337756"/>
        <w:rPr>
          <w:rFonts w:eastAsia="Times New Roman"/>
        </w:rPr>
      </w:pPr>
      <w:r>
        <w:rPr>
          <w:rFonts w:ascii="Arial" w:eastAsia="Times New Roman" w:hAnsi="Arial" w:cs="Arial"/>
          <w:color w:val="000000"/>
          <w:sz w:val="20"/>
          <w:szCs w:val="20"/>
        </w:rPr>
        <w:t>ASU 2021-05 was issued in July 2021 to amend lessor accounting for certain leases with variable lease payments that do not depend on a referenc</w:t>
      </w:r>
      <w:r>
        <w:rPr>
          <w:rFonts w:ascii="Arial" w:eastAsia="Times New Roman" w:hAnsi="Arial" w:cs="Arial"/>
          <w:color w:val="000000"/>
          <w:sz w:val="20"/>
          <w:szCs w:val="20"/>
        </w:rPr>
        <w:t>e index or a rate and would have resulted in the recognition of a loss at lease commencement if classified as a sales-type or a direct financing lease. The ASU amends the classification requirements of such leases for lessors to result in an operating leas</w:t>
      </w:r>
      <w:r>
        <w:rPr>
          <w:rFonts w:ascii="Arial" w:eastAsia="Times New Roman" w:hAnsi="Arial" w:cs="Arial"/>
          <w:color w:val="000000"/>
          <w:sz w:val="20"/>
          <w:szCs w:val="20"/>
        </w:rPr>
        <w:t>e classification. ASU 2021-05 is effective January 1, 2022 and can be applied either retrospectively or prospectively with early adoption permitted. We are currently assessing the impact of the new standard on our consolidated financial statements.</w:t>
      </w:r>
    </w:p>
    <w:p w:rsidR="00000000" w:rsidRDefault="00EE1167">
      <w:pPr>
        <w:divId w:val="1181745589"/>
        <w:rPr>
          <w:rFonts w:eastAsia="Times New Roman"/>
        </w:rPr>
      </w:pPr>
    </w:p>
    <w:p w:rsidR="00000000" w:rsidRDefault="00EE1167">
      <w:pPr>
        <w:divId w:val="347831478"/>
        <w:rPr>
          <w:rFonts w:eastAsia="Times New Roman"/>
        </w:rPr>
      </w:pPr>
      <w:r>
        <w:rPr>
          <w:rFonts w:ascii="Arial" w:eastAsia="Times New Roman" w:hAnsi="Arial" w:cs="Arial"/>
          <w:b/>
          <w:bCs/>
          <w:color w:val="000000"/>
          <w:sz w:val="20"/>
          <w:szCs w:val="20"/>
        </w:rPr>
        <w:t>Accou</w:t>
      </w:r>
      <w:r>
        <w:rPr>
          <w:rFonts w:ascii="Arial" w:eastAsia="Times New Roman" w:hAnsi="Arial" w:cs="Arial"/>
          <w:b/>
          <w:bCs/>
          <w:color w:val="000000"/>
          <w:sz w:val="20"/>
          <w:szCs w:val="20"/>
        </w:rPr>
        <w:t>nting for Modifications or Exchanges of Certain Equity-Classified Contracts</w:t>
      </w:r>
    </w:p>
    <w:p w:rsidR="00000000" w:rsidRDefault="00EE1167">
      <w:pPr>
        <w:divId w:val="1930387335"/>
        <w:rPr>
          <w:rFonts w:eastAsia="Times New Roman"/>
        </w:rPr>
      </w:pPr>
      <w:r>
        <w:rPr>
          <w:rFonts w:ascii="Arial" w:eastAsia="Times New Roman" w:hAnsi="Arial" w:cs="Arial"/>
          <w:color w:val="000000"/>
          <w:sz w:val="20"/>
          <w:szCs w:val="20"/>
        </w:rPr>
        <w:t xml:space="preserve">ASU 2021-04 was issued in May 2021 to clarify issuer accounting for modifications or exchanges of freestanding equity-classified written call options that remain equity classified </w:t>
      </w:r>
      <w:r>
        <w:rPr>
          <w:rFonts w:ascii="Arial" w:eastAsia="Times New Roman" w:hAnsi="Arial" w:cs="Arial"/>
          <w:color w:val="000000"/>
          <w:sz w:val="20"/>
          <w:szCs w:val="20"/>
        </w:rPr>
        <w:t>after modification or exchange. The ASU requires an issuer to determine the accounting for the modification or exchange based on the economic substance of the modification or exchange. ASU 2021-04 is effective January 1, 2022 and should be applied prospect</w:t>
      </w:r>
      <w:r>
        <w:rPr>
          <w:rFonts w:ascii="Arial" w:eastAsia="Times New Roman" w:hAnsi="Arial" w:cs="Arial"/>
          <w:color w:val="000000"/>
          <w:sz w:val="20"/>
          <w:szCs w:val="20"/>
        </w:rPr>
        <w:t>ively. We are currently assessing the impact of the new standard on our consolidated financial statements.</w:t>
      </w:r>
    </w:p>
    <w:p w:rsidR="00000000" w:rsidRDefault="00EE1167">
      <w:pPr>
        <w:divId w:val="1910991144"/>
        <w:rPr>
          <w:rFonts w:eastAsia="Times New Roman"/>
        </w:rPr>
      </w:pPr>
    </w:p>
    <w:p w:rsidR="00000000" w:rsidRDefault="00EE1167">
      <w:pPr>
        <w:divId w:val="1200166620"/>
        <w:rPr>
          <w:rFonts w:eastAsia="Times New Roman"/>
        </w:rPr>
      </w:pPr>
      <w:r>
        <w:rPr>
          <w:rFonts w:ascii="Arial" w:eastAsia="Times New Roman" w:hAnsi="Arial" w:cs="Arial"/>
          <w:b/>
          <w:bCs/>
          <w:color w:val="000000"/>
          <w:sz w:val="20"/>
          <w:szCs w:val="20"/>
        </w:rPr>
        <w:t>Accounting for Convertible Instruments and Contracts in an Entity’s Own Equity</w:t>
      </w:r>
    </w:p>
    <w:p w:rsidR="00000000" w:rsidRDefault="00EE1167">
      <w:pPr>
        <w:divId w:val="1972206881"/>
        <w:rPr>
          <w:rFonts w:eastAsia="Times New Roman"/>
        </w:rPr>
      </w:pPr>
      <w:r>
        <w:rPr>
          <w:rFonts w:ascii="Arial" w:eastAsia="Times New Roman" w:hAnsi="Arial" w:cs="Arial"/>
          <w:color w:val="000000"/>
          <w:sz w:val="20"/>
          <w:szCs w:val="20"/>
        </w:rPr>
        <w:t>ASU 2020-06 was issued in August 2020 to simplify accounting for cer</w:t>
      </w:r>
      <w:r>
        <w:rPr>
          <w:rFonts w:ascii="Arial" w:eastAsia="Times New Roman" w:hAnsi="Arial" w:cs="Arial"/>
          <w:color w:val="000000"/>
          <w:sz w:val="20"/>
          <w:szCs w:val="20"/>
        </w:rPr>
        <w:t>tain financial instruments. The ASU eliminates the current models that require separation of beneficial conversion and cash conversion features from convertible instruments and simplifies the derivative scope exception guidance pertaining to equity classif</w:t>
      </w:r>
      <w:r>
        <w:rPr>
          <w:rFonts w:ascii="Arial" w:eastAsia="Times New Roman" w:hAnsi="Arial" w:cs="Arial"/>
          <w:color w:val="000000"/>
          <w:sz w:val="20"/>
          <w:szCs w:val="20"/>
        </w:rPr>
        <w:t>ication of contracts in an entity’s own equity. The ASU also introduces additional disclosures for convertible debt and freestanding instruments that are indexed to and settled in an entity’s own equity. The ASU amends the diluted earnings per share guidan</w:t>
      </w:r>
      <w:r>
        <w:rPr>
          <w:rFonts w:ascii="Arial" w:eastAsia="Times New Roman" w:hAnsi="Arial" w:cs="Arial"/>
          <w:color w:val="000000"/>
          <w:sz w:val="20"/>
          <w:szCs w:val="20"/>
        </w:rPr>
        <w:t>ce, including the requirement to use if-converted method for all convertible instruments and an update for instruments that can be settled in either cash or shares. ASU 2020-06 is effective January 1, 2022 and should be applied on a full or modified retros</w:t>
      </w:r>
      <w:r>
        <w:rPr>
          <w:rFonts w:ascii="Arial" w:eastAsia="Times New Roman" w:hAnsi="Arial" w:cs="Arial"/>
          <w:color w:val="000000"/>
          <w:sz w:val="20"/>
          <w:szCs w:val="20"/>
        </w:rPr>
        <w:t>pective basis. We are currently assessing the impact of the new standard on our consolidated financial statements.</w:t>
      </w:r>
    </w:p>
    <w:p w:rsidR="00000000" w:rsidRDefault="00EE1167">
      <w:pPr>
        <w:divId w:val="139855288"/>
        <w:rPr>
          <w:rFonts w:eastAsia="Times New Roman"/>
        </w:rPr>
      </w:pPr>
    </w:p>
    <w:p w:rsidR="00000000" w:rsidRDefault="00EE1167">
      <w:pPr>
        <w:divId w:val="1895459922"/>
        <w:rPr>
          <w:rFonts w:eastAsia="Times New Roman"/>
        </w:rPr>
      </w:pPr>
      <w:r>
        <w:rPr>
          <w:rFonts w:ascii="Arial" w:eastAsia="Times New Roman" w:hAnsi="Arial" w:cs="Arial"/>
          <w:b/>
          <w:bCs/>
          <w:color w:val="000000"/>
          <w:sz w:val="20"/>
          <w:szCs w:val="20"/>
        </w:rPr>
        <w:t>Accounting for Contract Assets and Liabilities from Contracts with Customers in a Business Combination</w:t>
      </w:r>
    </w:p>
    <w:p w:rsidR="00000000" w:rsidRDefault="00EE1167">
      <w:pPr>
        <w:divId w:val="904485580"/>
        <w:rPr>
          <w:rFonts w:eastAsia="Times New Roman"/>
        </w:rPr>
      </w:pPr>
      <w:r>
        <w:rPr>
          <w:rFonts w:ascii="Arial" w:eastAsia="Times New Roman" w:hAnsi="Arial" w:cs="Arial"/>
          <w:color w:val="000000"/>
          <w:sz w:val="20"/>
          <w:szCs w:val="20"/>
        </w:rPr>
        <w:t>ASU 2021-08 was issued in October 2021 to amend business combination accounting specific to contract assets and contract liabilities resulting from contr</w:t>
      </w:r>
      <w:r>
        <w:rPr>
          <w:rFonts w:ascii="Arial" w:eastAsia="Times New Roman" w:hAnsi="Arial" w:cs="Arial"/>
          <w:color w:val="000000"/>
          <w:sz w:val="20"/>
          <w:szCs w:val="20"/>
        </w:rPr>
        <w:t>acts with customers, requiring measurement in accordance with ASC 606. The ASU is also applicable to contract assets and contract liabilities from other contracts to which ASC 606 applies, such as contract liabilities from the sale of nonfinancial assets w</w:t>
      </w:r>
      <w:r>
        <w:rPr>
          <w:rFonts w:ascii="Arial" w:eastAsia="Times New Roman" w:hAnsi="Arial" w:cs="Arial"/>
          <w:color w:val="000000"/>
          <w:sz w:val="20"/>
          <w:szCs w:val="20"/>
        </w:rPr>
        <w:t>ithin the scope of ASC 610-20. ASU 2021-08 is effective January 1, 2023 and should be applied prospectively with early adoption permitted. Early adoption requires retrospective application for business combinations with an acquisition date in the year of e</w:t>
      </w:r>
      <w:r>
        <w:rPr>
          <w:rFonts w:ascii="Arial" w:eastAsia="Times New Roman" w:hAnsi="Arial" w:cs="Arial"/>
          <w:color w:val="000000"/>
          <w:sz w:val="20"/>
          <w:szCs w:val="20"/>
        </w:rPr>
        <w:t>arly application. We are currently assessing the impact of the new standard on our consolidated financial statements.</w:t>
      </w:r>
    </w:p>
    <w:p w:rsidR="00000000" w:rsidRDefault="00EE1167">
      <w:pPr>
        <w:divId w:val="1879658427"/>
        <w:rPr>
          <w:rFonts w:eastAsia="Times New Roman"/>
        </w:rPr>
      </w:pPr>
    </w:p>
    <w:p w:rsidR="00000000" w:rsidRDefault="00EE1167">
      <w:pPr>
        <w:jc w:val="center"/>
        <w:divId w:val="1560243341"/>
        <w:rPr>
          <w:rFonts w:eastAsia="Times New Roman"/>
        </w:rPr>
      </w:pPr>
      <w:r>
        <w:rPr>
          <w:rFonts w:ascii="Arial" w:eastAsia="Times New Roman" w:hAnsi="Arial" w:cs="Arial"/>
          <w:color w:val="000000"/>
          <w:sz w:val="20"/>
          <w:szCs w:val="20"/>
        </w:rPr>
        <w:t>12</w:t>
      </w:r>
    </w:p>
    <w:p w:rsidR="00000000" w:rsidRDefault="00EE1167">
      <w:pPr>
        <w:rPr>
          <w:rFonts w:eastAsia="Times New Roman"/>
        </w:rPr>
      </w:pPr>
      <w:r>
        <w:rPr>
          <w:rFonts w:eastAsia="Times New Roman"/>
        </w:rPr>
        <w:pict>
          <v:rect id="_x0000_i1037" style="width:0;height:1.5pt" o:hralign="center" o:hrstd="t" o:hr="t" fillcolor="#a0a0a0" stroked="f"/>
        </w:pict>
      </w:r>
    </w:p>
    <w:p w:rsidR="00000000" w:rsidRDefault="00EE1167">
      <w:pPr>
        <w:jc w:val="center"/>
        <w:divId w:val="1334800261"/>
        <w:rPr>
          <w:rFonts w:eastAsia="Times New Roman"/>
        </w:rPr>
      </w:pPr>
    </w:p>
    <w:p w:rsidR="00000000" w:rsidRDefault="00EE1167">
      <w:pPr>
        <w:divId w:val="1975671884"/>
        <w:rPr>
          <w:rFonts w:eastAsia="Times New Roman"/>
        </w:rPr>
      </w:pPr>
      <w:r>
        <w:rPr>
          <w:rFonts w:ascii="Arial" w:eastAsia="Times New Roman" w:hAnsi="Arial" w:cs="Arial"/>
          <w:b/>
          <w:bCs/>
          <w:color w:val="000000"/>
          <w:sz w:val="26"/>
          <w:szCs w:val="26"/>
        </w:rPr>
        <w:t>3. REVENUES</w:t>
      </w:r>
    </w:p>
    <w:p w:rsidR="00000000" w:rsidRDefault="00EE1167">
      <w:pPr>
        <w:ind w:hanging="360"/>
        <w:divId w:val="18049188"/>
        <w:rPr>
          <w:rFonts w:eastAsia="Times New Roman"/>
        </w:rPr>
      </w:pPr>
    </w:p>
    <w:p w:rsidR="00000000" w:rsidRDefault="00EE1167">
      <w:pPr>
        <w:ind w:hanging="360"/>
        <w:divId w:val="348602994"/>
        <w:rPr>
          <w:rFonts w:eastAsia="Times New Roman"/>
        </w:rPr>
      </w:pPr>
      <w:r>
        <w:rPr>
          <w:rFonts w:ascii="Arial" w:eastAsia="Times New Roman" w:hAnsi="Arial" w:cs="Arial"/>
          <w:b/>
          <w:bCs/>
          <w:color w:val="000000"/>
          <w:sz w:val="20"/>
          <w:szCs w:val="20"/>
        </w:rPr>
        <w:t xml:space="preserve">REVENUE FROM CONTRACTS WITH CUSTOMERS </w:t>
      </w:r>
    </w:p>
    <w:p w:rsidR="00000000" w:rsidRDefault="00EE1167">
      <w:pPr>
        <w:divId w:val="973946035"/>
        <w:rPr>
          <w:rFonts w:eastAsia="Times New Roman"/>
        </w:rPr>
      </w:pPr>
      <w:r>
        <w:rPr>
          <w:rFonts w:ascii="Arial" w:eastAsia="Times New Roman" w:hAnsi="Arial" w:cs="Arial"/>
          <w:b/>
          <w:bCs/>
          <w:color w:val="000000"/>
          <w:sz w:val="20"/>
          <w:szCs w:val="20"/>
        </w:rPr>
        <w:t>Major Products and Services</w:t>
      </w: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603419711"/>
        </w:trPr>
        <w:tc>
          <w:tcPr>
            <w:tcW w:w="50" w:type="pct"/>
            <w:vAlign w:val="center"/>
            <w:hideMark/>
          </w:tcPr>
          <w:p w:rsidR="00000000" w:rsidRDefault="00EE1167">
            <w:pP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603419711"/>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603419711"/>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16034197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3,549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603419711"/>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0341971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ind w:hanging="180"/>
              <w:divId w:val="127370462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2,373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1,154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674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4,245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7,279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7,279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divId w:val="643464233"/>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341971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2,370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1,159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687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7,290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11,466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5400992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3"/>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285039754"/>
        </w:trPr>
        <w:tc>
          <w:tcPr>
            <w:tcW w:w="50" w:type="pct"/>
            <w:vAlign w:val="center"/>
            <w:hideMark/>
          </w:tcPr>
          <w:p w:rsidR="00000000" w:rsidRDefault="00EE1167">
            <w:pPr>
              <w:rPr>
                <w:rFonts w:eastAsia="Times New Roman"/>
              </w:rPr>
            </w:pPr>
          </w:p>
        </w:tc>
        <w:tc>
          <w:tcPr>
            <w:tcW w:w="130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85039754"/>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285039754"/>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28503975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2,234 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1,077 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128 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3,439 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137 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448 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448 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28503975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28503975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ind w:hanging="180"/>
              <w:divId w:val="54965228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2,256 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1,148 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627 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4,077 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4,595 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4,595 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divId w:val="1083141500"/>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360 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438 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(163)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8503975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2,773 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1,162 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126 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4,596 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(168)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9,110 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801967812"/>
        <w:rPr>
          <w:rFonts w:eastAsia="Times New Roman"/>
        </w:rPr>
      </w:pPr>
    </w:p>
    <w:p w:rsidR="00000000" w:rsidRDefault="00EE1167">
      <w:pPr>
        <w:jc w:val="center"/>
        <w:divId w:val="255870236"/>
        <w:rPr>
          <w:rFonts w:eastAsia="Times New Roman"/>
        </w:rPr>
      </w:pPr>
      <w:r>
        <w:rPr>
          <w:rFonts w:ascii="Arial" w:eastAsia="Times New Roman" w:hAnsi="Arial" w:cs="Arial"/>
          <w:color w:val="000000"/>
          <w:sz w:val="20"/>
          <w:szCs w:val="20"/>
        </w:rPr>
        <w:t>13</w:t>
      </w:r>
    </w:p>
    <w:p w:rsidR="00000000" w:rsidRDefault="00EE1167">
      <w:pPr>
        <w:rPr>
          <w:rFonts w:eastAsia="Times New Roman"/>
        </w:rPr>
      </w:pPr>
      <w:r>
        <w:rPr>
          <w:rFonts w:eastAsia="Times New Roman"/>
        </w:rPr>
        <w:pict>
          <v:rect id="_x0000_i1038" style="width:0;height:1.5pt" o:hralign="center" o:hrstd="t" o:hr="t" fillcolor="#a0a0a0" stroked="f"/>
        </w:pict>
      </w:r>
    </w:p>
    <w:p w:rsidR="00000000" w:rsidRDefault="00EE1167">
      <w:pPr>
        <w:jc w:val="center"/>
        <w:divId w:val="70825795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134"/>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014529306"/>
        </w:trPr>
        <w:tc>
          <w:tcPr>
            <w:tcW w:w="50" w:type="pct"/>
            <w:vAlign w:val="center"/>
            <w:hideMark/>
          </w:tcPr>
          <w:p w:rsidR="00000000" w:rsidRDefault="00EE1167">
            <w:pPr>
              <w:jc w:val="cente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014529306"/>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014529306"/>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101452930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Transportation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6,826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014529306"/>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01452930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ind w:hanging="180"/>
              <w:divId w:val="190093915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6,922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3,475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3,408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13,930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20,042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20,042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divId w:val="1447385955"/>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Intersegment revenue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(450)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01452930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7,616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3,501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3,463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371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20,068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(468)</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34,551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820171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133"/>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46338110"/>
        </w:trPr>
        <w:tc>
          <w:tcPr>
            <w:tcW w:w="50" w:type="pct"/>
            <w:vAlign w:val="center"/>
            <w:hideMark/>
          </w:tcPr>
          <w:p w:rsidR="00000000" w:rsidRDefault="00EE1167">
            <w:pPr>
              <w:rPr>
                <w:rFonts w:eastAsia="Times New Roman"/>
              </w:rPr>
            </w:pPr>
          </w:p>
        </w:tc>
        <w:tc>
          <w:tcPr>
            <w:tcW w:w="130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46338110"/>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46338110"/>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4633811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Transportation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6,815 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3,458 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494 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10,767 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Storage and other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435 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Gas gathering and processing revenue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Gas distribution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2,551 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2,551 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Electricity and transmission revenue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46338110"/>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33811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ind w:hanging="180"/>
              <w:divId w:val="168324300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6,887 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3,686 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3,199 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13,922 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14,920 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14,920 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divId w:val="773283607"/>
              <w:rPr>
                <w:rFonts w:eastAsia="Times New Roman"/>
              </w:rPr>
            </w:pPr>
            <w:r>
              <w:rPr>
                <w:rFonts w:ascii="Arial" w:eastAsia="Times New Roman" w:hAnsi="Arial" w:cs="Arial"/>
                <w:color w:val="000000"/>
                <w:sz w:val="16"/>
                <w:szCs w:val="16"/>
              </w:rPr>
              <w:t>Other revenu</w:t>
            </w:r>
            <w:r>
              <w:rPr>
                <w:rFonts w:ascii="Arial" w:eastAsia="Times New Roman" w:hAnsi="Arial" w:cs="Arial"/>
                <w:color w:val="000000"/>
                <w:sz w:val="16"/>
                <w:szCs w:val="16"/>
              </w:rPr>
              <w:t>e</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279 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237 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Intersegment revenue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424 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4633811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revenue</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7,252 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3,722 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3,206 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429 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14,943 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(473)</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29,079 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ind w:hanging="180"/>
        <w:divId w:val="540871493"/>
        <w:rPr>
          <w:rFonts w:eastAsia="Times New Roman"/>
        </w:rPr>
      </w:pPr>
      <w:r>
        <w:rPr>
          <w:rFonts w:ascii="Arial" w:eastAsia="Times New Roman" w:hAnsi="Arial" w:cs="Arial"/>
          <w:i/>
          <w:iCs/>
          <w:color w:val="000000"/>
          <w:sz w:val="16"/>
          <w:szCs w:val="16"/>
        </w:rPr>
        <w:t xml:space="preserve">1 Includes mark-to-market gains/(losses) from our hedging program for the three months ended </w:t>
      </w:r>
      <w:r>
        <w:rPr>
          <w:rFonts w:ascii="Arial" w:eastAsia="Times New Roman" w:hAnsi="Arial" w:cs="Arial"/>
          <w:i/>
          <w:iCs/>
          <w:color w:val="000000"/>
          <w:sz w:val="16"/>
          <w:szCs w:val="16"/>
        </w:rPr>
        <w:t>September 30, 2021 and 2020 of $225 million mark-to-market loss and $276 million mark-to-market gain, respectively. For the nine months ended September 30, 2021 and 2020, Other revenue includes a $36 million mark-to-market gain and $298 million mark-to-mar</w:t>
      </w:r>
      <w:r>
        <w:rPr>
          <w:rFonts w:ascii="Arial" w:eastAsia="Times New Roman" w:hAnsi="Arial" w:cs="Arial"/>
          <w:i/>
          <w:iCs/>
          <w:color w:val="000000"/>
          <w:sz w:val="16"/>
          <w:szCs w:val="16"/>
        </w:rPr>
        <w:t>ket loss, respectively.</w:t>
      </w:r>
    </w:p>
    <w:p w:rsidR="00000000" w:rsidRDefault="00EE1167">
      <w:pPr>
        <w:ind w:hanging="180"/>
        <w:divId w:val="1805658188"/>
        <w:rPr>
          <w:rFonts w:eastAsia="Times New Roman"/>
        </w:rPr>
      </w:pPr>
      <w:r>
        <w:rPr>
          <w:rFonts w:ascii="Arial" w:eastAsia="Times New Roman" w:hAnsi="Arial" w:cs="Arial"/>
          <w:i/>
          <w:iCs/>
          <w:color w:val="000000"/>
          <w:sz w:val="16"/>
          <w:szCs w:val="16"/>
        </w:rPr>
        <w:t xml:space="preserve">2 Includes revenues from lease contracts for the three months ended September 30, 2021 and 2020 of $140 million and $144 </w:t>
      </w:r>
      <w:r>
        <w:rPr>
          <w:rFonts w:ascii="Arial" w:eastAsia="Times New Roman" w:hAnsi="Arial" w:cs="Arial"/>
          <w:i/>
          <w:iCs/>
          <w:color w:val="000000"/>
          <w:sz w:val="16"/>
          <w:szCs w:val="16"/>
        </w:rPr>
        <w:t>million, respectively and for the nine months ended September 30, 2021 and 2020 of $442 million and $459 million, respectively.</w:t>
      </w:r>
    </w:p>
    <w:p w:rsidR="00000000" w:rsidRDefault="00EE1167">
      <w:pPr>
        <w:ind w:hanging="360"/>
        <w:jc w:val="both"/>
        <w:rPr>
          <w:rFonts w:eastAsia="Times New Roman"/>
        </w:rPr>
      </w:pPr>
    </w:p>
    <w:p w:rsidR="00000000" w:rsidRDefault="00EE1167">
      <w:pPr>
        <w:divId w:val="2029015438"/>
        <w:rPr>
          <w:rFonts w:eastAsia="Times New Roman"/>
        </w:rPr>
      </w:pPr>
      <w:r>
        <w:rPr>
          <w:rFonts w:ascii="Arial" w:eastAsia="Times New Roman" w:hAnsi="Arial" w:cs="Arial"/>
          <w:color w:val="000000"/>
          <w:sz w:val="20"/>
          <w:szCs w:val="20"/>
        </w:rPr>
        <w:t>We disaggregate revenues into categories which represent our principal performance obligations within each business segment. T</w:t>
      </w:r>
      <w:r>
        <w:rPr>
          <w:rFonts w:ascii="Arial" w:eastAsia="Times New Roman" w:hAnsi="Arial" w:cs="Arial"/>
          <w:color w:val="000000"/>
          <w:sz w:val="20"/>
          <w:szCs w:val="20"/>
        </w:rPr>
        <w:t>hese revenue categories represent the most significant revenue streams in each segment and consequently are considered to be the most relevant revenue information for management to consider in evaluating performance.</w:t>
      </w:r>
    </w:p>
    <w:p w:rsidR="00000000" w:rsidRDefault="00EE1167">
      <w:pPr>
        <w:divId w:val="1667784618"/>
        <w:rPr>
          <w:rFonts w:eastAsia="Times New Roman"/>
        </w:rPr>
      </w:pPr>
    </w:p>
    <w:p w:rsidR="00000000" w:rsidRDefault="00EE1167">
      <w:pPr>
        <w:jc w:val="center"/>
        <w:divId w:val="295573157"/>
        <w:rPr>
          <w:rFonts w:eastAsia="Times New Roman"/>
        </w:rPr>
      </w:pPr>
      <w:r>
        <w:rPr>
          <w:rFonts w:ascii="Arial" w:eastAsia="Times New Roman" w:hAnsi="Arial" w:cs="Arial"/>
          <w:color w:val="000000"/>
          <w:sz w:val="20"/>
          <w:szCs w:val="20"/>
        </w:rPr>
        <w:t>14</w:t>
      </w:r>
    </w:p>
    <w:p w:rsidR="00000000" w:rsidRDefault="00EE1167">
      <w:pPr>
        <w:rPr>
          <w:rFonts w:eastAsia="Times New Roman"/>
        </w:rPr>
      </w:pPr>
      <w:r>
        <w:rPr>
          <w:rFonts w:eastAsia="Times New Roman"/>
        </w:rPr>
        <w:pict>
          <v:rect id="_x0000_i1039" style="width:0;height:1.5pt" o:hralign="center" o:hrstd="t" o:hr="t" fillcolor="#a0a0a0" stroked="f"/>
        </w:pict>
      </w:r>
    </w:p>
    <w:p w:rsidR="00000000" w:rsidRDefault="00EE1167">
      <w:pPr>
        <w:jc w:val="center"/>
        <w:divId w:val="2007971728"/>
        <w:rPr>
          <w:rFonts w:eastAsia="Times New Roman"/>
        </w:rPr>
      </w:pPr>
    </w:p>
    <w:p w:rsidR="00000000" w:rsidRDefault="00EE1167">
      <w:pPr>
        <w:divId w:val="578373529"/>
        <w:rPr>
          <w:rFonts w:eastAsia="Times New Roman"/>
        </w:rPr>
      </w:pPr>
      <w:r>
        <w:rPr>
          <w:rFonts w:ascii="Arial" w:eastAsia="Times New Roman" w:hAnsi="Arial" w:cs="Arial"/>
          <w:b/>
          <w:bCs/>
          <w:color w:val="000000"/>
          <w:sz w:val="20"/>
          <w:szCs w:val="20"/>
        </w:rPr>
        <w:t xml:space="preserve">Contract Balances </w:t>
      </w:r>
    </w:p>
    <w:tbl>
      <w:tblPr>
        <w:tblW w:w="4991" w:type="pct"/>
        <w:tblCellMar>
          <w:top w:w="15" w:type="dxa"/>
          <w:left w:w="15" w:type="dxa"/>
          <w:bottom w:w="15" w:type="dxa"/>
          <w:right w:w="15" w:type="dxa"/>
        </w:tblCellMar>
        <w:tblLook w:val="04A0" w:firstRow="1" w:lastRow="0" w:firstColumn="1" w:lastColumn="0" w:noHBand="0" w:noVBand="1"/>
      </w:tblPr>
      <w:tblGrid>
        <w:gridCol w:w="55"/>
        <w:gridCol w:w="4938"/>
        <w:gridCol w:w="37"/>
        <w:gridCol w:w="87"/>
        <w:gridCol w:w="1035"/>
        <w:gridCol w:w="36"/>
        <w:gridCol w:w="62"/>
        <w:gridCol w:w="953"/>
        <w:gridCol w:w="36"/>
        <w:gridCol w:w="67"/>
        <w:gridCol w:w="949"/>
        <w:gridCol w:w="36"/>
      </w:tblGrid>
      <w:tr w:rsidR="00000000">
        <w:trPr>
          <w:divId w:val="2115593831"/>
        </w:trPr>
        <w:tc>
          <w:tcPr>
            <w:tcW w:w="50" w:type="pct"/>
            <w:vAlign w:val="center"/>
            <w:hideMark/>
          </w:tcPr>
          <w:p w:rsidR="00000000" w:rsidRDefault="00EE1167">
            <w:pPr>
              <w:rPr>
                <w:rFonts w:eastAsia="Times New Roman"/>
              </w:rPr>
            </w:pPr>
          </w:p>
        </w:tc>
        <w:tc>
          <w:tcPr>
            <w:tcW w:w="299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115593831"/>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Contract Receivables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Contract Liabilities</w:t>
            </w:r>
          </w:p>
        </w:tc>
      </w:tr>
      <w:tr w:rsidR="00000000">
        <w:trPr>
          <w:divId w:val="2115593831"/>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2115593831"/>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Balance as at September 30, 2021</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1,673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1,842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211559383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Balance as at December 31, 2020</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2,042 </w:t>
            </w:r>
          </w:p>
        </w:tc>
        <w:tc>
          <w:tcPr>
            <w:tcW w:w="0" w:type="auto"/>
            <w:tcBorders>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226 </w:t>
            </w:r>
          </w:p>
        </w:tc>
        <w:tc>
          <w:tcPr>
            <w:tcW w:w="0" w:type="auto"/>
            <w:tcBorders>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1,815 </w:t>
            </w:r>
          </w:p>
        </w:tc>
        <w:tc>
          <w:tcPr>
            <w:tcW w:w="0" w:type="auto"/>
            <w:tcBorders>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ind w:hanging="360"/>
        <w:jc w:val="both"/>
        <w:rPr>
          <w:rFonts w:eastAsia="Times New Roman"/>
        </w:rPr>
      </w:pPr>
    </w:p>
    <w:p w:rsidR="00000000" w:rsidRDefault="00EE1167">
      <w:pPr>
        <w:divId w:val="407338549"/>
        <w:rPr>
          <w:rFonts w:eastAsia="Times New Roman"/>
        </w:rPr>
      </w:pPr>
      <w:r>
        <w:rPr>
          <w:rFonts w:ascii="Arial" w:eastAsia="Times New Roman" w:hAnsi="Arial" w:cs="Arial"/>
          <w:color w:val="000000"/>
          <w:sz w:val="20"/>
          <w:szCs w:val="20"/>
        </w:rPr>
        <w:t>Contract receivables represent the amount of receivables derived from contracts with customers.</w:t>
      </w:r>
    </w:p>
    <w:p w:rsidR="00000000" w:rsidRDefault="00EE1167">
      <w:pPr>
        <w:divId w:val="1931232405"/>
        <w:rPr>
          <w:rFonts w:eastAsia="Times New Roman"/>
        </w:rPr>
      </w:pPr>
    </w:p>
    <w:p w:rsidR="00000000" w:rsidRDefault="00EE1167">
      <w:pPr>
        <w:divId w:val="769619084"/>
        <w:rPr>
          <w:rFonts w:eastAsia="Times New Roman"/>
        </w:rPr>
      </w:pPr>
      <w:r>
        <w:rPr>
          <w:rFonts w:ascii="Arial" w:eastAsia="Times New Roman" w:hAnsi="Arial" w:cs="Arial"/>
          <w:color w:val="000000"/>
          <w:sz w:val="20"/>
          <w:szCs w:val="20"/>
        </w:rPr>
        <w:t>Contract assets represent the amount of revenues which have been recognized in advance of payments received for performance obligations we have fulfilled (or partially fulfilled) and prior to the point in time at which our right to payment is unconditional</w:t>
      </w:r>
      <w:r>
        <w:rPr>
          <w:rFonts w:ascii="Arial" w:eastAsia="Times New Roman" w:hAnsi="Arial" w:cs="Arial"/>
          <w:color w:val="000000"/>
          <w:sz w:val="20"/>
          <w:szCs w:val="20"/>
        </w:rPr>
        <w:t>. Amounts included in contract assets are transferred to accounts receivable when our right to receive the consideration becomes unconditional.</w:t>
      </w:r>
    </w:p>
    <w:p w:rsidR="00000000" w:rsidRDefault="00EE1167">
      <w:pPr>
        <w:divId w:val="1194852523"/>
        <w:rPr>
          <w:rFonts w:eastAsia="Times New Roman"/>
        </w:rPr>
      </w:pPr>
    </w:p>
    <w:p w:rsidR="00000000" w:rsidRDefault="00EE1167">
      <w:pPr>
        <w:divId w:val="481316238"/>
        <w:rPr>
          <w:rFonts w:eastAsia="Times New Roman"/>
        </w:rPr>
      </w:pPr>
      <w:r>
        <w:rPr>
          <w:rFonts w:ascii="Arial" w:eastAsia="Times New Roman" w:hAnsi="Arial" w:cs="Arial"/>
          <w:color w:val="000000"/>
          <w:sz w:val="20"/>
          <w:szCs w:val="20"/>
        </w:rPr>
        <w:t>Contract liabilities represent payments received for performance obligations which have not been fulfilled. Co</w:t>
      </w:r>
      <w:r>
        <w:rPr>
          <w:rFonts w:ascii="Arial" w:eastAsia="Times New Roman" w:hAnsi="Arial" w:cs="Arial"/>
          <w:color w:val="000000"/>
          <w:sz w:val="20"/>
          <w:szCs w:val="20"/>
        </w:rPr>
        <w:t>ntract liabilities primarily relate to make-up rights and deferred revenues. Revenue recognized during the three and nine months ended September 30, 2021 included in contract liabilities at the beginning of the period was $44 million and $269 million, resp</w:t>
      </w:r>
      <w:r>
        <w:rPr>
          <w:rFonts w:ascii="Arial" w:eastAsia="Times New Roman" w:hAnsi="Arial" w:cs="Arial"/>
          <w:color w:val="000000"/>
          <w:sz w:val="20"/>
          <w:szCs w:val="20"/>
        </w:rPr>
        <w:t>ectively. Increases in contract liabilities from cash received, net of amounts recognized as revenues, during the three and nine months ended September 30, 2021 were $154 million and $299 million, respectively.</w:t>
      </w:r>
    </w:p>
    <w:p w:rsidR="00000000" w:rsidRDefault="00EE1167">
      <w:pPr>
        <w:divId w:val="1646857782"/>
        <w:rPr>
          <w:rFonts w:eastAsia="Times New Roman"/>
        </w:rPr>
      </w:pPr>
    </w:p>
    <w:p w:rsidR="00000000" w:rsidRDefault="00EE1167">
      <w:pPr>
        <w:divId w:val="920944514"/>
        <w:rPr>
          <w:rFonts w:eastAsia="Times New Roman"/>
        </w:rPr>
      </w:pPr>
      <w:r>
        <w:rPr>
          <w:rFonts w:ascii="Arial" w:eastAsia="Times New Roman" w:hAnsi="Arial" w:cs="Arial"/>
          <w:b/>
          <w:bCs/>
          <w:color w:val="000000"/>
          <w:sz w:val="20"/>
          <w:szCs w:val="20"/>
        </w:rPr>
        <w:t xml:space="preserve">Performance Obligations </w:t>
      </w:r>
    </w:p>
    <w:p w:rsidR="00000000" w:rsidRDefault="00EE1167">
      <w:pPr>
        <w:divId w:val="1362784401"/>
        <w:rPr>
          <w:rFonts w:eastAsia="Times New Roman"/>
        </w:rPr>
      </w:pPr>
      <w:r>
        <w:rPr>
          <w:rFonts w:ascii="Arial" w:eastAsia="Times New Roman" w:hAnsi="Arial" w:cs="Arial"/>
          <w:color w:val="000000"/>
          <w:sz w:val="20"/>
          <w:szCs w:val="20"/>
        </w:rPr>
        <w:t>There were no mate</w:t>
      </w:r>
      <w:r>
        <w:rPr>
          <w:rFonts w:ascii="Arial" w:eastAsia="Times New Roman" w:hAnsi="Arial" w:cs="Arial"/>
          <w:color w:val="000000"/>
          <w:sz w:val="20"/>
          <w:szCs w:val="20"/>
        </w:rPr>
        <w:t>rial revenues recognized in the three and nine months ended September 30, 2021 from performance obligations satisfied in previous periods.</w:t>
      </w:r>
    </w:p>
    <w:p w:rsidR="00000000" w:rsidRDefault="00EE1167">
      <w:pPr>
        <w:divId w:val="122694974"/>
        <w:rPr>
          <w:rFonts w:eastAsia="Times New Roman"/>
        </w:rPr>
      </w:pPr>
    </w:p>
    <w:p w:rsidR="00000000" w:rsidRDefault="00EE1167">
      <w:pPr>
        <w:divId w:val="746462243"/>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EE1167">
      <w:pPr>
        <w:divId w:val="1781759784"/>
        <w:rPr>
          <w:rFonts w:eastAsia="Times New Roman"/>
        </w:rPr>
      </w:pPr>
      <w:r>
        <w:rPr>
          <w:rFonts w:ascii="Arial" w:eastAsia="Times New Roman" w:hAnsi="Arial" w:cs="Arial"/>
          <w:color w:val="000000"/>
          <w:sz w:val="20"/>
          <w:szCs w:val="20"/>
        </w:rPr>
        <w:t>Total revenues from performance obligations expected to be fulfilled in future periods are $55.6 billion, of which $1.7 billion and $5.6 billion are expected to be recognized during the rem</w:t>
      </w:r>
      <w:r>
        <w:rPr>
          <w:rFonts w:ascii="Arial" w:eastAsia="Times New Roman" w:hAnsi="Arial" w:cs="Arial"/>
          <w:color w:val="000000"/>
          <w:sz w:val="20"/>
          <w:szCs w:val="20"/>
        </w:rPr>
        <w:t>aining three months ending December 31, 2021 and the year ending December 31, 2022, respectively.</w:t>
      </w:r>
    </w:p>
    <w:p w:rsidR="00000000" w:rsidRDefault="00EE1167">
      <w:pPr>
        <w:jc w:val="both"/>
        <w:rPr>
          <w:rFonts w:eastAsia="Times New Roman"/>
        </w:rPr>
      </w:pPr>
    </w:p>
    <w:p w:rsidR="00000000" w:rsidRDefault="00EE1167">
      <w:pPr>
        <w:divId w:val="1380788815"/>
        <w:rPr>
          <w:rFonts w:eastAsia="Times New Roman"/>
        </w:rPr>
      </w:pPr>
      <w:r>
        <w:rPr>
          <w:rFonts w:ascii="Arial" w:eastAsia="Times New Roman" w:hAnsi="Arial" w:cs="Arial"/>
          <w:color w:val="000000"/>
          <w:sz w:val="20"/>
          <w:szCs w:val="20"/>
        </w:rPr>
        <w:t>The revenues excluded from the amounts above based on optional exemptions available under ASC 606, as explained below, represent a significant portion of ou</w:t>
      </w:r>
      <w:r>
        <w:rPr>
          <w:rFonts w:ascii="Arial" w:eastAsia="Times New Roman" w:hAnsi="Arial" w:cs="Arial"/>
          <w:color w:val="000000"/>
          <w:sz w:val="20"/>
          <w:szCs w:val="20"/>
        </w:rPr>
        <w:t xml:space="preserve">r overall revenues and revenue from contracts with customers. Certain revenues such as flow-through operating costs charged to shippers are recognized at the amount for which we have the right to invoice our customers and are excluded from the amounts for </w:t>
      </w:r>
      <w:r>
        <w:rPr>
          <w:rFonts w:ascii="Arial" w:eastAsia="Times New Roman" w:hAnsi="Arial" w:cs="Arial"/>
          <w:color w:val="000000"/>
          <w:sz w:val="20"/>
          <w:szCs w:val="20"/>
        </w:rPr>
        <w:t>revenues to be recognized in the future from unfulfilled performance obligations above. Variable consideration is excluded from the amounts above due to the uncertainty of the associated consideration, which is generally resolved when actual volumes and pr</w:t>
      </w:r>
      <w:r>
        <w:rPr>
          <w:rFonts w:ascii="Arial" w:eastAsia="Times New Roman" w:hAnsi="Arial" w:cs="Arial"/>
          <w:color w:val="000000"/>
          <w:sz w:val="20"/>
          <w:szCs w:val="20"/>
        </w:rPr>
        <w:t>ices are determined. For example, we consider interruptible transportation service revenues to be variable revenues since volumes cannot be estimated. Additionally, the effect of escalation on certain tolls which are contractually escalated for inflation h</w:t>
      </w:r>
      <w:r>
        <w:rPr>
          <w:rFonts w:ascii="Arial" w:eastAsia="Times New Roman" w:hAnsi="Arial" w:cs="Arial"/>
          <w:color w:val="000000"/>
          <w:sz w:val="20"/>
          <w:szCs w:val="20"/>
        </w:rPr>
        <w:t>as not been reflected in the amounts above as it is not possible to reliably estimate future inflation rates. Revenues for periods extending beyond the current rate settlement term for regulated contracts where the tolls are periodically reset by the regul</w:t>
      </w:r>
      <w:r>
        <w:rPr>
          <w:rFonts w:ascii="Arial" w:eastAsia="Times New Roman" w:hAnsi="Arial" w:cs="Arial"/>
          <w:color w:val="000000"/>
          <w:sz w:val="20"/>
          <w:szCs w:val="20"/>
        </w:rPr>
        <w:t>ator are excluded from the amounts above since future tolls remain unknown. Finally, revenue from contracts with customers which have an original expected duration of one year or less are excluded from the amounts above.</w:t>
      </w:r>
    </w:p>
    <w:p w:rsidR="00000000" w:rsidRDefault="00EE1167">
      <w:pPr>
        <w:divId w:val="570389582"/>
        <w:rPr>
          <w:rFonts w:eastAsia="Times New Roman"/>
        </w:rPr>
      </w:pPr>
    </w:p>
    <w:p w:rsidR="00000000" w:rsidRDefault="00EE1167">
      <w:pPr>
        <w:jc w:val="center"/>
        <w:divId w:val="1993637635"/>
        <w:rPr>
          <w:rFonts w:eastAsia="Times New Roman"/>
        </w:rPr>
      </w:pPr>
      <w:r>
        <w:rPr>
          <w:rFonts w:ascii="Arial" w:eastAsia="Times New Roman" w:hAnsi="Arial" w:cs="Arial"/>
          <w:color w:val="000000"/>
          <w:sz w:val="20"/>
          <w:szCs w:val="20"/>
        </w:rPr>
        <w:t>15</w:t>
      </w:r>
    </w:p>
    <w:p w:rsidR="00000000" w:rsidRDefault="00EE1167">
      <w:pPr>
        <w:rPr>
          <w:rFonts w:eastAsia="Times New Roman"/>
        </w:rPr>
      </w:pPr>
      <w:r>
        <w:rPr>
          <w:rFonts w:eastAsia="Times New Roman"/>
        </w:rPr>
        <w:pict>
          <v:rect id="_x0000_i1040" style="width:0;height:1.5pt" o:hralign="center" o:hrstd="t" o:hr="t" fillcolor="#a0a0a0" stroked="f"/>
        </w:pict>
      </w:r>
    </w:p>
    <w:p w:rsidR="00000000" w:rsidRDefault="00EE1167">
      <w:pPr>
        <w:jc w:val="center"/>
        <w:divId w:val="557669107"/>
        <w:rPr>
          <w:rFonts w:eastAsia="Times New Roman"/>
        </w:rPr>
      </w:pPr>
    </w:p>
    <w:p w:rsidR="00000000" w:rsidRDefault="00EE1167">
      <w:pPr>
        <w:divId w:val="1057163894"/>
        <w:rPr>
          <w:rFonts w:eastAsia="Times New Roman"/>
        </w:rPr>
      </w:pPr>
      <w:r>
        <w:rPr>
          <w:rFonts w:ascii="Arial" w:eastAsia="Times New Roman" w:hAnsi="Arial" w:cs="Arial"/>
          <w:b/>
          <w:bCs/>
          <w:color w:val="000000"/>
          <w:sz w:val="20"/>
          <w:szCs w:val="20"/>
        </w:rPr>
        <w:t xml:space="preserve">Variable Consideration </w:t>
      </w:r>
    </w:p>
    <w:p w:rsidR="00000000" w:rsidRDefault="00EE1167">
      <w:pPr>
        <w:divId w:val="1370298140"/>
        <w:rPr>
          <w:rFonts w:eastAsia="Times New Roman"/>
        </w:rPr>
      </w:pPr>
      <w:r>
        <w:rPr>
          <w:rFonts w:ascii="Arial" w:eastAsia="Times New Roman" w:hAnsi="Arial" w:cs="Arial"/>
          <w:color w:val="000000"/>
          <w:sz w:val="20"/>
          <w:szCs w:val="20"/>
        </w:rPr>
        <w:t>During the three months ended September </w:t>
      </w:r>
      <w:r>
        <w:rPr>
          <w:rFonts w:ascii="Arial" w:eastAsia="Times New Roman" w:hAnsi="Arial" w:cs="Arial"/>
          <w:color w:val="000000"/>
          <w:sz w:val="20"/>
          <w:szCs w:val="20"/>
        </w:rPr>
        <w:t>30, 2021, revenue for the Canadian Mainline has been recognized in accordance with the terms of the Competitive Tolling Settlement, which expired on June 30, 2021. The tolls in place on June 30, 2021 continue on an interim basis until a new Canadian Mainli</w:t>
      </w:r>
      <w:r>
        <w:rPr>
          <w:rFonts w:ascii="Arial" w:eastAsia="Times New Roman" w:hAnsi="Arial" w:cs="Arial"/>
          <w:color w:val="000000"/>
          <w:sz w:val="20"/>
          <w:szCs w:val="20"/>
        </w:rPr>
        <w:t>ne commercial arrangement is implemented and are subject to finalization and adjustment applicable to the interim period, if any. Due to the uncertainty of adjustment to tolling pursuant to a Canada Energy Regulator decision and potential customer negotiat</w:t>
      </w:r>
      <w:r>
        <w:rPr>
          <w:rFonts w:ascii="Arial" w:eastAsia="Times New Roman" w:hAnsi="Arial" w:cs="Arial"/>
          <w:color w:val="000000"/>
          <w:sz w:val="20"/>
          <w:szCs w:val="20"/>
        </w:rPr>
        <w:t>ions, the interim toll revenue recognized during the three months ended September 30, 2021 is considered variable consideration. We do not expect a significant adjustment to revenue when the uncertainty is resolved.</w:t>
      </w:r>
    </w:p>
    <w:p w:rsidR="00000000" w:rsidRDefault="00EE1167">
      <w:pPr>
        <w:divId w:val="633104045"/>
        <w:rPr>
          <w:rFonts w:eastAsia="Times New Roman"/>
        </w:rPr>
      </w:pPr>
    </w:p>
    <w:p w:rsidR="00000000" w:rsidRDefault="00EE1167">
      <w:pPr>
        <w:divId w:val="600651750"/>
        <w:rPr>
          <w:rFonts w:eastAsia="Times New Roman"/>
        </w:rPr>
      </w:pPr>
      <w:r>
        <w:rPr>
          <w:rFonts w:ascii="Arial" w:eastAsia="Times New Roman" w:hAnsi="Arial" w:cs="Arial"/>
          <w:b/>
          <w:bCs/>
          <w:color w:val="000000"/>
          <w:sz w:val="20"/>
          <w:szCs w:val="20"/>
        </w:rPr>
        <w:t>Recognition and Measurement of Revenue</w:t>
      </w:r>
      <w:r>
        <w:rPr>
          <w:rFonts w:ascii="Arial" w:eastAsia="Times New Roman" w:hAnsi="Arial" w:cs="Arial"/>
          <w:b/>
          <w:bCs/>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1367874697"/>
        </w:trPr>
        <w:tc>
          <w:tcPr>
            <w:tcW w:w="50" w:type="pct"/>
            <w:vAlign w:val="center"/>
            <w:hideMark/>
          </w:tcPr>
          <w:p w:rsidR="00000000" w:rsidRDefault="00EE1167">
            <w:pPr>
              <w:rPr>
                <w:rFonts w:eastAsia="Times New Roman"/>
              </w:rPr>
            </w:pPr>
          </w:p>
        </w:tc>
        <w:tc>
          <w:tcPr>
            <w:tcW w:w="213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367874697"/>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EE1167">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367874697"/>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vMerge/>
            <w:vAlign w:val="center"/>
            <w:hideMark/>
          </w:tcPr>
          <w:p w:rsidR="00000000" w:rsidRDefault="00EE1167">
            <w:pPr>
              <w:spacing w:after="100"/>
              <w:rPr>
                <w:rFonts w:eastAsia="Times New Roman"/>
              </w:rPr>
            </w:pPr>
          </w:p>
        </w:tc>
      </w:tr>
      <w:tr w:rsidR="00000000">
        <w:trPr>
          <w:divId w:val="1367874697"/>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7874697"/>
        </w:trPr>
        <w:tc>
          <w:tcPr>
            <w:tcW w:w="0" w:type="auto"/>
            <w:gridSpan w:val="3"/>
            <w:tcMar>
              <w:top w:w="30" w:type="dxa"/>
              <w:left w:w="20" w:type="dxa"/>
              <w:bottom w:w="30" w:type="dxa"/>
              <w:right w:w="20" w:type="dxa"/>
            </w:tcMar>
            <w:vAlign w:val="center"/>
            <w:hideMark/>
          </w:tcPr>
          <w:p w:rsidR="00000000" w:rsidRDefault="00EE1167">
            <w:pPr>
              <w:spacing w:after="100"/>
              <w:ind w:hanging="180"/>
              <w:divId w:val="150415793"/>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7874697"/>
        </w:trPr>
        <w:tc>
          <w:tcPr>
            <w:tcW w:w="0" w:type="auto"/>
            <w:gridSpan w:val="3"/>
            <w:tcMar>
              <w:top w:w="30" w:type="dxa"/>
              <w:left w:w="20" w:type="dxa"/>
              <w:bottom w:w="30" w:type="dxa"/>
              <w:right w:w="20" w:type="dxa"/>
            </w:tcMar>
            <w:vAlign w:val="center"/>
            <w:hideMark/>
          </w:tcPr>
          <w:p w:rsidR="00000000" w:rsidRDefault="00EE1167">
            <w:pPr>
              <w:spacing w:after="100"/>
              <w:ind w:hanging="180"/>
              <w:divId w:val="1867673254"/>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2,373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4,232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67874697"/>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205639064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2,373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1,154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674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4,245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8348843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3"/>
        <w:gridCol w:w="3470"/>
        <w:gridCol w:w="36"/>
        <w:gridCol w:w="65"/>
        <w:gridCol w:w="749"/>
        <w:gridCol w:w="36"/>
        <w:gridCol w:w="87"/>
        <w:gridCol w:w="897"/>
        <w:gridCol w:w="36"/>
        <w:gridCol w:w="78"/>
        <w:gridCol w:w="756"/>
        <w:gridCol w:w="36"/>
        <w:gridCol w:w="75"/>
        <w:gridCol w:w="786"/>
        <w:gridCol w:w="36"/>
        <w:gridCol w:w="36"/>
        <w:gridCol w:w="36"/>
        <w:gridCol w:w="36"/>
        <w:gridCol w:w="84"/>
        <w:gridCol w:w="882"/>
        <w:gridCol w:w="36"/>
      </w:tblGrid>
      <w:tr w:rsidR="00000000">
        <w:trPr>
          <w:divId w:val="650522976"/>
        </w:trPr>
        <w:tc>
          <w:tcPr>
            <w:tcW w:w="50" w:type="pct"/>
            <w:vAlign w:val="center"/>
            <w:hideMark/>
          </w:tcPr>
          <w:p w:rsidR="00000000" w:rsidRDefault="00EE1167">
            <w:pPr>
              <w:rPr>
                <w:rFonts w:eastAsia="Times New Roman"/>
              </w:rPr>
            </w:pPr>
          </w:p>
        </w:tc>
        <w:tc>
          <w:tcPr>
            <w:tcW w:w="213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650522976"/>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EE1167">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650522976"/>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vMerge/>
            <w:vAlign w:val="center"/>
            <w:hideMark/>
          </w:tcPr>
          <w:p w:rsidR="00000000" w:rsidRDefault="00EE1167">
            <w:pPr>
              <w:spacing w:after="100"/>
              <w:rPr>
                <w:rFonts w:eastAsia="Times New Roman"/>
              </w:rPr>
            </w:pPr>
          </w:p>
        </w:tc>
      </w:tr>
      <w:tr w:rsidR="00000000">
        <w:trPr>
          <w:divId w:val="65052297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650522976"/>
        </w:trPr>
        <w:tc>
          <w:tcPr>
            <w:tcW w:w="0" w:type="auto"/>
            <w:gridSpan w:val="3"/>
            <w:tcMar>
              <w:top w:w="30" w:type="dxa"/>
              <w:left w:w="20" w:type="dxa"/>
              <w:bottom w:w="30" w:type="dxa"/>
              <w:right w:w="20" w:type="dxa"/>
            </w:tcMar>
            <w:vAlign w:val="center"/>
            <w:hideMark/>
          </w:tcPr>
          <w:p w:rsidR="00000000" w:rsidRDefault="00EE1167">
            <w:pPr>
              <w:spacing w:after="100"/>
              <w:ind w:hanging="180"/>
              <w:divId w:val="1863544593"/>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50522976"/>
        </w:trPr>
        <w:tc>
          <w:tcPr>
            <w:tcW w:w="0" w:type="auto"/>
            <w:gridSpan w:val="3"/>
            <w:tcMar>
              <w:top w:w="30" w:type="dxa"/>
              <w:left w:w="20" w:type="dxa"/>
              <w:bottom w:w="30" w:type="dxa"/>
              <w:right w:w="20" w:type="dxa"/>
            </w:tcMar>
            <w:vAlign w:val="center"/>
            <w:hideMark/>
          </w:tcPr>
          <w:p w:rsidR="00000000" w:rsidRDefault="00EE1167">
            <w:pPr>
              <w:spacing w:after="100"/>
              <w:ind w:hanging="180"/>
              <w:divId w:val="2117939900"/>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2,256 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1,148 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612 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4,062 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65052297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155919715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2,256 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1,148 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627 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4,077 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0231685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3466"/>
        <w:gridCol w:w="36"/>
        <w:gridCol w:w="64"/>
        <w:gridCol w:w="757"/>
        <w:gridCol w:w="36"/>
        <w:gridCol w:w="87"/>
        <w:gridCol w:w="897"/>
        <w:gridCol w:w="36"/>
        <w:gridCol w:w="78"/>
        <w:gridCol w:w="756"/>
        <w:gridCol w:w="36"/>
        <w:gridCol w:w="74"/>
        <w:gridCol w:w="788"/>
        <w:gridCol w:w="36"/>
        <w:gridCol w:w="36"/>
        <w:gridCol w:w="36"/>
        <w:gridCol w:w="36"/>
        <w:gridCol w:w="86"/>
        <w:gridCol w:w="880"/>
        <w:gridCol w:w="36"/>
      </w:tblGrid>
      <w:tr w:rsidR="00000000">
        <w:trPr>
          <w:divId w:val="1602907559"/>
        </w:trPr>
        <w:tc>
          <w:tcPr>
            <w:tcW w:w="50" w:type="pct"/>
            <w:vAlign w:val="center"/>
            <w:hideMark/>
          </w:tcPr>
          <w:p w:rsidR="00000000" w:rsidRDefault="00EE1167">
            <w:pPr>
              <w:rPr>
                <w:rFonts w:eastAsia="Times New Roman"/>
              </w:rPr>
            </w:pPr>
          </w:p>
        </w:tc>
        <w:tc>
          <w:tcPr>
            <w:tcW w:w="213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602907559"/>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EE1167">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602907559"/>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vMerge/>
            <w:vAlign w:val="center"/>
            <w:hideMark/>
          </w:tcPr>
          <w:p w:rsidR="00000000" w:rsidRDefault="00EE1167">
            <w:pPr>
              <w:spacing w:after="100"/>
              <w:rPr>
                <w:rFonts w:eastAsia="Times New Roman"/>
              </w:rPr>
            </w:pPr>
          </w:p>
        </w:tc>
      </w:tr>
      <w:tr w:rsidR="00000000">
        <w:trPr>
          <w:divId w:val="160290755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602907559"/>
        </w:trPr>
        <w:tc>
          <w:tcPr>
            <w:tcW w:w="0" w:type="auto"/>
            <w:gridSpan w:val="3"/>
            <w:tcMar>
              <w:top w:w="30" w:type="dxa"/>
              <w:left w:w="20" w:type="dxa"/>
              <w:bottom w:w="30" w:type="dxa"/>
              <w:right w:w="20" w:type="dxa"/>
            </w:tcMar>
            <w:vAlign w:val="center"/>
            <w:hideMark/>
          </w:tcPr>
          <w:p w:rsidR="00000000" w:rsidRDefault="00EE1167">
            <w:pPr>
              <w:spacing w:after="100"/>
              <w:ind w:hanging="180"/>
              <w:divId w:val="449276707"/>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602907559"/>
        </w:trPr>
        <w:tc>
          <w:tcPr>
            <w:tcW w:w="0" w:type="auto"/>
            <w:gridSpan w:val="3"/>
            <w:tcMar>
              <w:top w:w="30" w:type="dxa"/>
              <w:left w:w="20" w:type="dxa"/>
              <w:bottom w:w="30" w:type="dxa"/>
              <w:right w:w="20" w:type="dxa"/>
            </w:tcMar>
            <w:vAlign w:val="center"/>
            <w:hideMark/>
          </w:tcPr>
          <w:p w:rsidR="00000000" w:rsidRDefault="00EE1167">
            <w:pPr>
              <w:spacing w:after="100"/>
              <w:ind w:hanging="180"/>
              <w:divId w:val="1425954842"/>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6,922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3,361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13,883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60290755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1932542209"/>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6,922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3,475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3,408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13,930</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14801427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3"/>
        <w:gridCol w:w="3470"/>
        <w:gridCol w:w="36"/>
        <w:gridCol w:w="65"/>
        <w:gridCol w:w="749"/>
        <w:gridCol w:w="36"/>
        <w:gridCol w:w="87"/>
        <w:gridCol w:w="897"/>
        <w:gridCol w:w="36"/>
        <w:gridCol w:w="78"/>
        <w:gridCol w:w="756"/>
        <w:gridCol w:w="36"/>
        <w:gridCol w:w="75"/>
        <w:gridCol w:w="786"/>
        <w:gridCol w:w="36"/>
        <w:gridCol w:w="36"/>
        <w:gridCol w:w="36"/>
        <w:gridCol w:w="36"/>
        <w:gridCol w:w="84"/>
        <w:gridCol w:w="882"/>
        <w:gridCol w:w="36"/>
      </w:tblGrid>
      <w:tr w:rsidR="00000000">
        <w:trPr>
          <w:divId w:val="1818035776"/>
        </w:trPr>
        <w:tc>
          <w:tcPr>
            <w:tcW w:w="50" w:type="pct"/>
            <w:vAlign w:val="center"/>
            <w:hideMark/>
          </w:tcPr>
          <w:p w:rsidR="00000000" w:rsidRDefault="00EE1167">
            <w:pPr>
              <w:rPr>
                <w:rFonts w:eastAsia="Times New Roman"/>
              </w:rPr>
            </w:pPr>
          </w:p>
        </w:tc>
        <w:tc>
          <w:tcPr>
            <w:tcW w:w="213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818035776"/>
          <w:trHeight w:val="4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Align w:val="center"/>
            <w:hideMark/>
          </w:tcPr>
          <w:p w:rsidR="00000000" w:rsidRDefault="00EE1167">
            <w:pPr>
              <w:spacing w:after="100"/>
              <w:jc w:val="right"/>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818035776"/>
          <w:trHeight w:val="40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vMerge/>
            <w:vAlign w:val="center"/>
            <w:hideMark/>
          </w:tcPr>
          <w:p w:rsidR="00000000" w:rsidRDefault="00EE1167">
            <w:pPr>
              <w:spacing w:after="100"/>
              <w:rPr>
                <w:rFonts w:eastAsia="Times New Roman"/>
              </w:rPr>
            </w:pPr>
          </w:p>
        </w:tc>
      </w:tr>
      <w:tr w:rsidR="00000000">
        <w:trPr>
          <w:divId w:val="181803577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818035776"/>
        </w:trPr>
        <w:tc>
          <w:tcPr>
            <w:tcW w:w="0" w:type="auto"/>
            <w:gridSpan w:val="3"/>
            <w:tcMar>
              <w:top w:w="30" w:type="dxa"/>
              <w:left w:w="20" w:type="dxa"/>
              <w:bottom w:w="30" w:type="dxa"/>
              <w:right w:w="20" w:type="dxa"/>
            </w:tcMar>
            <w:vAlign w:val="center"/>
            <w:hideMark/>
          </w:tcPr>
          <w:p w:rsidR="00000000" w:rsidRDefault="00EE1167">
            <w:pPr>
              <w:spacing w:after="100"/>
              <w:ind w:hanging="180"/>
              <w:divId w:val="804273477"/>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18035776"/>
        </w:trPr>
        <w:tc>
          <w:tcPr>
            <w:tcW w:w="0" w:type="auto"/>
            <w:gridSpan w:val="3"/>
            <w:tcMar>
              <w:top w:w="30" w:type="dxa"/>
              <w:left w:w="20" w:type="dxa"/>
              <w:bottom w:w="30" w:type="dxa"/>
              <w:right w:w="20" w:type="dxa"/>
            </w:tcMar>
            <w:vAlign w:val="center"/>
            <w:hideMark/>
          </w:tcPr>
          <w:p w:rsidR="00000000" w:rsidRDefault="00EE1167">
            <w:pPr>
              <w:spacing w:after="100"/>
              <w:ind w:hanging="180"/>
              <w:divId w:val="391536983"/>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6,887 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3,686 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3,154 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13,877 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81803577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1888905142"/>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6,887 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3,686 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3,199 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13,922 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ind w:hanging="180"/>
        <w:divId w:val="1165317786"/>
        <w:rPr>
          <w:rFonts w:eastAsia="Times New Roman"/>
        </w:rPr>
      </w:pPr>
      <w:r>
        <w:rPr>
          <w:rFonts w:ascii="Arial" w:eastAsia="Times New Roman" w:hAnsi="Arial" w:cs="Arial"/>
          <w:i/>
          <w:iCs/>
          <w:color w:val="000000"/>
          <w:sz w:val="16"/>
          <w:szCs w:val="16"/>
        </w:rPr>
        <w:t>1     In</w:t>
      </w:r>
      <w:r>
        <w:rPr>
          <w:rFonts w:ascii="Arial" w:eastAsia="Times New Roman" w:hAnsi="Arial" w:cs="Arial"/>
          <w:i/>
          <w:iCs/>
          <w:color w:val="000000"/>
          <w:sz w:val="16"/>
          <w:szCs w:val="16"/>
        </w:rPr>
        <w:t>cludes revenues from crude oil and natural gas pipeline transportation, storage, natural gas gathering, compression and treating, natural gas distribution, natural gas storage services and electricity sales.</w:t>
      </w:r>
    </w:p>
    <w:p w:rsidR="00000000" w:rsidRDefault="00EE1167">
      <w:pPr>
        <w:ind w:hanging="180"/>
        <w:divId w:val="1906407590"/>
        <w:rPr>
          <w:rFonts w:eastAsia="Times New Roman"/>
        </w:rPr>
      </w:pPr>
    </w:p>
    <w:p w:rsidR="00000000" w:rsidRDefault="00EE1167">
      <w:pPr>
        <w:jc w:val="center"/>
        <w:divId w:val="432820017"/>
        <w:rPr>
          <w:rFonts w:eastAsia="Times New Roman"/>
        </w:rPr>
      </w:pPr>
      <w:r>
        <w:rPr>
          <w:rFonts w:ascii="Arial" w:eastAsia="Times New Roman" w:hAnsi="Arial" w:cs="Arial"/>
          <w:color w:val="000000"/>
          <w:sz w:val="20"/>
          <w:szCs w:val="20"/>
        </w:rPr>
        <w:t>16</w:t>
      </w:r>
    </w:p>
    <w:p w:rsidR="00000000" w:rsidRDefault="00EE1167">
      <w:pPr>
        <w:rPr>
          <w:rFonts w:eastAsia="Times New Roman"/>
        </w:rPr>
      </w:pPr>
      <w:r>
        <w:rPr>
          <w:rFonts w:eastAsia="Times New Roman"/>
        </w:rPr>
        <w:pict>
          <v:rect id="_x0000_i1041" style="width:0;height:1.5pt" o:hralign="center" o:hrstd="t" o:hr="t" fillcolor="#a0a0a0" stroked="f"/>
        </w:pict>
      </w:r>
    </w:p>
    <w:p w:rsidR="00000000" w:rsidRDefault="00EE1167">
      <w:pPr>
        <w:jc w:val="center"/>
        <w:divId w:val="1922061210"/>
        <w:rPr>
          <w:rFonts w:eastAsia="Times New Roman"/>
        </w:rPr>
      </w:pPr>
    </w:p>
    <w:p w:rsidR="00000000" w:rsidRDefault="00EE1167">
      <w:pPr>
        <w:divId w:val="1718509291"/>
        <w:rPr>
          <w:rFonts w:eastAsia="Times New Roman"/>
        </w:rPr>
      </w:pPr>
      <w:r>
        <w:rPr>
          <w:rFonts w:ascii="Arial" w:eastAsia="Times New Roman" w:hAnsi="Arial" w:cs="Arial"/>
          <w:b/>
          <w:bCs/>
          <w:color w:val="000000"/>
          <w:sz w:val="26"/>
          <w:szCs w:val="26"/>
        </w:rPr>
        <w:t>4. SEGMENTED INFORMATION</w:t>
      </w:r>
      <w:r>
        <w:rPr>
          <w:rFonts w:ascii="Arial" w:eastAsia="Times New Roman" w:hAnsi="Arial" w:cs="Arial"/>
          <w:color w:val="000000"/>
          <w:sz w:val="26"/>
          <w:szCs w:val="26"/>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6"/>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149861780"/>
          <w:jc w:val="center"/>
        </w:trPr>
        <w:tc>
          <w:tcPr>
            <w:tcW w:w="50" w:type="pct"/>
            <w:vAlign w:val="center"/>
            <w:hideMark/>
          </w:tcPr>
          <w:p w:rsidR="00000000" w:rsidRDefault="00EE1167">
            <w:pP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149861780"/>
          <w:trHeight w:val="600"/>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149861780"/>
          <w:trHeight w:val="400"/>
          <w:jc w:val="center"/>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1149861780"/>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2,370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7,290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11,466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ind w:hanging="180"/>
              <w:divId w:val="1856383942"/>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(7,485)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(7,467)</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(919)</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(280)</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(1,667)</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149861780"/>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(159)</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1,673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884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282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(204)</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(121)</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2,605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(944)</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(648)</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(199)</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814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49861780"/>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E1167">
            <w:pPr>
              <w:spacing w:after="100"/>
              <w:divId w:val="1823426390"/>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1,053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602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359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2,033</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135"/>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417094262"/>
          <w:jc w:val="center"/>
        </w:trPr>
        <w:tc>
          <w:tcPr>
            <w:tcW w:w="50" w:type="pct"/>
            <w:vAlign w:val="center"/>
            <w:hideMark/>
          </w:tcPr>
          <w:p w:rsidR="00000000" w:rsidRDefault="00EE1167">
            <w:pPr>
              <w:jc w:val="cente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17094262"/>
          <w:trHeight w:val="600"/>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1417094262"/>
          <w:trHeight w:val="400"/>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Three months ended</w:t>
            </w:r>
          </w:p>
          <w:p w:rsidR="00000000" w:rsidRDefault="00EE1167">
            <w:pPr>
              <w:spacing w:after="100"/>
              <w:ind w:hanging="180"/>
              <w:divId w:val="1926646782"/>
              <w:rPr>
                <w:rFonts w:eastAsia="Times New Roman"/>
              </w:rPr>
            </w:pPr>
            <w:r>
              <w:rPr>
                <w:rFonts w:ascii="Arial" w:eastAsia="Times New Roman" w:hAnsi="Arial" w:cs="Arial"/>
                <w:color w:val="000000"/>
                <w:sz w:val="16"/>
                <w:szCs w:val="16"/>
              </w:rP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1417094262"/>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2,773 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1,162 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621 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126 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4,596 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(168)</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9,110 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ind w:hanging="180"/>
              <w:divId w:val="1691179181"/>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(4,613)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(4,526)</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(811)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(432)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(243)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(57)</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(1,554)</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094262"/>
          <w:jc w:val="center"/>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417094262"/>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191 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315 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(615)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(615)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Other income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192 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258 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2,090 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334 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298 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93 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(34)</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207 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2,988 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(935)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(718)</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(231)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1,104 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417094262"/>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E1167">
            <w:pPr>
              <w:spacing w:after="100"/>
              <w:divId w:val="132648435"/>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442 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642 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339 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1,457 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ind w:hanging="360"/>
        <w:jc w:val="center"/>
        <w:divId w:val="1543593532"/>
        <w:rPr>
          <w:rFonts w:eastAsia="Times New Roman"/>
        </w:rPr>
      </w:pPr>
    </w:p>
    <w:p w:rsidR="00000000" w:rsidRDefault="00EE1167">
      <w:pPr>
        <w:jc w:val="center"/>
        <w:divId w:val="912205233"/>
        <w:rPr>
          <w:rFonts w:eastAsia="Times New Roman"/>
        </w:rPr>
      </w:pPr>
      <w:r>
        <w:rPr>
          <w:rFonts w:ascii="Arial" w:eastAsia="Times New Roman" w:hAnsi="Arial" w:cs="Arial"/>
          <w:color w:val="000000"/>
          <w:sz w:val="20"/>
          <w:szCs w:val="20"/>
        </w:rPr>
        <w:t>17</w:t>
      </w:r>
    </w:p>
    <w:p w:rsidR="00000000" w:rsidRDefault="00EE1167">
      <w:pPr>
        <w:rPr>
          <w:rFonts w:eastAsia="Times New Roman"/>
        </w:rPr>
      </w:pPr>
      <w:r>
        <w:rPr>
          <w:rFonts w:eastAsia="Times New Roman"/>
        </w:rPr>
        <w:pict>
          <v:rect id="_x0000_i1042" style="width:0;height:1.5pt" o:hralign="center" o:hrstd="t" o:hr="t" fillcolor="#a0a0a0" stroked="f"/>
        </w:pict>
      </w:r>
    </w:p>
    <w:p w:rsidR="00000000" w:rsidRDefault="00EE1167">
      <w:pPr>
        <w:jc w:val="center"/>
        <w:divId w:val="80177489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2126"/>
        <w:gridCol w:w="39"/>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jc w:val="center"/>
        </w:trPr>
        <w:tc>
          <w:tcPr>
            <w:tcW w:w="50" w:type="pct"/>
            <w:vAlign w:val="center"/>
            <w:hideMark/>
          </w:tcPr>
          <w:p w:rsidR="00000000" w:rsidRDefault="00EE1167">
            <w:pPr>
              <w:jc w:val="cente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trHeight w:val="600"/>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2021</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7,616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3,501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20,068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(468)</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34,551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(1,392)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(20,405)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(21,334)</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(2,411)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(1,303)</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(794)</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(4,710)</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Income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5,756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2,725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1,374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362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(379)</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191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10,029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(2,805)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1,923)</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(952)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4,349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E1167">
            <w:pPr>
              <w:spacing w:after="100"/>
              <w:divId w:val="2108037656"/>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2,976</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1,631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878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39</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5,532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ind w:hanging="360"/>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883062639"/>
        </w:trPr>
        <w:tc>
          <w:tcPr>
            <w:tcW w:w="50" w:type="pct"/>
            <w:vAlign w:val="center"/>
            <w:hideMark/>
          </w:tcPr>
          <w:p w:rsidR="00000000" w:rsidRDefault="00EE1167">
            <w:pPr>
              <w:ind w:hanging="360"/>
              <w:jc w:val="center"/>
              <w:rPr>
                <w:rFonts w:eastAsia="Times New Roman"/>
              </w:rPr>
            </w:pPr>
          </w:p>
        </w:tc>
        <w:tc>
          <w:tcPr>
            <w:tcW w:w="13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1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883062639"/>
          <w:trHeight w:val="6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Consolidated</w:t>
            </w:r>
          </w:p>
        </w:tc>
      </w:tr>
      <w:tr w:rsidR="00000000">
        <w:trPr>
          <w:divId w:val="883062639"/>
          <w:trHeight w:val="400"/>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 2020</w:t>
            </w: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c>
          <w:tcPr>
            <w:tcW w:w="0" w:type="auto"/>
            <w:gridSpan w:val="3"/>
            <w:vMerge/>
            <w:vAlign w:val="center"/>
            <w:hideMark/>
          </w:tcPr>
          <w:p w:rsidR="00000000" w:rsidRDefault="00EE1167">
            <w:pPr>
              <w:spacing w:after="100"/>
              <w:rPr>
                <w:rFonts w:eastAsia="Times New Roman"/>
              </w:rPr>
            </w:pPr>
          </w:p>
        </w:tc>
      </w:tr>
      <w:tr w:rsidR="00000000">
        <w:trPr>
          <w:divId w:val="88306263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7,252 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3,722 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3,206 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429 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14,943 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(473)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29,079 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(1,213)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(14,877)</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451 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(15,652)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(2,458)</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(1,377)</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(761)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(144)</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4,955)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463 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284 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805 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Impairment of equity investments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(2,351)</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883062639"/>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(48)</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51 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(333)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(265)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Borders>
              <w:top w:val="single" w:sz="4"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5,280 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230 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1,285 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376 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(12)</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(498)</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6,661 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(2,766)</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(2,105)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(273)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Earnings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1,517 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883062639"/>
        </w:trPr>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EE1167">
            <w:pPr>
              <w:spacing w:after="100"/>
              <w:divId w:val="540898222"/>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1,503 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1,462 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765 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41 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63 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3,836 </w:t>
            </w:r>
          </w:p>
        </w:tc>
        <w:tc>
          <w:tcPr>
            <w:tcW w:w="0" w:type="auto"/>
            <w:tcBorders>
              <w:top w:val="single" w:sz="4" w:space="0" w:color="000000"/>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883062639"/>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EE1167">
      <w:pPr>
        <w:divId w:val="2140103278"/>
        <w:rPr>
          <w:rFonts w:eastAsia="Times New Roman"/>
        </w:rPr>
      </w:pPr>
    </w:p>
    <w:p w:rsidR="00000000" w:rsidRDefault="00EE1167">
      <w:pPr>
        <w:jc w:val="center"/>
        <w:divId w:val="1101299524"/>
        <w:rPr>
          <w:rFonts w:eastAsia="Times New Roman"/>
        </w:rPr>
      </w:pPr>
      <w:r>
        <w:rPr>
          <w:rFonts w:ascii="Arial" w:eastAsia="Times New Roman" w:hAnsi="Arial" w:cs="Arial"/>
          <w:color w:val="000000"/>
          <w:sz w:val="20"/>
          <w:szCs w:val="20"/>
        </w:rPr>
        <w:t>18</w:t>
      </w:r>
    </w:p>
    <w:p w:rsidR="00000000" w:rsidRDefault="00EE1167">
      <w:pPr>
        <w:rPr>
          <w:rFonts w:eastAsia="Times New Roman"/>
        </w:rPr>
      </w:pPr>
      <w:r>
        <w:rPr>
          <w:rFonts w:eastAsia="Times New Roman"/>
        </w:rPr>
        <w:pict>
          <v:rect id="_x0000_i1043" style="width:0;height:1.5pt" o:hralign="center" o:hrstd="t" o:hr="t" fillcolor="#a0a0a0" stroked="f"/>
        </w:pict>
      </w:r>
    </w:p>
    <w:p w:rsidR="00000000" w:rsidRDefault="00EE1167">
      <w:pPr>
        <w:jc w:val="center"/>
        <w:divId w:val="2055543014"/>
        <w:rPr>
          <w:rFonts w:eastAsia="Times New Roman"/>
        </w:rPr>
      </w:pPr>
    </w:p>
    <w:p w:rsidR="00000000" w:rsidRDefault="00EE1167">
      <w:pPr>
        <w:divId w:val="867717689"/>
        <w:rPr>
          <w:rFonts w:eastAsia="Times New Roman"/>
        </w:rPr>
      </w:pPr>
      <w:r>
        <w:rPr>
          <w:rFonts w:ascii="Arial" w:eastAsia="Times New Roman" w:hAnsi="Arial" w:cs="Arial"/>
          <w:b/>
          <w:bCs/>
          <w:color w:val="000000"/>
          <w:sz w:val="26"/>
          <w:szCs w:val="26"/>
        </w:rPr>
        <w:t>5. EARNINGS PER COMMON SHARE AND DIVIDENDS PER SHARE</w:t>
      </w:r>
    </w:p>
    <w:p w:rsidR="00000000" w:rsidRDefault="00EE1167">
      <w:pPr>
        <w:divId w:val="2132281262"/>
        <w:rPr>
          <w:rFonts w:eastAsia="Times New Roman"/>
        </w:rPr>
      </w:pPr>
    </w:p>
    <w:p w:rsidR="00000000" w:rsidRDefault="00EE1167">
      <w:pPr>
        <w:divId w:val="577666453"/>
        <w:rPr>
          <w:rFonts w:eastAsia="Times New Roman"/>
        </w:rPr>
      </w:pPr>
      <w:r>
        <w:rPr>
          <w:rFonts w:ascii="Arial" w:eastAsia="Times New Roman" w:hAnsi="Arial" w:cs="Arial"/>
          <w:b/>
          <w:bCs/>
          <w:color w:val="000000"/>
          <w:sz w:val="20"/>
          <w:szCs w:val="20"/>
        </w:rPr>
        <w:t>BASIC</w:t>
      </w:r>
    </w:p>
    <w:p w:rsidR="00000000" w:rsidRDefault="00EE1167">
      <w:pPr>
        <w:divId w:val="1794667227"/>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w:t>
      </w:r>
      <w:r>
        <w:rPr>
          <w:rFonts w:ascii="Arial" w:eastAsia="Times New Roman" w:hAnsi="Arial" w:cs="Arial"/>
          <w:color w:val="000000"/>
          <w:sz w:val="20"/>
          <w:szCs w:val="20"/>
        </w:rPr>
        <w:t xml:space="preserve"> The weighted average number of common shares outstanding has been reduced by our pro-rata weighted average interest in our own common shares of approximately 2 million for the three and nine months ended September 30, 2021, compared to 5 million for the t</w:t>
      </w:r>
      <w:r>
        <w:rPr>
          <w:rFonts w:ascii="Arial" w:eastAsia="Times New Roman" w:hAnsi="Arial" w:cs="Arial"/>
          <w:color w:val="000000"/>
          <w:sz w:val="20"/>
          <w:szCs w:val="20"/>
        </w:rPr>
        <w:t>hree and nine months ended September 30, 2020, resulting from our reciprocal investment in Noverco Inc. (Noverco).</w:t>
      </w:r>
    </w:p>
    <w:p w:rsidR="00000000" w:rsidRDefault="00EE1167">
      <w:pPr>
        <w:divId w:val="1684089934"/>
        <w:rPr>
          <w:rFonts w:eastAsia="Times New Roman"/>
        </w:rPr>
      </w:pPr>
    </w:p>
    <w:p w:rsidR="00000000" w:rsidRDefault="00EE1167">
      <w:pPr>
        <w:divId w:val="1126504537"/>
        <w:rPr>
          <w:rFonts w:eastAsia="Times New Roman"/>
        </w:rPr>
      </w:pPr>
      <w:r>
        <w:rPr>
          <w:rFonts w:ascii="Arial" w:eastAsia="Times New Roman" w:hAnsi="Arial" w:cs="Arial"/>
          <w:b/>
          <w:bCs/>
          <w:color w:val="000000"/>
          <w:sz w:val="20"/>
          <w:szCs w:val="20"/>
        </w:rPr>
        <w:t>DILUTED</w:t>
      </w:r>
    </w:p>
    <w:p w:rsidR="00000000" w:rsidRDefault="00EE1167">
      <w:pPr>
        <w:divId w:val="507987754"/>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proceeds from the exer</w:t>
      </w:r>
      <w:r>
        <w:rPr>
          <w:rFonts w:ascii="Arial" w:eastAsia="Times New Roman" w:hAnsi="Arial" w:cs="Arial"/>
          <w:color w:val="000000"/>
          <w:sz w:val="20"/>
          <w:szCs w:val="20"/>
        </w:rPr>
        <w:t>cise of stock options would be used to purchase common shares at the average market price during the period.</w:t>
      </w:r>
    </w:p>
    <w:p w:rsidR="00000000" w:rsidRDefault="00EE1167">
      <w:pPr>
        <w:divId w:val="633147428"/>
        <w:rPr>
          <w:rFonts w:eastAsia="Times New Roman"/>
        </w:rPr>
      </w:pPr>
    </w:p>
    <w:p w:rsidR="00000000" w:rsidRDefault="00EE1167">
      <w:pPr>
        <w:divId w:val="805123889"/>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347363121"/>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347363121"/>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34736312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347363121"/>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(number of shares in millions)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34736312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47363121"/>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47363121"/>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2,026</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2,021 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563325039"/>
        <w:rPr>
          <w:rFonts w:eastAsia="Times New Roman"/>
        </w:rPr>
      </w:pPr>
    </w:p>
    <w:p w:rsidR="00000000" w:rsidRDefault="00EE1167">
      <w:pPr>
        <w:divId w:val="738210640"/>
        <w:rPr>
          <w:rFonts w:eastAsia="Times New Roman"/>
        </w:rPr>
      </w:pPr>
      <w:r>
        <w:rPr>
          <w:rFonts w:ascii="Arial" w:eastAsia="Times New Roman" w:hAnsi="Arial" w:cs="Arial"/>
          <w:color w:val="000000"/>
          <w:sz w:val="20"/>
          <w:szCs w:val="20"/>
        </w:rPr>
        <w:t>For the three months ended September 30, 2021 and 2020, 13.3 million and 34.1 million, respectively, of anti-dilutive stock options with a weighted average exercise price of $56.16 and $50.55, respectively, were excluded from the diluted earnings per commo</w:t>
      </w:r>
      <w:r>
        <w:rPr>
          <w:rFonts w:ascii="Arial" w:eastAsia="Times New Roman" w:hAnsi="Arial" w:cs="Arial"/>
          <w:color w:val="000000"/>
          <w:sz w:val="20"/>
          <w:szCs w:val="20"/>
        </w:rPr>
        <w:t>n share calculation.</w:t>
      </w:r>
    </w:p>
    <w:p w:rsidR="00000000" w:rsidRDefault="00EE1167">
      <w:pPr>
        <w:divId w:val="288975907"/>
        <w:rPr>
          <w:rFonts w:eastAsia="Times New Roman"/>
        </w:rPr>
      </w:pPr>
    </w:p>
    <w:p w:rsidR="00000000" w:rsidRDefault="00EE1167">
      <w:pPr>
        <w:divId w:val="838353946"/>
        <w:rPr>
          <w:rFonts w:eastAsia="Times New Roman"/>
        </w:rPr>
      </w:pPr>
      <w:r>
        <w:rPr>
          <w:rFonts w:ascii="Arial" w:eastAsia="Times New Roman" w:hAnsi="Arial" w:cs="Arial"/>
          <w:color w:val="000000"/>
          <w:sz w:val="20"/>
          <w:szCs w:val="20"/>
        </w:rPr>
        <w:t>For the nine months ended September 30, 2021 and 2020, 20.5 million and 28.5 million, respectively, of anti-dilutive stock options with a weighted average exercise price of $52.19 and $51.85, respectively, were excluded from the dilu</w:t>
      </w:r>
      <w:r>
        <w:rPr>
          <w:rFonts w:ascii="Arial" w:eastAsia="Times New Roman" w:hAnsi="Arial" w:cs="Arial"/>
          <w:color w:val="000000"/>
          <w:sz w:val="20"/>
          <w:szCs w:val="20"/>
        </w:rPr>
        <w:t>ted earnings per common share calculation.</w:t>
      </w:r>
    </w:p>
    <w:p w:rsidR="00000000" w:rsidRDefault="00EE1167">
      <w:pPr>
        <w:divId w:val="915481670"/>
        <w:rPr>
          <w:rFonts w:eastAsia="Times New Roman"/>
        </w:rPr>
      </w:pPr>
    </w:p>
    <w:p w:rsidR="00000000" w:rsidRDefault="00EE1167">
      <w:pPr>
        <w:jc w:val="center"/>
        <w:divId w:val="602225015"/>
        <w:rPr>
          <w:rFonts w:eastAsia="Times New Roman"/>
        </w:rPr>
      </w:pPr>
      <w:r>
        <w:rPr>
          <w:rFonts w:ascii="Arial" w:eastAsia="Times New Roman" w:hAnsi="Arial" w:cs="Arial"/>
          <w:color w:val="000000"/>
          <w:sz w:val="20"/>
          <w:szCs w:val="20"/>
        </w:rPr>
        <w:t>19</w:t>
      </w:r>
    </w:p>
    <w:p w:rsidR="00000000" w:rsidRDefault="00EE1167">
      <w:pPr>
        <w:rPr>
          <w:rFonts w:eastAsia="Times New Roman"/>
        </w:rPr>
      </w:pPr>
      <w:r>
        <w:rPr>
          <w:rFonts w:eastAsia="Times New Roman"/>
        </w:rPr>
        <w:pict>
          <v:rect id="_x0000_i1044" style="width:0;height:1.5pt" o:hralign="center" o:hrstd="t" o:hr="t" fillcolor="#a0a0a0" stroked="f"/>
        </w:pict>
      </w:r>
    </w:p>
    <w:p w:rsidR="00000000" w:rsidRDefault="00EE1167">
      <w:pPr>
        <w:jc w:val="center"/>
        <w:divId w:val="882250859"/>
        <w:rPr>
          <w:rFonts w:eastAsia="Times New Roman"/>
        </w:rPr>
      </w:pPr>
    </w:p>
    <w:p w:rsidR="00000000" w:rsidRDefault="00EE1167">
      <w:pPr>
        <w:divId w:val="1361472339"/>
        <w:rPr>
          <w:rFonts w:eastAsia="Times New Roman"/>
        </w:rPr>
      </w:pPr>
      <w:r>
        <w:rPr>
          <w:rFonts w:ascii="Arial" w:eastAsia="Times New Roman" w:hAnsi="Arial" w:cs="Arial"/>
          <w:b/>
          <w:bCs/>
          <w:color w:val="000000"/>
          <w:sz w:val="20"/>
          <w:szCs w:val="20"/>
        </w:rPr>
        <w:t>DIVIDENDS PER SHARE</w:t>
      </w:r>
    </w:p>
    <w:p w:rsidR="00000000" w:rsidRDefault="00EE1167">
      <w:pPr>
        <w:divId w:val="1823504889"/>
        <w:rPr>
          <w:rFonts w:eastAsia="Times New Roman"/>
        </w:rPr>
      </w:pPr>
      <w:r>
        <w:rPr>
          <w:rFonts w:ascii="Arial" w:eastAsia="Times New Roman" w:hAnsi="Arial" w:cs="Arial"/>
          <w:color w:val="000000"/>
          <w:sz w:val="20"/>
          <w:szCs w:val="20"/>
        </w:rPr>
        <w:t xml:space="preserve">On November 3, 2021, our Board of Directors declared the following quarterly dividends. All dividends are payable on December 1, 2021 to shareholders </w:t>
      </w:r>
      <w:r>
        <w:rPr>
          <w:rFonts w:ascii="Arial" w:eastAsia="Times New Roman" w:hAnsi="Arial" w:cs="Arial"/>
          <w:color w:val="000000"/>
          <w:sz w:val="20"/>
          <w:szCs w:val="20"/>
        </w:rPr>
        <w:t>of record on November 15,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1304120508"/>
        </w:trPr>
        <w:tc>
          <w:tcPr>
            <w:tcW w:w="50" w:type="pct"/>
            <w:vAlign w:val="center"/>
            <w:hideMark/>
          </w:tcPr>
          <w:p w:rsidR="00000000" w:rsidRDefault="00EE1167">
            <w:pPr>
              <w:rPr>
                <w:rFonts w:eastAsia="Times New Roman"/>
              </w:rPr>
            </w:pPr>
          </w:p>
        </w:tc>
        <w:tc>
          <w:tcPr>
            <w:tcW w:w="398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90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304120508"/>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Dividend per share</w:t>
            </w:r>
          </w:p>
        </w:tc>
      </w:tr>
      <w:tr w:rsidR="00000000">
        <w:trPr>
          <w:divId w:val="1304120508"/>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divId w:val="2095979764"/>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$0.83500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divId w:val="1070343398"/>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$0.16081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11</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13</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15</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30412050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$0.30625 </w:t>
            </w:r>
          </w:p>
        </w:tc>
        <w:tc>
          <w:tcPr>
            <w:tcW w:w="0" w:type="auto"/>
            <w:tcBorders>
              <w:bottom w:val="single" w:sz="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ind w:hanging="180"/>
        <w:divId w:val="1560440770"/>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The quarterly dividend per common share was increased 3% to $0.835 from $0.81, effective March 1, 2021.</w:t>
      </w:r>
    </w:p>
    <w:p w:rsidR="00000000" w:rsidRDefault="00EE1167">
      <w:pPr>
        <w:ind w:hanging="180"/>
        <w:divId w:val="53704938"/>
        <w:rPr>
          <w:rFonts w:eastAsia="Times New Roman"/>
        </w:rPr>
      </w:pPr>
      <w:r>
        <w:rPr>
          <w:rFonts w:ascii="Arial" w:eastAsia="Times New Roman" w:hAnsi="Arial" w:cs="Arial"/>
          <w:i/>
          <w:iCs/>
          <w:color w:val="000000"/>
          <w:sz w:val="16"/>
          <w:szCs w:val="16"/>
        </w:rPr>
        <w:t>2 The quarterly dividend per share paid on Series C was increased to $0.15501 from $0.15349 on March 1, 2021, increased to $0.15753 from $0.15501 on Jun</w:t>
      </w:r>
      <w:r>
        <w:rPr>
          <w:rFonts w:ascii="Arial" w:eastAsia="Times New Roman" w:hAnsi="Arial" w:cs="Arial"/>
          <w:i/>
          <w:iCs/>
          <w:color w:val="000000"/>
          <w:sz w:val="16"/>
          <w:szCs w:val="16"/>
        </w:rPr>
        <w:t xml:space="preserve">e 1, 2021, and increased to $0.16081 from $0.15753 on September 1, 2021, due to reset on a quarterly basis following the date of issuance of the Series C Preference Shares. </w:t>
      </w:r>
    </w:p>
    <w:p w:rsidR="00000000" w:rsidRDefault="00EE1167">
      <w:pPr>
        <w:ind w:hanging="180"/>
        <w:divId w:val="1294674502"/>
        <w:rPr>
          <w:rFonts w:eastAsia="Times New Roman"/>
        </w:rPr>
      </w:pPr>
    </w:p>
    <w:p w:rsidR="00000000" w:rsidRDefault="00EE1167">
      <w:pPr>
        <w:divId w:val="1460218331"/>
        <w:rPr>
          <w:rFonts w:eastAsia="Times New Roman"/>
        </w:rPr>
      </w:pPr>
      <w:r>
        <w:rPr>
          <w:rFonts w:ascii="Arial" w:eastAsia="Times New Roman" w:hAnsi="Arial" w:cs="Arial"/>
          <w:b/>
          <w:bCs/>
          <w:color w:val="000000"/>
          <w:sz w:val="26"/>
          <w:szCs w:val="26"/>
        </w:rPr>
        <w:t>6. DEBT</w:t>
      </w:r>
    </w:p>
    <w:p w:rsidR="00000000" w:rsidRDefault="00EE1167">
      <w:pPr>
        <w:ind w:hanging="360"/>
        <w:divId w:val="1286697721"/>
        <w:rPr>
          <w:rFonts w:eastAsia="Times New Roman"/>
        </w:rPr>
      </w:pPr>
    </w:p>
    <w:p w:rsidR="00000000" w:rsidRDefault="00EE1167">
      <w:pPr>
        <w:divId w:val="1501123351"/>
        <w:rPr>
          <w:rFonts w:eastAsia="Times New Roman"/>
        </w:rPr>
      </w:pPr>
      <w:r>
        <w:rPr>
          <w:rFonts w:ascii="Arial" w:eastAsia="Times New Roman" w:hAnsi="Arial" w:cs="Arial"/>
          <w:b/>
          <w:bCs/>
          <w:color w:val="000000"/>
          <w:sz w:val="20"/>
          <w:szCs w:val="20"/>
        </w:rPr>
        <w:t>CREDIT FACILITIES</w:t>
      </w:r>
    </w:p>
    <w:p w:rsidR="00000000" w:rsidRDefault="00EE1167">
      <w:pPr>
        <w:jc w:val="both"/>
        <w:rPr>
          <w:rFonts w:eastAsia="Times New Roman"/>
        </w:rPr>
      </w:pPr>
      <w:r>
        <w:rPr>
          <w:rFonts w:ascii="Arial" w:eastAsia="Times New Roman" w:hAnsi="Arial" w:cs="Arial"/>
          <w:color w:val="000000"/>
          <w:sz w:val="20"/>
          <w:szCs w:val="20"/>
        </w:rPr>
        <w:t>The following table provides details of our committe</w:t>
      </w:r>
      <w:r>
        <w:rPr>
          <w:rFonts w:ascii="Arial" w:eastAsia="Times New Roman" w:hAnsi="Arial" w:cs="Arial"/>
          <w:color w:val="000000"/>
          <w:sz w:val="20"/>
          <w:szCs w:val="20"/>
        </w:rPr>
        <w:t>d credit facilities as at September 30, 2021:</w:t>
      </w:r>
    </w:p>
    <w:p w:rsidR="00000000" w:rsidRDefault="00EE1167">
      <w:pPr>
        <w:jc w:val="both"/>
        <w:rPr>
          <w:rFonts w:eastAsia="Times New Roman"/>
        </w:rPr>
      </w:pPr>
      <w:r>
        <w:rPr>
          <w:rFonts w:ascii="Arial" w:eastAsia="Times New Roman" w:hAnsi="Arial" w:cs="Arial"/>
          <w:color w:val="000000"/>
          <w:sz w:val="2"/>
          <w:szCs w:val="2"/>
        </w:rPr>
        <w:t> </w:t>
      </w:r>
    </w:p>
    <w:p w:rsidR="00000000" w:rsidRDefault="00EE1167">
      <w:pPr>
        <w:divId w:val="1152789270"/>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1468203456"/>
        </w:trPr>
        <w:tc>
          <w:tcPr>
            <w:tcW w:w="50" w:type="pct"/>
            <w:vAlign w:val="center"/>
            <w:hideMark/>
          </w:tcPr>
          <w:p w:rsidR="00000000" w:rsidRDefault="00EE1167">
            <w:pPr>
              <w:rPr>
                <w:rFonts w:eastAsia="Times New Roman"/>
              </w:rPr>
            </w:pPr>
          </w:p>
        </w:tc>
        <w:tc>
          <w:tcPr>
            <w:tcW w:w="263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6820345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Available</w:t>
            </w:r>
          </w:p>
        </w:tc>
      </w:tr>
      <w:tr w:rsidR="00000000">
        <w:trPr>
          <w:divId w:val="1468203456"/>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r>
      <w:tr w:rsidR="00000000">
        <w:trPr>
          <w:divId w:val="146820345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2022-2026</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9,169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7,378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6820345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6,968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4,453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6820345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68203456"/>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68203456"/>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21,137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11,567</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9,570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496502376"/>
        <w:rPr>
          <w:rFonts w:eastAsia="Times New Roman"/>
        </w:rPr>
      </w:pPr>
      <w:r>
        <w:rPr>
          <w:rFonts w:ascii="Arial" w:eastAsia="Times New Roman" w:hAnsi="Arial" w:cs="Arial"/>
          <w:color w:val="000000"/>
          <w:sz w:val="2"/>
          <w:szCs w:val="2"/>
        </w:rPr>
        <w:t> </w:t>
      </w:r>
    </w:p>
    <w:p w:rsidR="00000000" w:rsidRDefault="00EE1167">
      <w:pPr>
        <w:ind w:hanging="180"/>
        <w:divId w:val="1091200229"/>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EE1167">
      <w:pPr>
        <w:ind w:hanging="180"/>
        <w:divId w:val="1155030254"/>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EE1167">
      <w:pPr>
        <w:divId w:val="1076705282"/>
        <w:rPr>
          <w:rFonts w:eastAsia="Times New Roman"/>
        </w:rPr>
      </w:pPr>
    </w:p>
    <w:p w:rsidR="00000000" w:rsidRDefault="00EE1167">
      <w:pPr>
        <w:divId w:val="892546612"/>
        <w:rPr>
          <w:rFonts w:eastAsia="Times New Roman"/>
        </w:rPr>
      </w:pPr>
      <w:r>
        <w:rPr>
          <w:rFonts w:ascii="Arial" w:eastAsia="Times New Roman" w:hAnsi="Arial" w:cs="Arial"/>
          <w:color w:val="000000"/>
          <w:sz w:val="20"/>
          <w:szCs w:val="20"/>
        </w:rPr>
        <w:t>On February 10, 2021, Enbridge Inc. entered into a three year, revolving, extendible, sustainability-linked credit facility for $1.0 billion with a syndicate of lenders and concurrently terminated our one year, revolving, syndicated credit facility for $3.</w:t>
      </w:r>
      <w:r>
        <w:rPr>
          <w:rFonts w:ascii="Arial" w:eastAsia="Times New Roman" w:hAnsi="Arial" w:cs="Arial"/>
          <w:color w:val="000000"/>
          <w:sz w:val="20"/>
          <w:szCs w:val="20"/>
        </w:rPr>
        <w:t>0 billion.</w:t>
      </w:r>
    </w:p>
    <w:p w:rsidR="00000000" w:rsidRDefault="00EE1167">
      <w:pPr>
        <w:divId w:val="584917935"/>
        <w:rPr>
          <w:rFonts w:eastAsia="Times New Roman"/>
        </w:rPr>
      </w:pPr>
    </w:p>
    <w:p w:rsidR="00000000" w:rsidRDefault="00EE1167">
      <w:pPr>
        <w:divId w:val="59058060"/>
        <w:rPr>
          <w:rFonts w:eastAsia="Times New Roman"/>
        </w:rPr>
      </w:pPr>
      <w:r>
        <w:rPr>
          <w:rFonts w:ascii="Arial" w:eastAsia="Times New Roman" w:hAnsi="Arial" w:cs="Arial"/>
          <w:color w:val="000000"/>
          <w:sz w:val="20"/>
          <w:szCs w:val="20"/>
        </w:rPr>
        <w:t>On February 25, 2021, two term loans with an aggregate total of US$500 million were repaid with proceeds from a floating rate notes issuance.</w:t>
      </w:r>
    </w:p>
    <w:p w:rsidR="00000000" w:rsidRDefault="00EE1167">
      <w:pPr>
        <w:divId w:val="995762915"/>
        <w:rPr>
          <w:rFonts w:eastAsia="Times New Roman"/>
        </w:rPr>
      </w:pPr>
    </w:p>
    <w:p w:rsidR="00000000" w:rsidRDefault="00EE1167">
      <w:pPr>
        <w:jc w:val="center"/>
        <w:divId w:val="1596599193"/>
        <w:rPr>
          <w:rFonts w:eastAsia="Times New Roman"/>
        </w:rPr>
      </w:pPr>
      <w:r>
        <w:rPr>
          <w:rFonts w:ascii="Arial" w:eastAsia="Times New Roman" w:hAnsi="Arial" w:cs="Arial"/>
          <w:color w:val="000000"/>
          <w:sz w:val="20"/>
          <w:szCs w:val="20"/>
        </w:rPr>
        <w:t>20</w:t>
      </w:r>
    </w:p>
    <w:p w:rsidR="00000000" w:rsidRDefault="00EE1167">
      <w:pPr>
        <w:rPr>
          <w:rFonts w:eastAsia="Times New Roman"/>
        </w:rPr>
      </w:pPr>
      <w:r>
        <w:rPr>
          <w:rFonts w:eastAsia="Times New Roman"/>
        </w:rPr>
        <w:pict>
          <v:rect id="_x0000_i1045" style="width:0;height:1.5pt" o:hralign="center" o:hrstd="t" o:hr="t" fillcolor="#a0a0a0" stroked="f"/>
        </w:pict>
      </w:r>
    </w:p>
    <w:p w:rsidR="00000000" w:rsidRDefault="00EE1167">
      <w:pPr>
        <w:jc w:val="center"/>
        <w:divId w:val="1454905756"/>
        <w:rPr>
          <w:rFonts w:eastAsia="Times New Roman"/>
        </w:rPr>
      </w:pPr>
    </w:p>
    <w:p w:rsidR="00000000" w:rsidRDefault="00EE1167">
      <w:pPr>
        <w:divId w:val="1915384675"/>
        <w:rPr>
          <w:rFonts w:eastAsia="Times New Roman"/>
        </w:rPr>
      </w:pPr>
      <w:r>
        <w:rPr>
          <w:rFonts w:ascii="Arial" w:eastAsia="Times New Roman" w:hAnsi="Arial" w:cs="Arial"/>
          <w:color w:val="000000"/>
          <w:sz w:val="20"/>
          <w:szCs w:val="20"/>
        </w:rPr>
        <w:t>On July 22 and 23, 2021, we renewed approximately $8.0 bil</w:t>
      </w:r>
      <w:r>
        <w:rPr>
          <w:rFonts w:ascii="Arial" w:eastAsia="Times New Roman" w:hAnsi="Arial" w:cs="Arial"/>
          <w:color w:val="000000"/>
          <w:sz w:val="20"/>
          <w:szCs w:val="20"/>
        </w:rPr>
        <w:t>lion of our five-year credit facilities, extending the maturity date out to July 2026. We also extended approximately $10.0 billion of our 364-day extendible credit facilities to July 2022, which includes a one-year term out provision to July 2023.</w:t>
      </w:r>
    </w:p>
    <w:p w:rsidR="00000000" w:rsidRDefault="00EE1167">
      <w:pPr>
        <w:divId w:val="1178472054"/>
        <w:rPr>
          <w:rFonts w:eastAsia="Times New Roman"/>
        </w:rPr>
      </w:pPr>
    </w:p>
    <w:p w:rsidR="00000000" w:rsidRDefault="00EE1167">
      <w:pPr>
        <w:divId w:val="1215895149"/>
        <w:rPr>
          <w:rFonts w:eastAsia="Times New Roman"/>
        </w:rPr>
      </w:pPr>
      <w:r>
        <w:rPr>
          <w:rFonts w:ascii="Arial" w:eastAsia="Times New Roman" w:hAnsi="Arial" w:cs="Arial"/>
          <w:color w:val="000000"/>
          <w:sz w:val="20"/>
          <w:szCs w:val="20"/>
        </w:rPr>
        <w:t>In ad</w:t>
      </w:r>
      <w:r>
        <w:rPr>
          <w:rFonts w:ascii="Arial" w:eastAsia="Times New Roman" w:hAnsi="Arial" w:cs="Arial"/>
          <w:color w:val="000000"/>
          <w:sz w:val="20"/>
          <w:szCs w:val="20"/>
        </w:rPr>
        <w:t>dition to the committed credit facilities noted above, we maintain $1.3 billion of uncommitted demand letter of credit facilities, of which $868 million was unutilized as at September 30, 2021. As at December 31, 2020, we had $849 million of uncommitted de</w:t>
      </w:r>
      <w:r>
        <w:rPr>
          <w:rFonts w:ascii="Arial" w:eastAsia="Times New Roman" w:hAnsi="Arial" w:cs="Arial"/>
          <w:color w:val="000000"/>
          <w:sz w:val="20"/>
          <w:szCs w:val="20"/>
        </w:rPr>
        <w:t>mand letter of credit facilities, of which $533 million was unutilized.</w:t>
      </w:r>
    </w:p>
    <w:p w:rsidR="00000000" w:rsidRDefault="00EE1167">
      <w:pPr>
        <w:divId w:val="1494948152"/>
        <w:rPr>
          <w:rFonts w:eastAsia="Times New Roman"/>
        </w:rPr>
      </w:pPr>
    </w:p>
    <w:p w:rsidR="00000000" w:rsidRDefault="00EE1167">
      <w:pPr>
        <w:divId w:val="40443465"/>
        <w:rPr>
          <w:rFonts w:eastAsia="Times New Roman"/>
        </w:rPr>
      </w:pPr>
      <w:r>
        <w:rPr>
          <w:rFonts w:ascii="Arial" w:eastAsia="Times New Roman" w:hAnsi="Arial" w:cs="Arial"/>
          <w:color w:val="000000"/>
          <w:sz w:val="20"/>
          <w:szCs w:val="20"/>
        </w:rPr>
        <w:t>Our credit facilities carry a weighted average standby fee of 0.1% per annum on the unused portion and draws bear interest at market rates. Certain credit facilities serve as a back-</w:t>
      </w:r>
      <w:r>
        <w:rPr>
          <w:rFonts w:ascii="Arial" w:eastAsia="Times New Roman" w:hAnsi="Arial" w:cs="Arial"/>
          <w:color w:val="000000"/>
          <w:sz w:val="20"/>
          <w:szCs w:val="20"/>
        </w:rPr>
        <w:t>stop to the commercial paper programs and we have the option to extend such facilities, which are currently scheduled to mature from 2022 to 2026.</w:t>
      </w:r>
    </w:p>
    <w:p w:rsidR="00000000" w:rsidRDefault="00EE1167">
      <w:pPr>
        <w:divId w:val="1668098159"/>
        <w:rPr>
          <w:rFonts w:eastAsia="Times New Roman"/>
        </w:rPr>
      </w:pPr>
    </w:p>
    <w:p w:rsidR="00000000" w:rsidRDefault="00EE1167">
      <w:pPr>
        <w:divId w:val="837035360"/>
        <w:rPr>
          <w:rFonts w:eastAsia="Times New Roman"/>
        </w:rPr>
      </w:pPr>
      <w:r>
        <w:rPr>
          <w:rFonts w:ascii="Arial" w:eastAsia="Times New Roman" w:hAnsi="Arial" w:cs="Arial"/>
          <w:color w:val="000000"/>
          <w:sz w:val="20"/>
          <w:szCs w:val="20"/>
        </w:rPr>
        <w:t>As at September 30, 2021 and December 31, 2020, commercial paper and credit facility draws, net of short-te</w:t>
      </w:r>
      <w:r>
        <w:rPr>
          <w:rFonts w:ascii="Arial" w:eastAsia="Times New Roman" w:hAnsi="Arial" w:cs="Arial"/>
          <w:color w:val="000000"/>
          <w:sz w:val="20"/>
          <w:szCs w:val="20"/>
        </w:rPr>
        <w:t>rm borrowings and non-revolving credit facilities that mature within one year, of $8.3 billion and $9.9 billion, respectively, were supported by the availability of long-term committed credit facilities and, therefore, have been classified as long-term deb</w:t>
      </w:r>
      <w:r>
        <w:rPr>
          <w:rFonts w:ascii="Arial" w:eastAsia="Times New Roman" w:hAnsi="Arial" w:cs="Arial"/>
          <w:color w:val="000000"/>
          <w:sz w:val="20"/>
          <w:szCs w:val="20"/>
        </w:rPr>
        <w:t>t.</w:t>
      </w:r>
    </w:p>
    <w:p w:rsidR="00000000" w:rsidRDefault="00EE1167">
      <w:pPr>
        <w:divId w:val="1729264601"/>
        <w:rPr>
          <w:rFonts w:eastAsia="Times New Roman"/>
        </w:rPr>
      </w:pPr>
    </w:p>
    <w:p w:rsidR="00000000" w:rsidRDefault="00EE1167">
      <w:pPr>
        <w:divId w:val="1364212837"/>
        <w:rPr>
          <w:rFonts w:eastAsia="Times New Roman"/>
        </w:rPr>
      </w:pPr>
      <w:r>
        <w:rPr>
          <w:rFonts w:ascii="Arial" w:eastAsia="Times New Roman" w:hAnsi="Arial" w:cs="Arial"/>
          <w:b/>
          <w:bCs/>
          <w:color w:val="000000"/>
          <w:sz w:val="20"/>
          <w:szCs w:val="20"/>
        </w:rPr>
        <w:t>LONG-TERM DEBT ISSUANCES</w:t>
      </w:r>
    </w:p>
    <w:p w:rsidR="00000000" w:rsidRDefault="00EE1167">
      <w:pPr>
        <w:divId w:val="39208969"/>
        <w:rPr>
          <w:rFonts w:eastAsia="Times New Roman"/>
        </w:rPr>
      </w:pPr>
      <w:r>
        <w:rPr>
          <w:rFonts w:ascii="Arial" w:eastAsia="Times New Roman" w:hAnsi="Arial" w:cs="Arial"/>
          <w:color w:val="000000"/>
          <w:sz w:val="20"/>
          <w:szCs w:val="20"/>
        </w:rPr>
        <w:t>During the nine months ended September 30, 2021, we completed the following long-term debt issuances totaling US$2.4 billion and $3.2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806"/>
        <w:gridCol w:w="36"/>
        <w:gridCol w:w="69"/>
        <w:gridCol w:w="1172"/>
        <w:gridCol w:w="38"/>
        <w:gridCol w:w="69"/>
        <w:gridCol w:w="4926"/>
        <w:gridCol w:w="37"/>
        <w:gridCol w:w="69"/>
        <w:gridCol w:w="973"/>
        <w:gridCol w:w="37"/>
      </w:tblGrid>
      <w:tr w:rsidR="00000000">
        <w:trPr>
          <w:divId w:val="1538665992"/>
        </w:trPr>
        <w:tc>
          <w:tcPr>
            <w:tcW w:w="50" w:type="pct"/>
            <w:vAlign w:val="center"/>
            <w:hideMark/>
          </w:tcPr>
          <w:p w:rsidR="00000000" w:rsidRDefault="00EE1167">
            <w:pPr>
              <w:rPr>
                <w:rFonts w:eastAsia="Times New Roman"/>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97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538665992"/>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8"/>
                <w:szCs w:val="18"/>
              </w:rPr>
              <w:t>Principal Amount</w:t>
            </w:r>
          </w:p>
        </w:tc>
      </w:tr>
      <w:tr w:rsidR="00000000">
        <w:trPr>
          <w:divId w:val="1538665992"/>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r>
      <w:tr w:rsidR="00000000">
        <w:trPr>
          <w:divId w:val="1538665992"/>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EE1167">
            <w:pPr>
              <w:spacing w:after="100"/>
              <w:divId w:val="325016448"/>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US$500</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110" w:type="dxa"/>
              <w:bottom w:w="30" w:type="dxa"/>
              <w:right w:w="20" w:type="dxa"/>
            </w:tcMar>
            <w:vAlign w:val="center"/>
            <w:hideMark/>
          </w:tcPr>
          <w:p w:rsidR="00000000" w:rsidRDefault="00EE1167">
            <w:pPr>
              <w:spacing w:after="100"/>
              <w:ind w:hanging="90"/>
              <w:rPr>
                <w:rFonts w:eastAsia="Times New Roman"/>
              </w:rPr>
            </w:pPr>
            <w:r>
              <w:rPr>
                <w:rFonts w:ascii="Arial" w:eastAsia="Times New Roman" w:hAnsi="Arial" w:cs="Arial"/>
                <w:color w:val="000000"/>
                <w:sz w:val="18"/>
                <w:szCs w:val="18"/>
              </w:rPr>
              <w:t>2.50% Sustainability-Linked senior notes due August 2033</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US$1,000</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3.40% senior notes due August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US$500</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3.10% Sustainability-Linked medium-term notes due September 2033</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8"/>
                <w:szCs w:val="18"/>
              </w:rPr>
              <w:t>$1,100</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4.10% medium-term notes due September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1538665992"/>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2.35% medium-term notes due September 2031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$475</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3.20% medium-term notes due September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$425</w:t>
            </w:r>
          </w:p>
        </w:tc>
      </w:tr>
      <w:tr w:rsidR="00000000">
        <w:trPr>
          <w:divId w:val="1538665992"/>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Pipelines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2.82% medium-term notes due May 2031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1538665992"/>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4.20% medium-term notes due May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1538665992"/>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r>
      <w:tr w:rsidR="00000000">
        <w:trPr>
          <w:divId w:val="1538665992"/>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divId w:val="1344740808"/>
              <w:rPr>
                <w:rFonts w:eastAsia="Times New Roman"/>
              </w:rPr>
            </w:pPr>
            <w:r>
              <w:rPr>
                <w:rFonts w:ascii="Arial" w:eastAsia="Times New Roman" w:hAnsi="Arial" w:cs="Arial"/>
                <w:color w:val="000000"/>
                <w:sz w:val="18"/>
                <w:szCs w:val="18"/>
              </w:rPr>
              <w:t>2.50% senior notes due September 203</w:t>
            </w:r>
            <w:r>
              <w:rPr>
                <w:rFonts w:ascii="Arial" w:eastAsia="Times New Roman" w:hAnsi="Arial" w:cs="Arial"/>
                <w:color w:val="000000"/>
                <w:sz w:val="18"/>
                <w:szCs w:val="18"/>
              </w:rPr>
              <w:t>1</w:t>
            </w:r>
            <w:r>
              <w:rPr>
                <w:rFonts w:ascii="Arial" w:eastAsia="Times New Roman" w:hAnsi="Arial" w:cs="Arial"/>
                <w:color w:val="000000"/>
                <w:sz w:val="12"/>
                <w:szCs w:val="12"/>
              </w:rPr>
              <w:t>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US$400</w:t>
            </w:r>
          </w:p>
        </w:tc>
      </w:tr>
    </w:tbl>
    <w:p w:rsidR="00000000" w:rsidRDefault="00EE1167">
      <w:pPr>
        <w:ind w:hanging="180"/>
        <w:divId w:val="1246478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Secured Overnight Financing Rate plus a margin of 40 basis points.</w:t>
      </w:r>
    </w:p>
    <w:p w:rsidR="00000000" w:rsidRDefault="00EE1167">
      <w:pPr>
        <w:ind w:hanging="180"/>
        <w:divId w:val="524490431"/>
        <w:rPr>
          <w:rFonts w:eastAsia="Times New Roman"/>
        </w:rPr>
      </w:pPr>
      <w:r>
        <w:rPr>
          <w:rFonts w:ascii="Arial" w:eastAsia="Times New Roman" w:hAnsi="Arial" w:cs="Arial"/>
          <w:i/>
          <w:iCs/>
          <w:color w:val="000000"/>
          <w:sz w:val="16"/>
          <w:szCs w:val="16"/>
        </w:rPr>
        <w:t>2Issued through Texas Eastern Transmission, LP, a wholly-owned operating subsidiary of Spectra Energy Partners, LP.</w:t>
      </w:r>
    </w:p>
    <w:p w:rsidR="00000000" w:rsidRDefault="00EE1167">
      <w:pPr>
        <w:ind w:hanging="180"/>
        <w:divId w:val="642195276"/>
        <w:rPr>
          <w:rFonts w:eastAsia="Times New Roman"/>
        </w:rPr>
      </w:pPr>
    </w:p>
    <w:p w:rsidR="00000000" w:rsidRDefault="00EE1167">
      <w:pPr>
        <w:divId w:val="617224882"/>
        <w:rPr>
          <w:rFonts w:eastAsia="Times New Roman"/>
        </w:rPr>
      </w:pPr>
      <w:r>
        <w:rPr>
          <w:rFonts w:ascii="Arial" w:eastAsia="Times New Roman" w:hAnsi="Arial" w:cs="Arial"/>
          <w:color w:val="000000"/>
          <w:sz w:val="20"/>
          <w:szCs w:val="20"/>
        </w:rPr>
        <w:t>On Oc</w:t>
      </w:r>
      <w:r>
        <w:rPr>
          <w:rFonts w:ascii="Arial" w:eastAsia="Times New Roman" w:hAnsi="Arial" w:cs="Arial"/>
          <w:color w:val="000000"/>
          <w:sz w:val="20"/>
          <w:szCs w:val="20"/>
        </w:rPr>
        <w:t>tober 4, 2021, we closed a three tranche offering of aggregate US$1.5 billion senior notes consisting of US$500 million 0.55% 2-year notes, US$500 million 1.60% 5-year notes, and a US$500 million re-opening of the 3.40% 2051 notes issued in June 2021. Each</w:t>
      </w:r>
      <w:r>
        <w:rPr>
          <w:rFonts w:ascii="Arial" w:eastAsia="Times New Roman" w:hAnsi="Arial" w:cs="Arial"/>
          <w:color w:val="000000"/>
          <w:sz w:val="20"/>
          <w:szCs w:val="20"/>
        </w:rPr>
        <w:t xml:space="preserve"> tranche is payable semi-annually in arrears and matures on October 4, 2023, October 4, 2026, and August 1, 2051, respectively. </w:t>
      </w:r>
    </w:p>
    <w:p w:rsidR="00000000" w:rsidRDefault="00EE1167">
      <w:pPr>
        <w:divId w:val="508372052"/>
        <w:rPr>
          <w:rFonts w:eastAsia="Times New Roman"/>
        </w:rPr>
      </w:pPr>
    </w:p>
    <w:p w:rsidR="00000000" w:rsidRDefault="00EE1167">
      <w:pPr>
        <w:jc w:val="center"/>
        <w:divId w:val="730811729"/>
        <w:rPr>
          <w:rFonts w:eastAsia="Times New Roman"/>
        </w:rPr>
      </w:pPr>
      <w:r>
        <w:rPr>
          <w:rFonts w:ascii="Arial" w:eastAsia="Times New Roman" w:hAnsi="Arial" w:cs="Arial"/>
          <w:color w:val="000000"/>
          <w:sz w:val="20"/>
          <w:szCs w:val="20"/>
        </w:rPr>
        <w:t>21</w:t>
      </w:r>
    </w:p>
    <w:p w:rsidR="00000000" w:rsidRDefault="00EE1167">
      <w:pPr>
        <w:rPr>
          <w:rFonts w:eastAsia="Times New Roman"/>
        </w:rPr>
      </w:pPr>
      <w:r>
        <w:rPr>
          <w:rFonts w:eastAsia="Times New Roman"/>
        </w:rPr>
        <w:pict>
          <v:rect id="_x0000_i1046" style="width:0;height:1.5pt" o:hralign="center" o:hrstd="t" o:hr="t" fillcolor="#a0a0a0" stroked="f"/>
        </w:pict>
      </w:r>
    </w:p>
    <w:p w:rsidR="00000000" w:rsidRDefault="00EE1167">
      <w:pPr>
        <w:jc w:val="center"/>
        <w:divId w:val="2067335051"/>
        <w:rPr>
          <w:rFonts w:eastAsia="Times New Roman"/>
        </w:rPr>
      </w:pPr>
    </w:p>
    <w:p w:rsidR="00000000" w:rsidRDefault="00EE1167">
      <w:pPr>
        <w:ind w:firstLine="540"/>
        <w:divId w:val="1880819824"/>
        <w:rPr>
          <w:rFonts w:eastAsia="Times New Roman"/>
        </w:rPr>
      </w:pPr>
      <w:r>
        <w:rPr>
          <w:rFonts w:ascii="Arial" w:eastAsia="Times New Roman" w:hAnsi="Arial" w:cs="Arial"/>
          <w:b/>
          <w:bCs/>
          <w:color w:val="000000"/>
          <w:sz w:val="20"/>
          <w:szCs w:val="20"/>
        </w:rPr>
        <w:t>LONG-TERM DEBT REPAYMENTS</w:t>
      </w:r>
    </w:p>
    <w:p w:rsidR="00000000" w:rsidRDefault="00EE1167">
      <w:pPr>
        <w:divId w:val="1249923183"/>
        <w:rPr>
          <w:rFonts w:eastAsia="Times New Roman"/>
        </w:rPr>
      </w:pPr>
      <w:r>
        <w:rPr>
          <w:rFonts w:ascii="Arial" w:eastAsia="Times New Roman" w:hAnsi="Arial" w:cs="Arial"/>
          <w:color w:val="000000"/>
          <w:sz w:val="20"/>
          <w:szCs w:val="20"/>
        </w:rPr>
        <w:t>During the nine months ended September 30, 2021, we comple</w:t>
      </w:r>
      <w:r>
        <w:rPr>
          <w:rFonts w:ascii="Arial" w:eastAsia="Times New Roman" w:hAnsi="Arial" w:cs="Arial"/>
          <w:color w:val="000000"/>
          <w:sz w:val="20"/>
          <w:szCs w:val="20"/>
        </w:rPr>
        <w:t>ted the following long-term debt repayments totaling $808 million and US$880 million:</w:t>
      </w:r>
    </w:p>
    <w:tbl>
      <w:tblPr>
        <w:tblW w:w="4895" w:type="pct"/>
        <w:tblCellMar>
          <w:top w:w="15" w:type="dxa"/>
          <w:left w:w="15" w:type="dxa"/>
          <w:bottom w:w="15" w:type="dxa"/>
          <w:right w:w="15" w:type="dxa"/>
        </w:tblCellMar>
        <w:tblLook w:val="04A0" w:firstRow="1" w:lastRow="0" w:firstColumn="1" w:lastColumn="0" w:noHBand="0" w:noVBand="1"/>
      </w:tblPr>
      <w:tblGrid>
        <w:gridCol w:w="72"/>
        <w:gridCol w:w="798"/>
        <w:gridCol w:w="36"/>
        <w:gridCol w:w="66"/>
        <w:gridCol w:w="1159"/>
        <w:gridCol w:w="36"/>
        <w:gridCol w:w="66"/>
        <w:gridCol w:w="4693"/>
        <w:gridCol w:w="36"/>
        <w:gridCol w:w="66"/>
        <w:gridCol w:w="960"/>
        <w:gridCol w:w="36"/>
        <w:gridCol w:w="36"/>
        <w:gridCol w:w="36"/>
        <w:gridCol w:w="36"/>
      </w:tblGrid>
      <w:tr w:rsidR="00000000">
        <w:trPr>
          <w:divId w:val="1631082939"/>
        </w:trPr>
        <w:tc>
          <w:tcPr>
            <w:tcW w:w="50" w:type="pct"/>
            <w:vAlign w:val="center"/>
            <w:hideMark/>
          </w:tcPr>
          <w:p w:rsidR="00000000" w:rsidRDefault="00EE1167">
            <w:pPr>
              <w:rPr>
                <w:rFonts w:eastAsia="Times New Roman"/>
              </w:rPr>
            </w:pPr>
          </w:p>
        </w:tc>
        <w:tc>
          <w:tcPr>
            <w:tcW w:w="50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93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60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March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4.20%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US$600</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2.76%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3.98%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US$30</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4.01%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$8</w:t>
            </w:r>
          </w:p>
        </w:tc>
        <w:tc>
          <w:tcPr>
            <w:tcW w:w="0" w:type="auto"/>
            <w:gridSpan w:val="3"/>
            <w:vAlign w:val="center"/>
            <w:hideMark/>
          </w:tcPr>
          <w:p w:rsidR="00000000" w:rsidRDefault="00EE1167">
            <w:pPr>
              <w:spacing w:after="100"/>
              <w:jc w:val="right"/>
              <w:rPr>
                <w:rFonts w:eastAsia="Times New Roman"/>
              </w:rPr>
            </w:pPr>
          </w:p>
        </w:tc>
      </w:tr>
      <w:tr w:rsidR="00000000">
        <w:trPr>
          <w:divId w:val="1631082939"/>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631082939"/>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March 2021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4.60% senior notes</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EE1167">
            <w:pPr>
              <w:spacing w:after="100"/>
              <w:jc w:val="right"/>
              <w:rPr>
                <w:rFonts w:eastAsia="Times New Roman"/>
              </w:rPr>
            </w:pPr>
          </w:p>
        </w:tc>
      </w:tr>
    </w:tbl>
    <w:p w:rsidR="00000000" w:rsidRDefault="00EE1167">
      <w:pPr>
        <w:divId w:val="1835804494"/>
        <w:rPr>
          <w:rFonts w:eastAsia="Times New Roman"/>
        </w:rPr>
      </w:pPr>
    </w:p>
    <w:p w:rsidR="00000000" w:rsidRDefault="00EE1167">
      <w:pPr>
        <w:divId w:val="1702588206"/>
        <w:rPr>
          <w:rFonts w:eastAsia="Times New Roman"/>
        </w:rPr>
      </w:pPr>
      <w:r>
        <w:rPr>
          <w:rFonts w:ascii="Arial" w:eastAsia="Times New Roman" w:hAnsi="Arial" w:cs="Arial"/>
          <w:b/>
          <w:bCs/>
          <w:color w:val="000000"/>
          <w:sz w:val="20"/>
          <w:szCs w:val="20"/>
        </w:rPr>
        <w:t>SUBORDINATED TERM NOTES</w:t>
      </w:r>
    </w:p>
    <w:p w:rsidR="00000000" w:rsidRDefault="00EE1167">
      <w:pPr>
        <w:divId w:val="1781680647"/>
        <w:rPr>
          <w:rFonts w:eastAsia="Times New Roman"/>
        </w:rPr>
      </w:pPr>
      <w:r>
        <w:rPr>
          <w:rFonts w:ascii="Arial" w:eastAsia="Times New Roman" w:hAnsi="Arial" w:cs="Arial"/>
          <w:color w:val="000000"/>
          <w:sz w:val="20"/>
          <w:szCs w:val="20"/>
        </w:rPr>
        <w:t>As at September 30, 2021 and December </w:t>
      </w:r>
      <w:r>
        <w:rPr>
          <w:rFonts w:ascii="Arial" w:eastAsia="Times New Roman" w:hAnsi="Arial" w:cs="Arial"/>
          <w:color w:val="000000"/>
          <w:sz w:val="20"/>
          <w:szCs w:val="20"/>
        </w:rPr>
        <w:t>31, 2020, our fixed-to-floating rate and fixed-to-fixed rate subordinated term notes had a principal value of $7.7 billion and $7.8 billion, respectively.</w:t>
      </w:r>
    </w:p>
    <w:p w:rsidR="00000000" w:rsidRDefault="00EE1167">
      <w:pPr>
        <w:divId w:val="329019276"/>
        <w:rPr>
          <w:rFonts w:eastAsia="Times New Roman"/>
        </w:rPr>
      </w:pPr>
    </w:p>
    <w:p w:rsidR="00000000" w:rsidRDefault="00EE1167">
      <w:pPr>
        <w:divId w:val="68844556"/>
        <w:rPr>
          <w:rFonts w:eastAsia="Times New Roman"/>
        </w:rPr>
      </w:pPr>
      <w:r>
        <w:rPr>
          <w:rFonts w:ascii="Arial" w:eastAsia="Times New Roman" w:hAnsi="Arial" w:cs="Arial"/>
          <w:b/>
          <w:bCs/>
          <w:color w:val="000000"/>
          <w:sz w:val="20"/>
          <w:szCs w:val="20"/>
        </w:rPr>
        <w:t>FAIR VALUE ADJUSTMENT</w:t>
      </w:r>
    </w:p>
    <w:p w:rsidR="00000000" w:rsidRDefault="00EE1167">
      <w:pPr>
        <w:divId w:val="107163328"/>
        <w:rPr>
          <w:rFonts w:eastAsia="Times New Roman"/>
        </w:rPr>
      </w:pPr>
      <w:r>
        <w:rPr>
          <w:rFonts w:ascii="Arial" w:eastAsia="Times New Roman" w:hAnsi="Arial" w:cs="Arial"/>
          <w:color w:val="000000"/>
          <w:sz w:val="20"/>
          <w:szCs w:val="20"/>
        </w:rPr>
        <w:t>As at September 30, 2021 and December 31, 2020, the net fair value adjustment</w:t>
      </w:r>
      <w:r>
        <w:rPr>
          <w:rFonts w:ascii="Arial" w:eastAsia="Times New Roman" w:hAnsi="Arial" w:cs="Arial"/>
          <w:color w:val="000000"/>
          <w:sz w:val="20"/>
          <w:szCs w:val="20"/>
        </w:rPr>
        <w:t>s to total debt assumed in a historical acquisition were $687 million and $750 million, respectively. During the three months ended September 30, 2021 and 2020, amortization of the fair value adjustment recorded as a reduction to Interest expense in the Co</w:t>
      </w:r>
      <w:r>
        <w:rPr>
          <w:rFonts w:ascii="Arial" w:eastAsia="Times New Roman" w:hAnsi="Arial" w:cs="Arial"/>
          <w:color w:val="000000"/>
          <w:sz w:val="20"/>
          <w:szCs w:val="20"/>
        </w:rPr>
        <w:t xml:space="preserve">nsolidated Statements of Earnings was $11 million and $13 million, respectively. During the nine months ended September 30, 2021 and 2020, amortization of the fair value adjustment recorded as a reduction to Interest expense in the Consolidated Statements </w:t>
      </w:r>
      <w:r>
        <w:rPr>
          <w:rFonts w:ascii="Arial" w:eastAsia="Times New Roman" w:hAnsi="Arial" w:cs="Arial"/>
          <w:color w:val="000000"/>
          <w:sz w:val="20"/>
          <w:szCs w:val="20"/>
        </w:rPr>
        <w:t>of Earnings was $36 million and $42 million, respectively.</w:t>
      </w:r>
    </w:p>
    <w:p w:rsidR="00000000" w:rsidRDefault="00EE1167">
      <w:pPr>
        <w:divId w:val="154299946"/>
        <w:rPr>
          <w:rFonts w:eastAsia="Times New Roman"/>
        </w:rPr>
      </w:pPr>
    </w:p>
    <w:p w:rsidR="00000000" w:rsidRDefault="00EE1167">
      <w:pPr>
        <w:divId w:val="1974600078"/>
        <w:rPr>
          <w:rFonts w:eastAsia="Times New Roman"/>
        </w:rPr>
      </w:pPr>
      <w:r>
        <w:rPr>
          <w:rFonts w:ascii="Arial" w:eastAsia="Times New Roman" w:hAnsi="Arial" w:cs="Arial"/>
          <w:b/>
          <w:bCs/>
          <w:color w:val="000000"/>
          <w:sz w:val="20"/>
          <w:szCs w:val="20"/>
        </w:rPr>
        <w:t>DEBT COVENANTS</w:t>
      </w:r>
    </w:p>
    <w:p w:rsidR="00000000" w:rsidRDefault="00EE1167">
      <w:pPr>
        <w:divId w:val="866218085"/>
        <w:rPr>
          <w:rFonts w:eastAsia="Times New Roman"/>
        </w:rPr>
      </w:pPr>
      <w:r>
        <w:rPr>
          <w:rFonts w:ascii="Arial" w:eastAsia="Times New Roman" w:hAnsi="Arial" w:cs="Arial"/>
          <w:color w:val="000000"/>
          <w:sz w:val="20"/>
          <w:szCs w:val="20"/>
        </w:rPr>
        <w:t>Our credit facility agreements and term debt indentures include standard events of default and covenant provisions whereby accelerated repayment and/or termination of the agreement</w:t>
      </w:r>
      <w:r>
        <w:rPr>
          <w:rFonts w:ascii="Arial" w:eastAsia="Times New Roman" w:hAnsi="Arial" w:cs="Arial"/>
          <w:color w:val="000000"/>
          <w:sz w:val="20"/>
          <w:szCs w:val="20"/>
        </w:rPr>
        <w:t>s may result if we were to default on payment or violate certain covenants. As at September 30, 2021, we were in compliance with all covenant provisions.</w:t>
      </w:r>
    </w:p>
    <w:p w:rsidR="00000000" w:rsidRDefault="00EE1167">
      <w:pPr>
        <w:divId w:val="182331539"/>
        <w:rPr>
          <w:rFonts w:eastAsia="Times New Roman"/>
        </w:rPr>
      </w:pPr>
    </w:p>
    <w:p w:rsidR="00000000" w:rsidRDefault="00EE1167">
      <w:pPr>
        <w:jc w:val="center"/>
        <w:divId w:val="329796895"/>
        <w:rPr>
          <w:rFonts w:eastAsia="Times New Roman"/>
        </w:rPr>
      </w:pPr>
      <w:r>
        <w:rPr>
          <w:rFonts w:ascii="Arial" w:eastAsia="Times New Roman" w:hAnsi="Arial" w:cs="Arial"/>
          <w:color w:val="000000"/>
          <w:sz w:val="20"/>
          <w:szCs w:val="20"/>
        </w:rPr>
        <w:t>22</w:t>
      </w:r>
    </w:p>
    <w:p w:rsidR="00000000" w:rsidRDefault="00EE1167">
      <w:pPr>
        <w:rPr>
          <w:rFonts w:eastAsia="Times New Roman"/>
        </w:rPr>
      </w:pPr>
      <w:r>
        <w:rPr>
          <w:rFonts w:eastAsia="Times New Roman"/>
        </w:rPr>
        <w:pict>
          <v:rect id="_x0000_i1047" style="width:0;height:1.5pt" o:hralign="center" o:hrstd="t" o:hr="t" fillcolor="#a0a0a0" stroked="f"/>
        </w:pict>
      </w:r>
    </w:p>
    <w:p w:rsidR="00000000" w:rsidRDefault="00EE1167">
      <w:pPr>
        <w:jc w:val="center"/>
        <w:divId w:val="1932080355"/>
        <w:rPr>
          <w:rFonts w:eastAsia="Times New Roman"/>
        </w:rPr>
      </w:pPr>
    </w:p>
    <w:p w:rsidR="00000000" w:rsidRDefault="00EE1167">
      <w:pPr>
        <w:ind w:hanging="720"/>
        <w:divId w:val="1961106762"/>
        <w:rPr>
          <w:rFonts w:eastAsia="Times New Roman"/>
        </w:rPr>
      </w:pPr>
      <w:r>
        <w:rPr>
          <w:rFonts w:ascii="Arial" w:eastAsia="Times New Roman" w:hAnsi="Arial" w:cs="Arial"/>
          <w:b/>
          <w:bCs/>
          <w:color w:val="000000"/>
          <w:sz w:val="26"/>
          <w:szCs w:val="26"/>
        </w:rPr>
        <w:t>7. COMPONENTS OF ACCUMULATED OTHER COMPREHENSIVE LOSS</w:t>
      </w:r>
    </w:p>
    <w:p w:rsidR="00000000" w:rsidRDefault="00EE1167">
      <w:pPr>
        <w:divId w:val="619604227"/>
        <w:rPr>
          <w:rFonts w:eastAsia="Times New Roman"/>
        </w:rPr>
      </w:pPr>
    </w:p>
    <w:p w:rsidR="00000000" w:rsidRDefault="00EE1167">
      <w:pPr>
        <w:divId w:val="823935908"/>
        <w:rPr>
          <w:rFonts w:eastAsia="Times New Roman"/>
        </w:rPr>
      </w:pPr>
      <w:r>
        <w:rPr>
          <w:rFonts w:ascii="Arial" w:eastAsia="Times New Roman" w:hAnsi="Arial" w:cs="Arial"/>
          <w:color w:val="000000"/>
          <w:sz w:val="20"/>
          <w:szCs w:val="20"/>
        </w:rPr>
        <w:t>Changes in Accumulated other comprehensive loss (AOCI) attributable to our common shareholders for the nine months ended September 30, 2021 and 2020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632"/>
        <w:gridCol w:w="38"/>
        <w:gridCol w:w="67"/>
        <w:gridCol w:w="601"/>
        <w:gridCol w:w="36"/>
        <w:gridCol w:w="86"/>
        <w:gridCol w:w="854"/>
        <w:gridCol w:w="36"/>
        <w:gridCol w:w="85"/>
        <w:gridCol w:w="730"/>
        <w:gridCol w:w="36"/>
        <w:gridCol w:w="84"/>
        <w:gridCol w:w="749"/>
        <w:gridCol w:w="36"/>
        <w:gridCol w:w="80"/>
        <w:gridCol w:w="638"/>
        <w:gridCol w:w="36"/>
        <w:gridCol w:w="84"/>
        <w:gridCol w:w="749"/>
        <w:gridCol w:w="36"/>
        <w:gridCol w:w="70"/>
        <w:gridCol w:w="458"/>
        <w:gridCol w:w="36"/>
      </w:tblGrid>
      <w:tr w:rsidR="00000000">
        <w:trPr>
          <w:divId w:val="606037760"/>
        </w:trPr>
        <w:tc>
          <w:tcPr>
            <w:tcW w:w="50" w:type="pct"/>
            <w:vAlign w:val="center"/>
            <w:hideMark/>
          </w:tcPr>
          <w:p w:rsidR="00000000" w:rsidRDefault="00EE1167">
            <w:pPr>
              <w:rPr>
                <w:rFonts w:eastAsia="Times New Roman"/>
              </w:rPr>
            </w:pPr>
          </w:p>
        </w:tc>
        <w:tc>
          <w:tcPr>
            <w:tcW w:w="160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3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60603776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 </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r>
            <w:r>
              <w:rPr>
                <w:rFonts w:ascii="Arial" w:eastAsia="Times New Roman" w:hAnsi="Arial" w:cs="Arial"/>
                <w:color w:val="000000"/>
                <w:sz w:val="16"/>
                <w:szCs w:val="16"/>
              </w:rP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w:t>
            </w:r>
          </w:p>
        </w:tc>
      </w:tr>
      <w:tr w:rsidR="00000000">
        <w:trPr>
          <w:divId w:val="60603776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 </w:t>
            </w: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as at January 1, 2021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(1,326)</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(1,401)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ind w:hanging="180"/>
              <w:divId w:val="427121108"/>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(340)</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(33)</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(74)</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divId w:val="866874109"/>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divId w:val="1908489807"/>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divId w:val="2092893380"/>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divId w:val="1695689596"/>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ind w:hanging="180"/>
              <w:divId w:val="946044554"/>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5</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520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(360)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166</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r>
      <w:tr w:rsidR="00000000">
        <w:trPr>
          <w:divId w:val="606037760"/>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(69)</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606037760"/>
        </w:trPr>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606037760"/>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606037760"/>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60603776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as at September 30, 2021</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(929)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(199)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208</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(483)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(1,360)</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662"/>
        <w:gridCol w:w="144"/>
        <w:gridCol w:w="144"/>
        <w:gridCol w:w="652"/>
        <w:gridCol w:w="144"/>
        <w:gridCol w:w="144"/>
        <w:gridCol w:w="825"/>
        <w:gridCol w:w="144"/>
        <w:gridCol w:w="144"/>
        <w:gridCol w:w="719"/>
        <w:gridCol w:w="144"/>
        <w:gridCol w:w="144"/>
        <w:gridCol w:w="745"/>
        <w:gridCol w:w="144"/>
        <w:gridCol w:w="144"/>
        <w:gridCol w:w="666"/>
        <w:gridCol w:w="144"/>
        <w:gridCol w:w="144"/>
        <w:gridCol w:w="745"/>
        <w:gridCol w:w="144"/>
        <w:gridCol w:w="144"/>
        <w:gridCol w:w="546"/>
        <w:gridCol w:w="144"/>
      </w:tblGrid>
      <w:tr w:rsidR="00000000">
        <w:tc>
          <w:tcPr>
            <w:tcW w:w="50" w:type="pct"/>
            <w:vAlign w:val="center"/>
            <w:hideMark/>
          </w:tcPr>
          <w:p w:rsidR="00000000" w:rsidRDefault="00EE1167">
            <w:pPr>
              <w:rPr>
                <w:rFonts w:eastAsia="Times New Roman"/>
              </w:rPr>
            </w:pPr>
          </w:p>
        </w:tc>
        <w:tc>
          <w:tcPr>
            <w:tcW w:w="160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3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0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4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Cash</w:t>
            </w:r>
            <w:r>
              <w:rPr>
                <w:rFonts w:ascii="Arial" w:eastAsia="Times New Roman" w:hAnsi="Arial" w:cs="Arial"/>
                <w:color w:val="000000"/>
                <w:sz w:val="16"/>
                <w:szCs w:val="16"/>
              </w:rPr>
              <w:br/>
              <w:t>Flow </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Excluded</w:t>
            </w:r>
            <w:r>
              <w:rPr>
                <w:rFonts w:ascii="Arial" w:eastAsia="Times New Roman" w:hAnsi="Arial" w:cs="Arial"/>
                <w:color w:val="000000"/>
                <w:sz w:val="16"/>
                <w:szCs w:val="16"/>
              </w:rPr>
              <w:br/>
              <w:t>Components</w:t>
            </w:r>
            <w:r>
              <w:rPr>
                <w:rFonts w:ascii="Arial" w:eastAsia="Times New Roman" w:hAnsi="Arial" w:cs="Arial"/>
                <w:color w:val="000000"/>
                <w:sz w:val="16"/>
                <w:szCs w:val="16"/>
              </w:rPr>
              <w:br/>
              <w:t>of Fair Value</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r>
            <w:r>
              <w:rPr>
                <w:rFonts w:ascii="Arial" w:eastAsia="Times New Roman" w:hAnsi="Arial" w:cs="Arial"/>
                <w:color w:val="000000"/>
                <w:sz w:val="16"/>
                <w:szCs w:val="16"/>
              </w:rP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Pension</w:t>
            </w:r>
            <w:r>
              <w:rPr>
                <w:rFonts w:ascii="Arial" w:eastAsia="Times New Roman" w:hAnsi="Arial" w:cs="Arial"/>
                <w:color w:val="000000"/>
                <w:sz w:val="16"/>
                <w:szCs w:val="16"/>
              </w:rPr>
              <w:br/>
              <w:t>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as at January 1, 2020</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(1,073)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1,396 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(345)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(272)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ind w:hanging="180"/>
              <w:divId w:val="232128933"/>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(696)</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(228)</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1,760 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851 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c>
          <w:tcPr>
            <w:tcW w:w="0" w:type="auto"/>
            <w:gridSpan w:val="3"/>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Other comprehensive loss/(income) reclassified to earnings</w:t>
            </w:r>
          </w:p>
        </w:tc>
        <w:tc>
          <w:tcPr>
            <w:tcW w:w="0" w:type="auto"/>
            <w:gridSpan w:val="3"/>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divId w:val="324632449"/>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179 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divId w:val="823157821"/>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divId w:val="28195940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divId w:val="919951263"/>
              <w:rPr>
                <w:rFonts w:eastAsia="Times New Roman"/>
              </w:rPr>
            </w:pPr>
            <w:r>
              <w:rPr>
                <w:rFonts w:ascii="Arial" w:eastAsia="Times New Roman" w:hAnsi="Arial" w:cs="Arial"/>
                <w:color w:val="000000"/>
                <w:sz w:val="16"/>
                <w:szCs w:val="16"/>
              </w:rPr>
              <w:t> Other contract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ind w:hanging="180"/>
              <w:divId w:val="461727646"/>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5</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13 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(516)</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(228)</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1,760 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1,044 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167 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172 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c>
          <w:tcPr>
            <w:tcW w:w="0" w:type="auto"/>
            <w:gridSpan w:val="3"/>
            <w:tcMar>
              <w:top w:w="30" w:type="dxa"/>
              <w:left w:w="38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(45)</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125 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127 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Balance as at September 30, 2020</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(1,464)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(538)</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3,156 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(335)</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899 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423797184"/>
        <w:rPr>
          <w:rFonts w:eastAsia="Times New Roman"/>
        </w:rPr>
      </w:pPr>
      <w:r>
        <w:rPr>
          <w:rFonts w:ascii="Arial" w:eastAsia="Times New Roman" w:hAnsi="Arial" w:cs="Arial"/>
          <w:color w:val="000000"/>
          <w:sz w:val="2"/>
          <w:szCs w:val="2"/>
        </w:rPr>
        <w:t> </w:t>
      </w:r>
    </w:p>
    <w:p w:rsidR="00000000" w:rsidRDefault="00EE1167">
      <w:pPr>
        <w:divId w:val="1074358062"/>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EE1167">
      <w:pPr>
        <w:ind w:hanging="180"/>
        <w:divId w:val="2042431566"/>
        <w:rPr>
          <w:rFonts w:eastAsia="Times New Roman"/>
        </w:rPr>
      </w:pPr>
      <w:r>
        <w:rPr>
          <w:rFonts w:ascii="Arial" w:eastAsia="Times New Roman" w:hAnsi="Arial" w:cs="Arial"/>
          <w:i/>
          <w:iCs/>
          <w:color w:val="000000"/>
          <w:sz w:val="16"/>
          <w:szCs w:val="16"/>
        </w:rPr>
        <w:t>2 Reported within Transpor</w:t>
      </w:r>
      <w:r>
        <w:rPr>
          <w:rFonts w:ascii="Arial" w:eastAsia="Times New Roman" w:hAnsi="Arial" w:cs="Arial"/>
          <w:i/>
          <w:iCs/>
          <w:color w:val="000000"/>
          <w:sz w:val="16"/>
          <w:szCs w:val="16"/>
        </w:rPr>
        <w:t>tation and other services revenues, Commodity sales revenue, Commodity costs and Operating and administrative expense in the Consolidated Statements of Earnings.</w:t>
      </w:r>
    </w:p>
    <w:p w:rsidR="00000000" w:rsidRDefault="00EE1167">
      <w:pPr>
        <w:ind w:hanging="180"/>
        <w:divId w:val="592127650"/>
        <w:rPr>
          <w:rFonts w:eastAsia="Times New Roman"/>
        </w:rPr>
      </w:pPr>
      <w:r>
        <w:rPr>
          <w:rFonts w:ascii="Arial" w:eastAsia="Times New Roman" w:hAnsi="Arial" w:cs="Arial"/>
          <w:i/>
          <w:iCs/>
          <w:color w:val="000000"/>
          <w:sz w:val="16"/>
          <w:szCs w:val="16"/>
        </w:rPr>
        <w:t xml:space="preserve">3 </w:t>
      </w:r>
      <w:r>
        <w:rPr>
          <w:rFonts w:ascii="Arial" w:eastAsia="Times New Roman" w:hAnsi="Arial" w:cs="Arial"/>
          <w:i/>
          <w:iCs/>
          <w:color w:val="000000"/>
          <w:sz w:val="16"/>
          <w:szCs w:val="16"/>
        </w:rPr>
        <w:t>Reported within Transportation and other services revenues and Net foreign currency gain/(loss) in the Consolidated Statements of Earnings.</w:t>
      </w:r>
    </w:p>
    <w:p w:rsidR="00000000" w:rsidRDefault="00EE1167">
      <w:pPr>
        <w:ind w:hanging="180"/>
        <w:divId w:val="426315485"/>
        <w:rPr>
          <w:rFonts w:eastAsia="Times New Roman"/>
        </w:rPr>
      </w:pPr>
      <w:r>
        <w:rPr>
          <w:rFonts w:ascii="Arial" w:eastAsia="Times New Roman" w:hAnsi="Arial" w:cs="Arial"/>
          <w:i/>
          <w:iCs/>
          <w:color w:val="000000"/>
          <w:sz w:val="16"/>
          <w:szCs w:val="16"/>
        </w:rPr>
        <w:t xml:space="preserve">4 </w:t>
      </w:r>
      <w:r>
        <w:rPr>
          <w:rFonts w:ascii="Arial" w:eastAsia="Times New Roman" w:hAnsi="Arial" w:cs="Arial"/>
          <w:i/>
          <w:iCs/>
          <w:color w:val="000000"/>
          <w:sz w:val="16"/>
          <w:szCs w:val="16"/>
        </w:rPr>
        <w:t>Reported within Operating and administrative expense in the Consolidated Statements of Earnings.</w:t>
      </w:r>
    </w:p>
    <w:p w:rsidR="00000000" w:rsidRDefault="00EE1167">
      <w:pPr>
        <w:ind w:hanging="180"/>
        <w:divId w:val="1224291020"/>
        <w:rPr>
          <w:rFonts w:eastAsia="Times New Roman"/>
        </w:rPr>
      </w:pPr>
      <w:r>
        <w:rPr>
          <w:rFonts w:ascii="Arial" w:eastAsia="Times New Roman" w:hAnsi="Arial" w:cs="Arial"/>
          <w:i/>
          <w:iCs/>
          <w:color w:val="000000"/>
          <w:sz w:val="16"/>
          <w:szCs w:val="16"/>
        </w:rPr>
        <w:t xml:space="preserve">5 These components are included in the computation of net periodic benefit costs and are reported within Other income/(expense) in the Consolidated Statements </w:t>
      </w:r>
      <w:r>
        <w:rPr>
          <w:rFonts w:ascii="Arial" w:eastAsia="Times New Roman" w:hAnsi="Arial" w:cs="Arial"/>
          <w:i/>
          <w:iCs/>
          <w:color w:val="000000"/>
          <w:sz w:val="16"/>
          <w:szCs w:val="16"/>
        </w:rPr>
        <w:t>of Earnings.</w:t>
      </w:r>
    </w:p>
    <w:p w:rsidR="00000000" w:rsidRDefault="00EE1167">
      <w:pPr>
        <w:divId w:val="1527596697"/>
        <w:rPr>
          <w:rFonts w:eastAsia="Times New Roman"/>
        </w:rPr>
      </w:pPr>
    </w:p>
    <w:p w:rsidR="00000000" w:rsidRDefault="00EE1167">
      <w:pPr>
        <w:jc w:val="center"/>
        <w:divId w:val="1758481677"/>
        <w:rPr>
          <w:rFonts w:eastAsia="Times New Roman"/>
        </w:rPr>
      </w:pPr>
      <w:r>
        <w:rPr>
          <w:rFonts w:ascii="Arial" w:eastAsia="Times New Roman" w:hAnsi="Arial" w:cs="Arial"/>
          <w:color w:val="000000"/>
          <w:sz w:val="20"/>
          <w:szCs w:val="20"/>
        </w:rPr>
        <w:t>23</w:t>
      </w:r>
    </w:p>
    <w:p w:rsidR="00000000" w:rsidRDefault="00EE1167">
      <w:pPr>
        <w:rPr>
          <w:rFonts w:eastAsia="Times New Roman"/>
        </w:rPr>
      </w:pPr>
      <w:r>
        <w:rPr>
          <w:rFonts w:eastAsia="Times New Roman"/>
        </w:rPr>
        <w:pict>
          <v:rect id="_x0000_i1048" style="width:0;height:1.5pt" o:hralign="center" o:hrstd="t" o:hr="t" fillcolor="#a0a0a0" stroked="f"/>
        </w:pict>
      </w:r>
    </w:p>
    <w:p w:rsidR="00000000" w:rsidRDefault="00EE1167">
      <w:pPr>
        <w:jc w:val="center"/>
        <w:divId w:val="1870146280"/>
        <w:rPr>
          <w:rFonts w:eastAsia="Times New Roman"/>
        </w:rPr>
      </w:pPr>
    </w:p>
    <w:p w:rsidR="00000000" w:rsidRDefault="00EE1167">
      <w:pPr>
        <w:divId w:val="692848428"/>
        <w:rPr>
          <w:rFonts w:eastAsia="Times New Roman"/>
        </w:rPr>
      </w:pPr>
      <w:r>
        <w:rPr>
          <w:rFonts w:ascii="Arial" w:eastAsia="Times New Roman" w:hAnsi="Arial" w:cs="Arial"/>
          <w:b/>
          <w:bCs/>
          <w:color w:val="000000"/>
          <w:sz w:val="26"/>
          <w:szCs w:val="26"/>
        </w:rPr>
        <w:t xml:space="preserve">8. IMPAIRMENT OF EQUITY INVESTMENTS </w:t>
      </w:r>
    </w:p>
    <w:p w:rsidR="00000000" w:rsidRDefault="00EE1167">
      <w:pPr>
        <w:divId w:val="854611869"/>
        <w:rPr>
          <w:rFonts w:eastAsia="Times New Roman"/>
        </w:rPr>
      </w:pPr>
    </w:p>
    <w:p w:rsidR="00000000" w:rsidRDefault="00EE1167">
      <w:pPr>
        <w:divId w:val="1464926486"/>
        <w:rPr>
          <w:rFonts w:eastAsia="Times New Roman"/>
        </w:rPr>
      </w:pPr>
      <w:r>
        <w:rPr>
          <w:rFonts w:ascii="Arial" w:eastAsia="Times New Roman" w:hAnsi="Arial" w:cs="Arial"/>
          <w:b/>
          <w:bCs/>
          <w:color w:val="000000"/>
          <w:sz w:val="20"/>
          <w:szCs w:val="20"/>
        </w:rPr>
        <w:t>PennEast Pipeline Company, L.L.C.</w:t>
      </w:r>
    </w:p>
    <w:p w:rsidR="00000000" w:rsidRDefault="00EE1167">
      <w:pPr>
        <w:divId w:val="673260654"/>
        <w:rPr>
          <w:rFonts w:eastAsia="Times New Roman"/>
        </w:rPr>
      </w:pPr>
      <w:r>
        <w:rPr>
          <w:rFonts w:ascii="Arial" w:eastAsia="Times New Roman" w:hAnsi="Arial" w:cs="Arial"/>
          <w:color w:val="000000"/>
          <w:sz w:val="20"/>
          <w:szCs w:val="20"/>
        </w:rPr>
        <w:t xml:space="preserve">PennEast Pipeline Company, L.L.C. (PennEast) is a joint venture formed to develop a natural gas transmission pipeline to serve </w:t>
      </w:r>
      <w:r>
        <w:rPr>
          <w:rFonts w:ascii="Arial" w:eastAsia="Times New Roman" w:hAnsi="Arial" w:cs="Arial"/>
          <w:color w:val="000000"/>
          <w:sz w:val="20"/>
          <w:szCs w:val="20"/>
        </w:rPr>
        <w:t>local distribution companies and power generators in Southeastern Pennsylvania and New Jersey, is owned 20% by Enbridge, and is recorded as an equity method investment. During the three months ended September 30, 2021, PennEast determined further developme</w:t>
      </w:r>
      <w:r>
        <w:rPr>
          <w:rFonts w:ascii="Arial" w:eastAsia="Times New Roman" w:hAnsi="Arial" w:cs="Arial"/>
          <w:color w:val="000000"/>
          <w:sz w:val="20"/>
          <w:szCs w:val="20"/>
        </w:rPr>
        <w:t>nt of the project was no longer viable and further development of the project has ceased. As a result, we recorded an other than temporary impairment loss of $111 million on our investment for the three and nine months ended September 30, 2021 based on the</w:t>
      </w:r>
      <w:r>
        <w:rPr>
          <w:rFonts w:ascii="Arial" w:eastAsia="Times New Roman" w:hAnsi="Arial" w:cs="Arial"/>
          <w:color w:val="000000"/>
          <w:sz w:val="20"/>
          <w:szCs w:val="20"/>
        </w:rPr>
        <w:t xml:space="preserve"> estimated fair value of our share of the net assets. The carrying value of this investment as at September 30, 2021 and December 31, 2020 was $11 million and $116 million, respectively.</w:t>
      </w:r>
    </w:p>
    <w:p w:rsidR="00000000" w:rsidRDefault="00EE1167">
      <w:pPr>
        <w:divId w:val="807165709"/>
        <w:rPr>
          <w:rFonts w:eastAsia="Times New Roman"/>
        </w:rPr>
      </w:pPr>
    </w:p>
    <w:p w:rsidR="00000000" w:rsidRDefault="00EE1167">
      <w:pPr>
        <w:divId w:val="268238914"/>
        <w:rPr>
          <w:rFonts w:eastAsia="Times New Roman"/>
        </w:rPr>
      </w:pPr>
      <w:r>
        <w:rPr>
          <w:rFonts w:ascii="Arial" w:eastAsia="Times New Roman" w:hAnsi="Arial" w:cs="Arial"/>
          <w:b/>
          <w:bCs/>
          <w:color w:val="000000"/>
          <w:sz w:val="20"/>
          <w:szCs w:val="20"/>
        </w:rPr>
        <w:t>Steckman Ridge, LP</w:t>
      </w:r>
    </w:p>
    <w:p w:rsidR="00000000" w:rsidRDefault="00EE1167">
      <w:pPr>
        <w:divId w:val="1955596999"/>
        <w:rPr>
          <w:rFonts w:eastAsia="Times New Roman"/>
        </w:rPr>
      </w:pPr>
      <w:r>
        <w:rPr>
          <w:rFonts w:ascii="Arial" w:eastAsia="Times New Roman" w:hAnsi="Arial" w:cs="Arial"/>
          <w:color w:val="000000"/>
          <w:sz w:val="20"/>
          <w:szCs w:val="20"/>
        </w:rPr>
        <w:t xml:space="preserve">Steckman Ridge, LP (Steckman) is engaged in the </w:t>
      </w:r>
      <w:r>
        <w:rPr>
          <w:rFonts w:ascii="Arial" w:eastAsia="Times New Roman" w:hAnsi="Arial" w:cs="Arial"/>
          <w:color w:val="000000"/>
          <w:sz w:val="20"/>
          <w:szCs w:val="20"/>
        </w:rPr>
        <w:t>storage of natural gas, is owned 50% by Enbridge, and is recorded as an equity method investment. In the third quarter of 2020, Steckman’s forecasted performance was adjusted for the expectation that future available capacity will be re-contracted at lower</w:t>
      </w:r>
      <w:r>
        <w:rPr>
          <w:rFonts w:ascii="Arial" w:eastAsia="Times New Roman" w:hAnsi="Arial" w:cs="Arial"/>
          <w:color w:val="000000"/>
          <w:sz w:val="20"/>
          <w:szCs w:val="20"/>
        </w:rPr>
        <w:t xml:space="preserve"> than expected rates and an other than temporary impairment loss on our investment of $221 million for the three and nine months ended September 30, 2020 was recorded based on a discounted cash flow analysis. The carrying value of this investment as at Sep</w:t>
      </w:r>
      <w:r>
        <w:rPr>
          <w:rFonts w:ascii="Arial" w:eastAsia="Times New Roman" w:hAnsi="Arial" w:cs="Arial"/>
          <w:color w:val="000000"/>
          <w:sz w:val="20"/>
          <w:szCs w:val="20"/>
        </w:rPr>
        <w:t>tember 30, 2021 and December 31, 2020 was $88 million and $90 million, respectively.</w:t>
      </w:r>
    </w:p>
    <w:p w:rsidR="00000000" w:rsidRDefault="00EE1167">
      <w:pPr>
        <w:divId w:val="2122455285"/>
        <w:rPr>
          <w:rFonts w:eastAsia="Times New Roman"/>
        </w:rPr>
      </w:pPr>
    </w:p>
    <w:p w:rsidR="00000000" w:rsidRDefault="00EE1167">
      <w:pPr>
        <w:divId w:val="279801369"/>
        <w:rPr>
          <w:rFonts w:eastAsia="Times New Roman"/>
        </w:rPr>
      </w:pPr>
      <w:r>
        <w:rPr>
          <w:rFonts w:ascii="Arial" w:eastAsia="Times New Roman" w:hAnsi="Arial" w:cs="Arial"/>
          <w:b/>
          <w:bCs/>
          <w:color w:val="000000"/>
          <w:sz w:val="20"/>
          <w:szCs w:val="20"/>
        </w:rPr>
        <w:t>Southeast Supply Header, L.L.C.</w:t>
      </w:r>
    </w:p>
    <w:p w:rsidR="00000000" w:rsidRDefault="00EE1167">
      <w:pPr>
        <w:divId w:val="1377854256"/>
        <w:rPr>
          <w:rFonts w:eastAsia="Times New Roman"/>
        </w:rPr>
      </w:pPr>
      <w:r>
        <w:rPr>
          <w:rFonts w:ascii="Arial" w:eastAsia="Times New Roman" w:hAnsi="Arial" w:cs="Arial"/>
          <w:color w:val="000000"/>
          <w:sz w:val="20"/>
          <w:szCs w:val="20"/>
        </w:rPr>
        <w:t>Southeast Supply Header, L.L.C. (SESH) provides natural gas transmission services from east Texas and northern Louisiana to the southeast</w:t>
      </w:r>
      <w:r>
        <w:rPr>
          <w:rFonts w:ascii="Arial" w:eastAsia="Times New Roman" w:hAnsi="Arial" w:cs="Arial"/>
          <w:color w:val="000000"/>
          <w:sz w:val="20"/>
          <w:szCs w:val="20"/>
        </w:rPr>
        <w:t xml:space="preserve"> markets of the Gulf Coast. SESH is owned 50% by Enbridge and is recorded as an equity method investment. In the third quarter of 2020, SESH's forecasted performance was revised to reflect downward revisions to future negotiated rates as well as higher tha</w:t>
      </w:r>
      <w:r>
        <w:rPr>
          <w:rFonts w:ascii="Arial" w:eastAsia="Times New Roman" w:hAnsi="Arial" w:cs="Arial"/>
          <w:color w:val="000000"/>
          <w:sz w:val="20"/>
          <w:szCs w:val="20"/>
        </w:rPr>
        <w:t>n expected available capacity levels, caused primarily by a significant contract expiry. An other than temporary impairment loss on our investment of $394 million for the three and nine months ended September 30, 2020 was recorded based on a discounted cas</w:t>
      </w:r>
      <w:r>
        <w:rPr>
          <w:rFonts w:ascii="Arial" w:eastAsia="Times New Roman" w:hAnsi="Arial" w:cs="Arial"/>
          <w:color w:val="000000"/>
          <w:sz w:val="20"/>
          <w:szCs w:val="20"/>
        </w:rPr>
        <w:t>h flow analysis. The carrying value of this investment as at September 30, 2021 and December 31, 2020 was $83 million and $84 million, respectively.</w:t>
      </w:r>
    </w:p>
    <w:p w:rsidR="00000000" w:rsidRDefault="00EE1167">
      <w:pPr>
        <w:divId w:val="1024750951"/>
        <w:rPr>
          <w:rFonts w:eastAsia="Times New Roman"/>
        </w:rPr>
      </w:pPr>
    </w:p>
    <w:p w:rsidR="00000000" w:rsidRDefault="00EE1167">
      <w:pPr>
        <w:divId w:val="573858207"/>
        <w:rPr>
          <w:rFonts w:eastAsia="Times New Roman"/>
        </w:rPr>
      </w:pPr>
      <w:r>
        <w:rPr>
          <w:rFonts w:ascii="Arial" w:eastAsia="Times New Roman" w:hAnsi="Arial" w:cs="Arial"/>
          <w:b/>
          <w:bCs/>
          <w:color w:val="000000"/>
          <w:sz w:val="20"/>
          <w:szCs w:val="20"/>
        </w:rPr>
        <w:t>DCP Midstream, LLC</w:t>
      </w:r>
    </w:p>
    <w:p w:rsidR="00000000" w:rsidRDefault="00EE1167">
      <w:pPr>
        <w:divId w:val="1012027649"/>
        <w:rPr>
          <w:rFonts w:eastAsia="Times New Roman"/>
        </w:rPr>
      </w:pPr>
      <w:r>
        <w:rPr>
          <w:rFonts w:ascii="Arial" w:eastAsia="Times New Roman" w:hAnsi="Arial" w:cs="Arial"/>
          <w:color w:val="000000"/>
          <w:sz w:val="20"/>
          <w:szCs w:val="20"/>
        </w:rPr>
        <w:t xml:space="preserve">DCP Midstream, LLC (DCP Midstream), a 50% owned equity method investment of Enbridge, </w:t>
      </w:r>
      <w:r>
        <w:rPr>
          <w:rFonts w:ascii="Arial" w:eastAsia="Times New Roman" w:hAnsi="Arial" w:cs="Arial"/>
          <w:color w:val="000000"/>
          <w:sz w:val="20"/>
          <w:szCs w:val="20"/>
        </w:rPr>
        <w:t>holds an equity interest in DCP Midstream, LP. A decline in the market price of DCP Midstream, LP’s publicly traded units during the first quarter of 2020 resulted in an other than temporary impairment loss on our investment in DCP Midstream of $1.7 billio</w:t>
      </w:r>
      <w:r>
        <w:rPr>
          <w:rFonts w:ascii="Arial" w:eastAsia="Times New Roman" w:hAnsi="Arial" w:cs="Arial"/>
          <w:color w:val="000000"/>
          <w:sz w:val="20"/>
          <w:szCs w:val="20"/>
        </w:rPr>
        <w:t>n for the nine months ended September 30, 2020. In addition, we incurred losses of $324 million through our equity earnings pick up in relation to asset and goodwill impairment losses recorded by DCP Midstream, LP during the nine months ended September 30,</w:t>
      </w:r>
      <w:r>
        <w:rPr>
          <w:rFonts w:ascii="Arial" w:eastAsia="Times New Roman" w:hAnsi="Arial" w:cs="Arial"/>
          <w:color w:val="000000"/>
          <w:sz w:val="20"/>
          <w:szCs w:val="20"/>
        </w:rPr>
        <w:t xml:space="preserve"> 2020. The carrying value of our investment in DCP Midstream as at September 30, 2021 and December 31, 2020 was $298 million and $331 million, respectively.</w:t>
      </w:r>
    </w:p>
    <w:p w:rsidR="00000000" w:rsidRDefault="00EE1167">
      <w:pPr>
        <w:divId w:val="929655218"/>
        <w:rPr>
          <w:rFonts w:eastAsia="Times New Roman"/>
        </w:rPr>
      </w:pPr>
    </w:p>
    <w:p w:rsidR="00000000" w:rsidRDefault="00EE1167">
      <w:pPr>
        <w:divId w:val="2122065180"/>
        <w:rPr>
          <w:rFonts w:eastAsia="Times New Roman"/>
        </w:rPr>
      </w:pPr>
      <w:r>
        <w:rPr>
          <w:rFonts w:ascii="Arial" w:eastAsia="Times New Roman" w:hAnsi="Arial" w:cs="Arial"/>
          <w:color w:val="000000"/>
          <w:sz w:val="20"/>
          <w:szCs w:val="20"/>
        </w:rPr>
        <w:t xml:space="preserve">Our investments in PennEast, Steckman, SESH, and DCP Midstream form part of our Gas Transmission </w:t>
      </w:r>
      <w:r>
        <w:rPr>
          <w:rFonts w:ascii="Arial" w:eastAsia="Times New Roman" w:hAnsi="Arial" w:cs="Arial"/>
          <w:color w:val="000000"/>
          <w:sz w:val="20"/>
          <w:szCs w:val="20"/>
        </w:rPr>
        <w:t>and Midstream segment. The impairment losses were recorded within Impairment of equity investments in the Consolidated Statements of Earnings.</w:t>
      </w:r>
    </w:p>
    <w:p w:rsidR="00000000" w:rsidRDefault="00EE1167">
      <w:pPr>
        <w:divId w:val="767235792"/>
        <w:rPr>
          <w:rFonts w:eastAsia="Times New Roman"/>
        </w:rPr>
      </w:pPr>
    </w:p>
    <w:p w:rsidR="00000000" w:rsidRDefault="00EE1167">
      <w:pPr>
        <w:divId w:val="969674104"/>
        <w:rPr>
          <w:rFonts w:eastAsia="Times New Roman"/>
        </w:rPr>
      </w:pPr>
      <w:r>
        <w:rPr>
          <w:rFonts w:ascii="Arial" w:eastAsia="Times New Roman" w:hAnsi="Arial" w:cs="Arial"/>
          <w:b/>
          <w:bCs/>
          <w:color w:val="000000"/>
          <w:sz w:val="26"/>
          <w:szCs w:val="26"/>
        </w:rPr>
        <w:t>9. RISK MANAGEMENT AND FINANCIAL INSTRUMENTS</w:t>
      </w:r>
    </w:p>
    <w:p w:rsidR="00000000" w:rsidRDefault="00EE1167">
      <w:pPr>
        <w:divId w:val="1301036490"/>
        <w:rPr>
          <w:rFonts w:eastAsia="Times New Roman"/>
        </w:rPr>
      </w:pPr>
    </w:p>
    <w:p w:rsidR="00000000" w:rsidRDefault="00EE1167">
      <w:pPr>
        <w:divId w:val="231156493"/>
        <w:rPr>
          <w:rFonts w:eastAsia="Times New Roman"/>
        </w:rPr>
      </w:pPr>
      <w:r>
        <w:rPr>
          <w:rFonts w:ascii="Arial" w:eastAsia="Times New Roman" w:hAnsi="Arial" w:cs="Arial"/>
          <w:b/>
          <w:bCs/>
          <w:color w:val="000000"/>
          <w:sz w:val="20"/>
          <w:szCs w:val="20"/>
        </w:rPr>
        <w:t>MARKET RISK</w:t>
      </w:r>
    </w:p>
    <w:p w:rsidR="00000000" w:rsidRDefault="00EE1167">
      <w:pPr>
        <w:divId w:val="490099509"/>
        <w:rPr>
          <w:rFonts w:eastAsia="Times New Roman"/>
        </w:rPr>
      </w:pPr>
      <w:r>
        <w:rPr>
          <w:rFonts w:ascii="Arial" w:eastAsia="Times New Roman" w:hAnsi="Arial" w:cs="Arial"/>
          <w:color w:val="000000"/>
          <w:sz w:val="20"/>
          <w:szCs w:val="20"/>
        </w:rPr>
        <w:t>Our earnings, cash flows and other comprehensive inc</w:t>
      </w:r>
      <w:r>
        <w:rPr>
          <w:rFonts w:ascii="Arial" w:eastAsia="Times New Roman" w:hAnsi="Arial" w:cs="Arial"/>
          <w:color w:val="000000"/>
          <w:sz w:val="20"/>
          <w:szCs w:val="20"/>
        </w:rPr>
        <w:t>ome/(loss) (OCI) are subject to movements in foreign exchange rates, interest rates, commodity prices and our share price (collectively, market risks). Formal risk management policies, processes and systems have been designed to mitigate these risks.</w:t>
      </w:r>
    </w:p>
    <w:p w:rsidR="00000000" w:rsidRDefault="00EE1167">
      <w:pPr>
        <w:divId w:val="969558311"/>
        <w:rPr>
          <w:rFonts w:eastAsia="Times New Roman"/>
        </w:rPr>
      </w:pPr>
    </w:p>
    <w:p w:rsidR="00000000" w:rsidRDefault="00EE1167">
      <w:pPr>
        <w:jc w:val="center"/>
        <w:divId w:val="2102950447"/>
        <w:rPr>
          <w:rFonts w:eastAsia="Times New Roman"/>
        </w:rPr>
      </w:pPr>
      <w:r>
        <w:rPr>
          <w:rFonts w:ascii="Arial" w:eastAsia="Times New Roman" w:hAnsi="Arial" w:cs="Arial"/>
          <w:color w:val="000000"/>
          <w:sz w:val="20"/>
          <w:szCs w:val="20"/>
        </w:rPr>
        <w:t>24</w:t>
      </w:r>
    </w:p>
    <w:p w:rsidR="00000000" w:rsidRDefault="00EE1167">
      <w:pPr>
        <w:rPr>
          <w:rFonts w:eastAsia="Times New Roman"/>
        </w:rPr>
      </w:pPr>
      <w:r>
        <w:rPr>
          <w:rFonts w:eastAsia="Times New Roman"/>
        </w:rPr>
        <w:pict>
          <v:rect id="_x0000_i1049" style="width:0;height:1.5pt" o:hralign="center" o:hrstd="t" o:hr="t" fillcolor="#a0a0a0" stroked="f"/>
        </w:pict>
      </w:r>
    </w:p>
    <w:p w:rsidR="00000000" w:rsidRDefault="00EE1167">
      <w:pPr>
        <w:jc w:val="center"/>
        <w:divId w:val="1449273926"/>
        <w:rPr>
          <w:rFonts w:eastAsia="Times New Roman"/>
        </w:rPr>
      </w:pPr>
    </w:p>
    <w:p w:rsidR="00000000" w:rsidRDefault="00EE1167">
      <w:pPr>
        <w:divId w:val="1623341856"/>
        <w:rPr>
          <w:rFonts w:eastAsia="Times New Roman"/>
        </w:rPr>
      </w:pPr>
      <w:r>
        <w:rPr>
          <w:rFonts w:ascii="Arial" w:eastAsia="Times New Roman" w:hAnsi="Arial" w:cs="Arial"/>
          <w:color w:val="000000"/>
          <w:sz w:val="20"/>
          <w:szCs w:val="20"/>
        </w:rPr>
        <w:t>The following summarizes the types of market risks to which we are exposed and the risk management instruments used to mitigate them. We use a combination of qualifying and non-qualifying derivative instruments to mana</w:t>
      </w:r>
      <w:r>
        <w:rPr>
          <w:rFonts w:ascii="Arial" w:eastAsia="Times New Roman" w:hAnsi="Arial" w:cs="Arial"/>
          <w:color w:val="000000"/>
          <w:sz w:val="20"/>
          <w:szCs w:val="20"/>
        </w:rPr>
        <w:t>ge the risks noted below.</w:t>
      </w:r>
    </w:p>
    <w:p w:rsidR="00000000" w:rsidRDefault="00EE1167">
      <w:pPr>
        <w:divId w:val="1445035231"/>
        <w:rPr>
          <w:rFonts w:eastAsia="Times New Roman"/>
        </w:rPr>
      </w:pPr>
    </w:p>
    <w:p w:rsidR="00000000" w:rsidRDefault="00EE1167">
      <w:pPr>
        <w:divId w:val="322591474"/>
        <w:rPr>
          <w:rFonts w:eastAsia="Times New Roman"/>
        </w:rPr>
      </w:pPr>
      <w:r>
        <w:rPr>
          <w:rFonts w:ascii="Arial" w:eastAsia="Times New Roman" w:hAnsi="Arial" w:cs="Arial"/>
          <w:b/>
          <w:bCs/>
          <w:color w:val="000000"/>
          <w:sz w:val="20"/>
          <w:szCs w:val="20"/>
        </w:rPr>
        <w:t>Foreign Exchange Risk</w:t>
      </w:r>
    </w:p>
    <w:p w:rsidR="00000000" w:rsidRDefault="00EE1167">
      <w:pPr>
        <w:divId w:val="349064682"/>
        <w:rPr>
          <w:rFonts w:eastAsia="Times New Roman"/>
        </w:rPr>
      </w:pPr>
      <w:r>
        <w:rPr>
          <w:rFonts w:ascii="Arial" w:eastAsia="Times New Roman" w:hAnsi="Arial" w:cs="Arial"/>
          <w:color w:val="000000"/>
          <w:sz w:val="20"/>
          <w:szCs w:val="20"/>
        </w:rPr>
        <w:t xml:space="preserve">We generate certain revenues, incur expenses, and hold a number of investments and subsidiaries that are denominated in currencies other than Canadian dollars. As a result, our earnings, cash flows and OCI </w:t>
      </w:r>
      <w:r>
        <w:rPr>
          <w:rFonts w:ascii="Arial" w:eastAsia="Times New Roman" w:hAnsi="Arial" w:cs="Arial"/>
          <w:color w:val="000000"/>
          <w:sz w:val="20"/>
          <w:szCs w:val="20"/>
        </w:rPr>
        <w:t>are exposed to fluctuations resulting from foreign exchange rate variability.</w:t>
      </w:r>
    </w:p>
    <w:p w:rsidR="00000000" w:rsidRDefault="00EE1167">
      <w:pPr>
        <w:divId w:val="855576061"/>
        <w:rPr>
          <w:rFonts w:eastAsia="Times New Roman"/>
        </w:rPr>
      </w:pPr>
    </w:p>
    <w:p w:rsidR="00000000" w:rsidRDefault="00EE1167">
      <w:pPr>
        <w:divId w:val="597562116"/>
        <w:rPr>
          <w:rFonts w:eastAsia="Times New Roman"/>
        </w:rPr>
      </w:pPr>
      <w:r>
        <w:rPr>
          <w:rFonts w:ascii="Arial" w:eastAsia="Times New Roman" w:hAnsi="Arial" w:cs="Arial"/>
          <w:color w:val="000000"/>
          <w:sz w:val="20"/>
          <w:szCs w:val="20"/>
        </w:rPr>
        <w:t>We employ financial derivative instruments to hedge foreign currency denominated earnings exposure. A combination of qualifying cash flow, fair value and non-qualifying derivat</w:t>
      </w:r>
      <w:r>
        <w:rPr>
          <w:rFonts w:ascii="Arial" w:eastAsia="Times New Roman" w:hAnsi="Arial" w:cs="Arial"/>
          <w:color w:val="000000"/>
          <w:sz w:val="20"/>
          <w:szCs w:val="20"/>
        </w:rPr>
        <w:t>ive instruments is used to hedge anticipated foreign currency denominated revenues and expenses, and to manage variability in cash flows. We hedge certain net investments in United States (US) dollar denominated investments and subsidiaries using foreign c</w:t>
      </w:r>
      <w:r>
        <w:rPr>
          <w:rFonts w:ascii="Arial" w:eastAsia="Times New Roman" w:hAnsi="Arial" w:cs="Arial"/>
          <w:color w:val="000000"/>
          <w:sz w:val="20"/>
          <w:szCs w:val="20"/>
        </w:rPr>
        <w:t>urrency derivatives and US dollar denominated debt.</w:t>
      </w:r>
    </w:p>
    <w:p w:rsidR="00000000" w:rsidRDefault="00EE1167">
      <w:pPr>
        <w:divId w:val="120347509"/>
        <w:rPr>
          <w:rFonts w:eastAsia="Times New Roman"/>
        </w:rPr>
      </w:pPr>
    </w:p>
    <w:p w:rsidR="00000000" w:rsidRDefault="00EE1167">
      <w:pPr>
        <w:divId w:val="1150442111"/>
        <w:rPr>
          <w:rFonts w:eastAsia="Times New Roman"/>
        </w:rPr>
      </w:pPr>
      <w:r>
        <w:rPr>
          <w:rFonts w:ascii="Arial" w:eastAsia="Times New Roman" w:hAnsi="Arial" w:cs="Arial"/>
          <w:b/>
          <w:bCs/>
          <w:color w:val="000000"/>
          <w:sz w:val="20"/>
          <w:szCs w:val="20"/>
        </w:rPr>
        <w:t>Interest Rate Risk</w:t>
      </w:r>
    </w:p>
    <w:p w:rsidR="00000000" w:rsidRDefault="00EE1167">
      <w:pPr>
        <w:divId w:val="1776366170"/>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rate debt, primarily commercial paper. We monitor our debt</w:t>
      </w:r>
      <w:r>
        <w:rPr>
          <w:rFonts w:ascii="Arial" w:eastAsia="Times New Roman" w:hAnsi="Arial" w:cs="Arial"/>
          <w:color w:val="000000"/>
          <w:sz w:val="20"/>
          <w:szCs w:val="20"/>
        </w:rPr>
        <w:t xml:space="preserve"> portfolio mix of fixed and variable rate debt instruments to manage a consolidated portfolio of floating rate debt within the Board of Directors approved policy limit of a maximum of 30% of floating rate debt as a percentage of total debt outstanding. We </w:t>
      </w:r>
      <w:r>
        <w:rPr>
          <w:rFonts w:ascii="Arial" w:eastAsia="Times New Roman" w:hAnsi="Arial" w:cs="Arial"/>
          <w:color w:val="000000"/>
          <w:sz w:val="20"/>
          <w:szCs w:val="20"/>
        </w:rPr>
        <w:t xml:space="preserve">primarily use qualifying derivative instruments to manage interest rate risk. Pay fixed-receive floating interest rate swaps may be used to hedge against the effect of future interest rate movements. We have implemented a program to significantly mitigate </w:t>
      </w:r>
      <w:r>
        <w:rPr>
          <w:rFonts w:ascii="Arial" w:eastAsia="Times New Roman" w:hAnsi="Arial" w:cs="Arial"/>
          <w:color w:val="000000"/>
          <w:sz w:val="20"/>
          <w:szCs w:val="20"/>
        </w:rPr>
        <w:t>the impact of short-term interest rate volatility on interest expense via execution of floating to fixed interest rate swaps with an average swap rate of 3.2%.</w:t>
      </w:r>
    </w:p>
    <w:p w:rsidR="00000000" w:rsidRDefault="00EE1167">
      <w:pPr>
        <w:divId w:val="1267691586"/>
        <w:rPr>
          <w:rFonts w:eastAsia="Times New Roman"/>
        </w:rPr>
      </w:pPr>
    </w:p>
    <w:p w:rsidR="00000000" w:rsidRDefault="00EE1167">
      <w:pPr>
        <w:divId w:val="1256400881"/>
        <w:rPr>
          <w:rFonts w:eastAsia="Times New Roman"/>
        </w:rPr>
      </w:pPr>
      <w:r>
        <w:rPr>
          <w:rFonts w:ascii="Arial" w:eastAsia="Times New Roman" w:hAnsi="Arial" w:cs="Arial"/>
          <w:color w:val="000000"/>
          <w:sz w:val="20"/>
          <w:szCs w:val="20"/>
        </w:rPr>
        <w:t>We are exposed to changes in the fair value of fixed rate debt that arise as a result of the c</w:t>
      </w:r>
      <w:r>
        <w:rPr>
          <w:rFonts w:ascii="Arial" w:eastAsia="Times New Roman" w:hAnsi="Arial" w:cs="Arial"/>
          <w:color w:val="000000"/>
          <w:sz w:val="20"/>
          <w:szCs w:val="20"/>
        </w:rPr>
        <w:t xml:space="preserve">hanges in market interest rates. Pay floating-receive fixed interest rate swaps are used, when applicable, to hedge against future changes to the fair value of fixed rate debt which mitigates the impact of fluctuations in the fair value of fixed rate debt </w:t>
      </w:r>
      <w:r>
        <w:rPr>
          <w:rFonts w:ascii="Arial" w:eastAsia="Times New Roman" w:hAnsi="Arial" w:cs="Arial"/>
          <w:color w:val="000000"/>
          <w:sz w:val="20"/>
          <w:szCs w:val="20"/>
        </w:rPr>
        <w:t>via execution of fixed to floating interest rate swaps. As at September 30, 2021, we do not have any pay floating-receive fixed interest rate swaps outstanding.</w:t>
      </w:r>
    </w:p>
    <w:p w:rsidR="00000000" w:rsidRDefault="00EE1167">
      <w:pPr>
        <w:divId w:val="1323779520"/>
        <w:rPr>
          <w:rFonts w:eastAsia="Times New Roman"/>
        </w:rPr>
      </w:pPr>
    </w:p>
    <w:p w:rsidR="00000000" w:rsidRDefault="00EE1167">
      <w:pPr>
        <w:divId w:val="2116636847"/>
        <w:rPr>
          <w:rFonts w:eastAsia="Times New Roman"/>
        </w:rPr>
      </w:pPr>
      <w:r>
        <w:rPr>
          <w:rFonts w:ascii="Arial" w:eastAsia="Times New Roman" w:hAnsi="Arial" w:cs="Arial"/>
          <w:color w:val="000000"/>
          <w:sz w:val="20"/>
          <w:szCs w:val="20"/>
        </w:rPr>
        <w:t>Our earnings and cash flows are also exposed to variability in longer term interest rates ahe</w:t>
      </w:r>
      <w:r>
        <w:rPr>
          <w:rFonts w:ascii="Arial" w:eastAsia="Times New Roman" w:hAnsi="Arial" w:cs="Arial"/>
          <w:color w:val="000000"/>
          <w:sz w:val="20"/>
          <w:szCs w:val="20"/>
        </w:rPr>
        <w:t>ad of anticipated fixed rate term debt issuances. Forward starting interest rate swaps are used to hedge against the effect of future interest rate movements. We have established a program within some of our subsidiaries to mitigate our exposure to long-te</w:t>
      </w:r>
      <w:r>
        <w:rPr>
          <w:rFonts w:ascii="Arial" w:eastAsia="Times New Roman" w:hAnsi="Arial" w:cs="Arial"/>
          <w:color w:val="000000"/>
          <w:sz w:val="20"/>
          <w:szCs w:val="20"/>
        </w:rPr>
        <w:t>rm interest rate variability on select forecast term debt issuances via execution of floating to fixed interest rate swaps with an average swap rate of 1.9%.</w:t>
      </w:r>
    </w:p>
    <w:p w:rsidR="00000000" w:rsidRDefault="00EE1167">
      <w:pPr>
        <w:divId w:val="1737163117"/>
        <w:rPr>
          <w:rFonts w:eastAsia="Times New Roman"/>
        </w:rPr>
      </w:pPr>
    </w:p>
    <w:p w:rsidR="00000000" w:rsidRDefault="00EE1167">
      <w:pPr>
        <w:divId w:val="688290685"/>
        <w:rPr>
          <w:rFonts w:eastAsia="Times New Roman"/>
        </w:rPr>
      </w:pPr>
      <w:r>
        <w:rPr>
          <w:rFonts w:ascii="Arial" w:eastAsia="Times New Roman" w:hAnsi="Arial" w:cs="Arial"/>
          <w:b/>
          <w:bCs/>
          <w:color w:val="000000"/>
          <w:sz w:val="20"/>
          <w:szCs w:val="20"/>
        </w:rPr>
        <w:t>Commodity Price Risk</w:t>
      </w:r>
    </w:p>
    <w:p w:rsidR="00000000" w:rsidRDefault="00EE1167">
      <w:pPr>
        <w:divId w:val="631180950"/>
        <w:rPr>
          <w:rFonts w:eastAsia="Times New Roman"/>
        </w:rPr>
      </w:pPr>
      <w:r>
        <w:rPr>
          <w:rFonts w:ascii="Arial" w:eastAsia="Times New Roman" w:hAnsi="Arial" w:cs="Arial"/>
          <w:color w:val="000000"/>
          <w:sz w:val="20"/>
          <w:szCs w:val="20"/>
        </w:rPr>
        <w:t>Our earnings and cash flows are exposed to changes in commodity prices as a</w:t>
      </w:r>
      <w:r>
        <w:rPr>
          <w:rFonts w:ascii="Arial" w:eastAsia="Times New Roman" w:hAnsi="Arial" w:cs="Arial"/>
          <w:color w:val="000000"/>
          <w:sz w:val="20"/>
          <w:szCs w:val="20"/>
        </w:rPr>
        <w:t xml:space="preserve"> result of our ownership interests in certain assets and investments, as well as through the activities of our energy services subsidiaries. These commodities include natural gas, crude oil, power and NGL. We employ financial and physical derivative instru</w:t>
      </w:r>
      <w:r>
        <w:rPr>
          <w:rFonts w:ascii="Arial" w:eastAsia="Times New Roman" w:hAnsi="Arial" w:cs="Arial"/>
          <w:color w:val="000000"/>
          <w:sz w:val="20"/>
          <w:szCs w:val="20"/>
        </w:rPr>
        <w:t xml:space="preserve">ments to fix a portion of the variable price exposures that arise from physical transactions involving these commodities. We use primarily non-qualifying derivative instruments to manage commodity price risk. </w:t>
      </w:r>
    </w:p>
    <w:p w:rsidR="00000000" w:rsidRDefault="00EE1167">
      <w:pPr>
        <w:divId w:val="538711516"/>
        <w:rPr>
          <w:rFonts w:eastAsia="Times New Roman"/>
        </w:rPr>
      </w:pPr>
      <w:r>
        <w:rPr>
          <w:rFonts w:ascii="Arial" w:eastAsia="Times New Roman" w:hAnsi="Arial" w:cs="Arial"/>
          <w:color w:val="000000"/>
          <w:sz w:val="20"/>
          <w:szCs w:val="20"/>
        </w:rPr>
        <w:t> </w:t>
      </w:r>
    </w:p>
    <w:p w:rsidR="00000000" w:rsidRDefault="00EE1167">
      <w:pPr>
        <w:divId w:val="484473319"/>
        <w:rPr>
          <w:rFonts w:eastAsia="Times New Roman"/>
        </w:rPr>
      </w:pPr>
      <w:r>
        <w:rPr>
          <w:rFonts w:ascii="Arial" w:eastAsia="Times New Roman" w:hAnsi="Arial" w:cs="Arial"/>
          <w:b/>
          <w:bCs/>
          <w:color w:val="000000"/>
          <w:sz w:val="20"/>
          <w:szCs w:val="20"/>
        </w:rPr>
        <w:t>Equity Price Risk</w:t>
      </w:r>
    </w:p>
    <w:p w:rsidR="00000000" w:rsidRDefault="00EE1167">
      <w:pPr>
        <w:divId w:val="959144314"/>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stock-based compensation, which affect earnings through revaluation of the out</w:t>
      </w:r>
      <w:r>
        <w:rPr>
          <w:rFonts w:ascii="Arial" w:eastAsia="Times New Roman" w:hAnsi="Arial" w:cs="Arial"/>
          <w:color w:val="000000"/>
          <w:sz w:val="20"/>
          <w:szCs w:val="20"/>
        </w:rPr>
        <w:t>standing units every period. We use equity derivatives to manage the earnings volatility derived from one form of stock-based compensation, restricted share units. We use a combination of qualifying and non-qualifying derivative instruments to manage equit</w:t>
      </w:r>
      <w:r>
        <w:rPr>
          <w:rFonts w:ascii="Arial" w:eastAsia="Times New Roman" w:hAnsi="Arial" w:cs="Arial"/>
          <w:color w:val="000000"/>
          <w:sz w:val="20"/>
          <w:szCs w:val="20"/>
        </w:rPr>
        <w:t>y price risk.</w:t>
      </w:r>
    </w:p>
    <w:p w:rsidR="00000000" w:rsidRDefault="00EE1167">
      <w:pPr>
        <w:divId w:val="465200916"/>
        <w:rPr>
          <w:rFonts w:eastAsia="Times New Roman"/>
        </w:rPr>
      </w:pPr>
    </w:p>
    <w:p w:rsidR="00000000" w:rsidRDefault="00EE1167">
      <w:pPr>
        <w:jc w:val="center"/>
        <w:divId w:val="167061324"/>
        <w:rPr>
          <w:rFonts w:eastAsia="Times New Roman"/>
        </w:rPr>
      </w:pPr>
      <w:r>
        <w:rPr>
          <w:rFonts w:ascii="Arial" w:eastAsia="Times New Roman" w:hAnsi="Arial" w:cs="Arial"/>
          <w:color w:val="000000"/>
          <w:sz w:val="20"/>
          <w:szCs w:val="20"/>
        </w:rPr>
        <w:t>25</w:t>
      </w:r>
    </w:p>
    <w:p w:rsidR="00000000" w:rsidRDefault="00EE1167">
      <w:pPr>
        <w:rPr>
          <w:rFonts w:eastAsia="Times New Roman"/>
        </w:rPr>
      </w:pPr>
      <w:r>
        <w:rPr>
          <w:rFonts w:eastAsia="Times New Roman"/>
        </w:rPr>
        <w:pict>
          <v:rect id="_x0000_i1050" style="width:0;height:1.5pt" o:hralign="center" o:hrstd="t" o:hr="t" fillcolor="#a0a0a0" stroked="f"/>
        </w:pict>
      </w:r>
    </w:p>
    <w:p w:rsidR="00000000" w:rsidRDefault="00EE1167">
      <w:pPr>
        <w:jc w:val="center"/>
        <w:divId w:val="2090762187"/>
        <w:rPr>
          <w:rFonts w:eastAsia="Times New Roman"/>
        </w:rPr>
      </w:pPr>
    </w:p>
    <w:p w:rsidR="00000000" w:rsidRDefault="00EE1167">
      <w:pPr>
        <w:divId w:val="739866454"/>
        <w:rPr>
          <w:rFonts w:eastAsia="Times New Roman"/>
        </w:rPr>
      </w:pPr>
      <w:r>
        <w:rPr>
          <w:rFonts w:ascii="Arial" w:eastAsia="Times New Roman" w:hAnsi="Arial" w:cs="Arial"/>
          <w:b/>
          <w:bCs/>
          <w:color w:val="000000"/>
          <w:sz w:val="20"/>
          <w:szCs w:val="20"/>
        </w:rPr>
        <w:t xml:space="preserve">COVID-19 PANDEMIC RISK </w:t>
      </w:r>
    </w:p>
    <w:p w:rsidR="00000000" w:rsidRDefault="00EE1167">
      <w:pPr>
        <w:divId w:val="966425727"/>
        <w:rPr>
          <w:rFonts w:eastAsia="Times New Roman"/>
        </w:rPr>
      </w:pPr>
      <w:r>
        <w:rPr>
          <w:rFonts w:ascii="Arial" w:eastAsia="Times New Roman" w:hAnsi="Arial" w:cs="Arial"/>
          <w:color w:val="000000"/>
          <w:sz w:val="20"/>
          <w:szCs w:val="20"/>
        </w:rPr>
        <w:t>The spread of the COVID-19 pandemic has caused significant volatility in Canada, the US and international markets. While we have taken proactive measures to deliver energy sa</w:t>
      </w:r>
      <w:r>
        <w:rPr>
          <w:rFonts w:ascii="Arial" w:eastAsia="Times New Roman" w:hAnsi="Arial" w:cs="Arial"/>
          <w:color w:val="000000"/>
          <w:sz w:val="20"/>
          <w:szCs w:val="20"/>
        </w:rPr>
        <w:t>fely and reliably during this pandemic, given the ongoing dynamic nature of the circumstances surrounding COVID-19, including ongoing uncertainty as to the duration of the pandemic and corresponding public health measures, the impact of this pandemic and t</w:t>
      </w:r>
      <w:r>
        <w:rPr>
          <w:rFonts w:ascii="Arial" w:eastAsia="Times New Roman" w:hAnsi="Arial" w:cs="Arial"/>
          <w:color w:val="000000"/>
          <w:sz w:val="20"/>
          <w:szCs w:val="20"/>
        </w:rPr>
        <w:t>he ongoing recovery on our business remains uncertain.</w:t>
      </w:r>
    </w:p>
    <w:p w:rsidR="00000000" w:rsidRDefault="00EE1167">
      <w:pPr>
        <w:divId w:val="1295215413"/>
        <w:rPr>
          <w:rFonts w:eastAsia="Times New Roman"/>
        </w:rPr>
      </w:pPr>
    </w:p>
    <w:p w:rsidR="00000000" w:rsidRDefault="00EE1167">
      <w:pPr>
        <w:divId w:val="63727137"/>
        <w:rPr>
          <w:rFonts w:eastAsia="Times New Roman"/>
        </w:rPr>
      </w:pPr>
      <w:r>
        <w:rPr>
          <w:rFonts w:ascii="Arial" w:eastAsia="Times New Roman" w:hAnsi="Arial" w:cs="Arial"/>
          <w:b/>
          <w:bCs/>
          <w:color w:val="000000"/>
          <w:sz w:val="20"/>
          <w:szCs w:val="20"/>
        </w:rPr>
        <w:t>TOTAL DERIVATIVE INSTRUMENTS</w:t>
      </w:r>
    </w:p>
    <w:p w:rsidR="00000000" w:rsidRDefault="00EE1167">
      <w:pPr>
        <w:divId w:val="916667877"/>
        <w:rPr>
          <w:rFonts w:eastAsia="Times New Roman"/>
        </w:rPr>
      </w:pPr>
      <w:r>
        <w:rPr>
          <w:rFonts w:ascii="Arial" w:eastAsia="Times New Roman" w:hAnsi="Arial" w:cs="Arial"/>
          <w:color w:val="000000"/>
          <w:sz w:val="20"/>
          <w:szCs w:val="20"/>
        </w:rPr>
        <w:t xml:space="preserve">We generally have a policy of entering into individual International Swaps and Derivatives Association, Inc. agreements, or other similar derivative agreements, with the majority of our financial derivative counterparties. These agreements provide for the </w:t>
      </w:r>
      <w:r>
        <w:rPr>
          <w:rFonts w:ascii="Arial" w:eastAsia="Times New Roman" w:hAnsi="Arial" w:cs="Arial"/>
          <w:color w:val="000000"/>
          <w:sz w:val="20"/>
          <w:szCs w:val="20"/>
        </w:rPr>
        <w:t>net settlement of derivative instruments outstanding with specific counterparties in the event of bankruptcy or other significant credit events, and reduce our credit risk exposure on financial derivative asset positions outstanding with the counterparties</w:t>
      </w:r>
      <w:r>
        <w:rPr>
          <w:rFonts w:ascii="Arial" w:eastAsia="Times New Roman" w:hAnsi="Arial" w:cs="Arial"/>
          <w:color w:val="000000"/>
          <w:sz w:val="20"/>
          <w:szCs w:val="20"/>
        </w:rPr>
        <w:t xml:space="preserve"> in those circumstances.</w:t>
      </w:r>
    </w:p>
    <w:p w:rsidR="00000000" w:rsidRDefault="00EE1167">
      <w:pPr>
        <w:divId w:val="46145670"/>
        <w:rPr>
          <w:rFonts w:eastAsia="Times New Roman"/>
        </w:rPr>
      </w:pPr>
    </w:p>
    <w:p w:rsidR="00000000" w:rsidRDefault="00EE1167">
      <w:pPr>
        <w:divId w:val="1396970535"/>
        <w:rPr>
          <w:rFonts w:eastAsia="Times New Roman"/>
        </w:rPr>
      </w:pPr>
      <w:r>
        <w:rPr>
          <w:rFonts w:ascii="Arial" w:eastAsia="Times New Roman" w:hAnsi="Arial" w:cs="Arial"/>
          <w:color w:val="000000"/>
          <w:sz w:val="20"/>
          <w:szCs w:val="20"/>
        </w:rPr>
        <w:t>The following table summarizes the maximum potential settlement amounts in the event of these specific circumstances. All amounts are presented gross in the Consolidated Statements of Financial Position.</w:t>
      </w:r>
    </w:p>
    <w:tbl>
      <w:tblPr>
        <w:tblW w:w="5000" w:type="pct"/>
        <w:tblCellMar>
          <w:top w:w="15" w:type="dxa"/>
          <w:left w:w="15" w:type="dxa"/>
          <w:bottom w:w="15" w:type="dxa"/>
          <w:right w:w="15" w:type="dxa"/>
        </w:tblCellMar>
        <w:tblLook w:val="04A0" w:firstRow="1" w:lastRow="0" w:firstColumn="1" w:lastColumn="0" w:noHBand="0" w:noVBand="1"/>
      </w:tblPr>
      <w:tblGrid>
        <w:gridCol w:w="48"/>
        <w:gridCol w:w="1970"/>
        <w:gridCol w:w="38"/>
        <w:gridCol w:w="84"/>
        <w:gridCol w:w="784"/>
        <w:gridCol w:w="36"/>
        <w:gridCol w:w="85"/>
        <w:gridCol w:w="783"/>
        <w:gridCol w:w="36"/>
        <w:gridCol w:w="84"/>
        <w:gridCol w:w="784"/>
        <w:gridCol w:w="36"/>
        <w:gridCol w:w="92"/>
        <w:gridCol w:w="775"/>
        <w:gridCol w:w="36"/>
        <w:gridCol w:w="84"/>
        <w:gridCol w:w="784"/>
        <w:gridCol w:w="36"/>
        <w:gridCol w:w="36"/>
        <w:gridCol w:w="36"/>
        <w:gridCol w:w="36"/>
        <w:gridCol w:w="80"/>
        <w:gridCol w:w="603"/>
        <w:gridCol w:w="36"/>
        <w:gridCol w:w="81"/>
        <w:gridCol w:w="787"/>
        <w:gridCol w:w="36"/>
      </w:tblGrid>
      <w:tr w:rsidR="00000000">
        <w:trPr>
          <w:divId w:val="1978222483"/>
        </w:trPr>
        <w:tc>
          <w:tcPr>
            <w:tcW w:w="50" w:type="pct"/>
            <w:vAlign w:val="center"/>
            <w:hideMark/>
          </w:tcPr>
          <w:p w:rsidR="00000000" w:rsidRDefault="00EE1167">
            <w:pPr>
              <w:rPr>
                <w:rFonts w:eastAsia="Times New Roman"/>
              </w:rPr>
            </w:pPr>
          </w:p>
        </w:tc>
        <w:tc>
          <w:tcPr>
            <w:tcW w:w="136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2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1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8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16"/>
                <w:szCs w:val="16"/>
              </w:rPr>
              <w:t>September 30, 2021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Net</w:t>
            </w:r>
            <w:r>
              <w:rPr>
                <w:rFonts w:ascii="Arial" w:eastAsia="Times New Roman" w:hAnsi="Arial" w:cs="Arial"/>
                <w:color w:val="000000"/>
                <w:sz w:val="16"/>
                <w:szCs w:val="16"/>
              </w:rPr>
              <w:br/>
              <w:t>Investment 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97822248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552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553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(309)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244</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EE1167">
            <w:pPr>
              <w:spacing w:after="100"/>
              <w:ind w:hanging="9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ind w:hanging="9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(86)</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333</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502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(172)</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330</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(261)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(549)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(271)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(681)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(845)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divId w:val="797263251"/>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309</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(536)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(413)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(133)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(653)</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(786)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172</w:t>
            </w:r>
            <w:r>
              <w:rPr>
                <w:rFonts w:ascii="Arial" w:eastAsia="Times New Roman" w:hAnsi="Arial" w:cs="Arial"/>
                <w:color w:val="000000"/>
                <w:sz w:val="16"/>
                <w:szCs w:val="16"/>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(614)</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tcBorders>
            <w:tcMar>
              <w:top w:w="30" w:type="dxa"/>
              <w:left w:w="110" w:type="dxa"/>
              <w:bottom w:w="30" w:type="dxa"/>
              <w:right w:w="20" w:type="dxa"/>
            </w:tcMar>
            <w:vAlign w:val="center"/>
            <w:hideMark/>
          </w:tcPr>
          <w:p w:rsidR="00000000" w:rsidRDefault="00EE1167">
            <w:pPr>
              <w:spacing w:after="100"/>
              <w:ind w:hanging="9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ind w:hanging="9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(174)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287)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(32)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(263)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(295)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978222483"/>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(22)</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(449)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(576)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(576)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751610714"/>
        <w:rPr>
          <w:rFonts w:eastAsia="Times New Roman"/>
        </w:rPr>
      </w:pPr>
    </w:p>
    <w:p w:rsidR="00000000" w:rsidRDefault="00EE1167">
      <w:pPr>
        <w:jc w:val="center"/>
        <w:divId w:val="901254512"/>
        <w:rPr>
          <w:rFonts w:eastAsia="Times New Roman"/>
        </w:rPr>
      </w:pPr>
      <w:r>
        <w:rPr>
          <w:rFonts w:ascii="Arial" w:eastAsia="Times New Roman" w:hAnsi="Arial" w:cs="Arial"/>
          <w:color w:val="000000"/>
          <w:sz w:val="20"/>
          <w:szCs w:val="20"/>
        </w:rPr>
        <w:t>26</w:t>
      </w:r>
    </w:p>
    <w:p w:rsidR="00000000" w:rsidRDefault="00EE1167">
      <w:pPr>
        <w:rPr>
          <w:rFonts w:eastAsia="Times New Roman"/>
        </w:rPr>
      </w:pPr>
      <w:r>
        <w:rPr>
          <w:rFonts w:eastAsia="Times New Roman"/>
        </w:rPr>
        <w:pict>
          <v:rect id="_x0000_i1051" style="width:0;height:1.5pt" o:hralign="center" o:hrstd="t" o:hr="t" fillcolor="#a0a0a0" stroked="f"/>
        </w:pict>
      </w:r>
    </w:p>
    <w:p w:rsidR="00000000" w:rsidRDefault="00EE1167">
      <w:pPr>
        <w:jc w:val="center"/>
        <w:divId w:val="113148192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972"/>
        <w:gridCol w:w="39"/>
        <w:gridCol w:w="81"/>
        <w:gridCol w:w="787"/>
        <w:gridCol w:w="36"/>
        <w:gridCol w:w="85"/>
        <w:gridCol w:w="783"/>
        <w:gridCol w:w="36"/>
        <w:gridCol w:w="85"/>
        <w:gridCol w:w="783"/>
        <w:gridCol w:w="36"/>
        <w:gridCol w:w="85"/>
        <w:gridCol w:w="783"/>
        <w:gridCol w:w="36"/>
        <w:gridCol w:w="85"/>
        <w:gridCol w:w="783"/>
        <w:gridCol w:w="36"/>
        <w:gridCol w:w="36"/>
        <w:gridCol w:w="36"/>
        <w:gridCol w:w="36"/>
        <w:gridCol w:w="73"/>
        <w:gridCol w:w="610"/>
        <w:gridCol w:w="36"/>
        <w:gridCol w:w="94"/>
        <w:gridCol w:w="773"/>
        <w:gridCol w:w="36"/>
      </w:tblGrid>
      <w:tr w:rsidR="00000000">
        <w:trPr>
          <w:divId w:val="1520776222"/>
        </w:trPr>
        <w:tc>
          <w:tcPr>
            <w:tcW w:w="50" w:type="pct"/>
            <w:vAlign w:val="center"/>
            <w:hideMark/>
          </w:tcPr>
          <w:p w:rsidR="00000000" w:rsidRDefault="00EE1167">
            <w:pPr>
              <w:jc w:val="center"/>
              <w:rPr>
                <w:rFonts w:eastAsia="Times New Roman"/>
              </w:rPr>
            </w:pPr>
          </w:p>
        </w:tc>
        <w:tc>
          <w:tcPr>
            <w:tcW w:w="136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1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1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1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6"/>
                <w:szCs w:val="16"/>
              </w:rPr>
              <w:t>December 31, 2020</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r>
            <w:r>
              <w:rPr>
                <w:rFonts w:ascii="Arial" w:eastAsia="Times New Roman" w:hAnsi="Arial" w:cs="Arial"/>
                <w:color w:val="000000"/>
                <w:sz w:val="16"/>
                <w:szCs w:val="16"/>
              </w:rPr>
              <w:t>Used as</w:t>
            </w:r>
            <w:r>
              <w:rPr>
                <w:rFonts w:ascii="Arial" w:eastAsia="Times New Roman" w:hAnsi="Arial" w:cs="Arial"/>
                <w:color w:val="000000"/>
                <w:sz w:val="16"/>
                <w:szCs w:val="16"/>
              </w:rPr>
              <w:br/>
              <w:t>Cash 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Net</w:t>
            </w:r>
            <w:r>
              <w:rPr>
                <w:rFonts w:ascii="Arial" w:eastAsia="Times New Roman" w:hAnsi="Arial" w:cs="Arial"/>
                <w:color w:val="000000"/>
                <w:sz w:val="16"/>
                <w:szCs w:val="16"/>
              </w:rPr>
              <w:br/>
              <w:t>Investment 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Fair Value</w:t>
            </w:r>
            <w:r>
              <w:rPr>
                <w:rFonts w:ascii="Arial" w:eastAsia="Times New Roman" w:hAnsi="Arial" w:cs="Arial"/>
                <w:color w:val="000000"/>
                <w:sz w:val="16"/>
                <w:szCs w:val="16"/>
              </w:rPr>
              <w:br/>
              <w:t> Hedges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as Presented</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w:t>
            </w:r>
            <w:r>
              <w:rPr>
                <w:rFonts w:ascii="Arial" w:eastAsia="Times New Roman" w:hAnsi="Arial" w:cs="Arial"/>
                <w:color w:val="000000"/>
                <w:sz w:val="16"/>
                <w:szCs w:val="16"/>
              </w:rPr>
              <w:br/>
              <w:t>for Offset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w:t>
            </w:r>
          </w:p>
        </w:tc>
      </w:tr>
      <w:tr w:rsidR="00000000">
        <w:trPr>
          <w:divId w:val="15207762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323 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divId w:val="578563205"/>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452 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248 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70 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491 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561 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(252)</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309 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(185)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(423)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(278)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(280)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(199)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(431)</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(434)</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(894)</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divId w:val="2035031124"/>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109 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(785)</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(673)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(760)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(542)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(241)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(57)</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(219)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(87)</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(753)</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(1,059)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252 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(807)</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(116)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(192)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(299)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(585)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(610)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Mar>
              <w:top w:w="30" w:type="dxa"/>
              <w:left w:w="155"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520776222"/>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(580)</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(116)</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(373)</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(1,069)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2039427651"/>
        <w:rPr>
          <w:rFonts w:eastAsia="Times New Roman"/>
        </w:rPr>
      </w:pPr>
    </w:p>
    <w:p w:rsidR="00000000" w:rsidRDefault="00EE1167">
      <w:pPr>
        <w:divId w:val="1431854110"/>
        <w:rPr>
          <w:rFonts w:eastAsia="Times New Roman"/>
        </w:rPr>
      </w:pPr>
      <w:r>
        <w:rPr>
          <w:rFonts w:ascii="Arial" w:eastAsia="Times New Roman" w:hAnsi="Arial" w:cs="Arial"/>
          <w:color w:val="000000"/>
          <w:sz w:val="20"/>
          <w:szCs w:val="20"/>
        </w:rPr>
        <w:t>The following table s</w:t>
      </w:r>
      <w:r>
        <w:rPr>
          <w:rFonts w:ascii="Arial" w:eastAsia="Times New Roman" w:hAnsi="Arial" w:cs="Arial"/>
          <w:color w:val="000000"/>
          <w:sz w:val="20"/>
          <w:szCs w:val="20"/>
        </w:rPr>
        <w:t>ummarizes the maturity and notional principal or quantity outstanding related to our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66"/>
        <w:gridCol w:w="3656"/>
        <w:gridCol w:w="36"/>
        <w:gridCol w:w="66"/>
        <w:gridCol w:w="486"/>
        <w:gridCol w:w="36"/>
        <w:gridCol w:w="79"/>
        <w:gridCol w:w="475"/>
        <w:gridCol w:w="36"/>
        <w:gridCol w:w="66"/>
        <w:gridCol w:w="484"/>
        <w:gridCol w:w="36"/>
        <w:gridCol w:w="66"/>
        <w:gridCol w:w="486"/>
        <w:gridCol w:w="36"/>
        <w:gridCol w:w="66"/>
        <w:gridCol w:w="486"/>
        <w:gridCol w:w="36"/>
        <w:gridCol w:w="82"/>
        <w:gridCol w:w="689"/>
        <w:gridCol w:w="36"/>
        <w:gridCol w:w="79"/>
        <w:gridCol w:w="475"/>
        <w:gridCol w:w="36"/>
        <w:gridCol w:w="36"/>
        <w:gridCol w:w="67"/>
        <w:gridCol w:w="36"/>
        <w:gridCol w:w="36"/>
        <w:gridCol w:w="36"/>
      </w:tblGrid>
      <w:tr w:rsidR="00000000">
        <w:trPr>
          <w:divId w:val="1515151479"/>
        </w:trPr>
        <w:tc>
          <w:tcPr>
            <w:tcW w:w="50" w:type="pct"/>
            <w:vAlign w:val="center"/>
            <w:hideMark/>
          </w:tcPr>
          <w:p w:rsidR="00000000" w:rsidRDefault="00EE1167">
            <w:pPr>
              <w:rPr>
                <w:rFonts w:eastAsia="Times New Roman"/>
              </w:rPr>
            </w:pPr>
          </w:p>
        </w:tc>
        <w:tc>
          <w:tcPr>
            <w:tcW w:w="222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2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0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6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b/>
                <w:bCs/>
                <w:color w:val="000000"/>
                <w:sz w:val="16"/>
                <w:szCs w:val="16"/>
              </w:rPr>
              <w:t>September 30, 2021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2022</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2023</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2024</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2025</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Thereafter</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6"/>
                <w:szCs w:val="16"/>
              </w:rPr>
              <w:t>Total</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442189987"/>
              <w:rPr>
                <w:rFonts w:eastAsia="Times New Roman"/>
              </w:rPr>
            </w:pPr>
            <w:r>
              <w:rPr>
                <w:rFonts w:ascii="Arial" w:eastAsia="Times New Roman" w:hAnsi="Arial" w:cs="Arial"/>
                <w:color w:val="000000"/>
                <w:sz w:val="16"/>
                <w:szCs w:val="16"/>
              </w:rPr>
              <w:t xml:space="preserve">Foreign exchange contracts - US dollar forwards - purchase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1,750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3,107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912619037"/>
              <w:rPr>
                <w:rFonts w:eastAsia="Times New Roman"/>
              </w:rPr>
            </w:pPr>
            <w:r>
              <w:rPr>
                <w:rFonts w:ascii="Arial" w:eastAsia="Times New Roman" w:hAnsi="Arial" w:cs="Arial"/>
                <w:color w:val="000000"/>
                <w:sz w:val="16"/>
                <w:szCs w:val="16"/>
              </w:rPr>
              <w:t xml:space="preserve">Foreign exchange contracts - US dollar forwards - sell </w:t>
            </w:r>
            <w:r>
              <w:rPr>
                <w:rFonts w:ascii="Arial" w:eastAsia="Times New Roman" w:hAnsi="Arial" w:cs="Arial"/>
                <w:i/>
                <w:iCs/>
                <w:color w:val="000000"/>
                <w:sz w:val="16"/>
                <w:szCs w:val="16"/>
              </w:rPr>
              <w:t>(millions of US dollars)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2,210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6,354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2,480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1,290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16,790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587380220"/>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447551065"/>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429738700"/>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639064732"/>
              <w:rPr>
                <w:rFonts w:eastAsia="Times New Roman"/>
              </w:rPr>
            </w:pPr>
            <w:r>
              <w:rPr>
                <w:rFonts w:ascii="Arial" w:eastAsia="Times New Roman" w:hAnsi="Arial" w:cs="Arial"/>
                <w:color w:val="000000"/>
                <w:sz w:val="16"/>
                <w:szCs w:val="16"/>
              </w:rPr>
              <w:t xml:space="preserve">Interest rate contracts - short-term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1,589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14718715"/>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1,987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1,333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3,320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974478535"/>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40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762454981"/>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55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(16)</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Mar>
              <w:top w:w="30" w:type="dxa"/>
              <w:left w:w="20" w:type="dxa"/>
              <w:bottom w:w="30" w:type="dxa"/>
              <w:right w:w="20" w:type="dxa"/>
            </w:tcMar>
            <w:vAlign w:val="center"/>
            <w:hideMark/>
          </w:tcPr>
          <w:p w:rsidR="00000000" w:rsidRDefault="00EE1167">
            <w:pPr>
              <w:spacing w:after="100"/>
              <w:ind w:hanging="180"/>
              <w:divId w:val="1483304906"/>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i/>
                <w:iCs/>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515151479"/>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875387430"/>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(18)</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(43)</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(42)</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8" w:space="0" w:color="000000"/>
            </w:tcBorders>
            <w:shd w:val="clear" w:color="auto" w:fill="D9D9D9"/>
            <w:tcMar>
              <w:top w:w="30" w:type="dxa"/>
              <w:left w:w="20" w:type="dxa"/>
              <w:bottom w:w="30" w:type="dxa"/>
              <w:right w:w="20" w:type="dxa"/>
            </w:tcMar>
            <w:vAlign w:val="center"/>
            <w:hideMark/>
          </w:tcPr>
          <w:p w:rsidR="00000000" w:rsidRDefault="00EE1167">
            <w:pPr>
              <w:spacing w:after="100"/>
              <w:divId w:val="225721140"/>
              <w:rPr>
                <w:rFonts w:eastAsia="Times New Roman"/>
              </w:rPr>
            </w:pPr>
            <w:r>
              <w:rPr>
                <w:rFonts w:ascii="Arial" w:eastAsia="Times New Roman" w:hAnsi="Arial" w:cs="Arial"/>
                <w:b/>
                <w:bCs/>
                <w:color w:val="000000"/>
                <w:sz w:val="9"/>
                <w:szCs w:val="9"/>
              </w:rPr>
              <w:t>1</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r>
    </w:tbl>
    <w:p w:rsidR="00000000" w:rsidRDefault="00EE1167">
      <w:pPr>
        <w:divId w:val="1644001399"/>
        <w:rPr>
          <w:rFonts w:eastAsia="Times New Roman"/>
        </w:rPr>
      </w:pPr>
      <w:r>
        <w:rPr>
          <w:rFonts w:ascii="Arial" w:eastAsia="Times New Roman" w:hAnsi="Arial" w:cs="Arial"/>
          <w:i/>
          <w:iCs/>
          <w:color w:val="000000"/>
          <w:sz w:val="16"/>
          <w:szCs w:val="16"/>
        </w:rPr>
        <w:t>1 Total is an average net purchase/(sale) of power.</w:t>
      </w:r>
    </w:p>
    <w:p w:rsidR="00000000" w:rsidRDefault="00EE1167">
      <w:pPr>
        <w:divId w:val="524363237"/>
        <w:rPr>
          <w:rFonts w:eastAsia="Times New Roman"/>
        </w:rPr>
      </w:pPr>
      <w:r>
        <w:rPr>
          <w:rFonts w:ascii="Arial" w:eastAsia="Times New Roman" w:hAnsi="Arial" w:cs="Arial"/>
          <w:i/>
          <w:iCs/>
          <w:color w:val="000000"/>
          <w:sz w:val="16"/>
          <w:szCs w:val="16"/>
        </w:rPr>
        <w:t>2 Total is a net purchase/(sale) of underlying commodity.</w:t>
      </w:r>
    </w:p>
    <w:p w:rsidR="00000000" w:rsidRDefault="00EE1167">
      <w:pPr>
        <w:divId w:val="1371102721"/>
        <w:rPr>
          <w:rFonts w:eastAsia="Times New Roman"/>
        </w:rPr>
      </w:pPr>
    </w:p>
    <w:p w:rsidR="00000000" w:rsidRDefault="00EE1167">
      <w:pPr>
        <w:jc w:val="center"/>
        <w:divId w:val="1673676830"/>
        <w:rPr>
          <w:rFonts w:eastAsia="Times New Roman"/>
        </w:rPr>
      </w:pPr>
      <w:r>
        <w:rPr>
          <w:rFonts w:ascii="Arial" w:eastAsia="Times New Roman" w:hAnsi="Arial" w:cs="Arial"/>
          <w:color w:val="000000"/>
          <w:sz w:val="20"/>
          <w:szCs w:val="20"/>
        </w:rPr>
        <w:t>27</w:t>
      </w:r>
    </w:p>
    <w:p w:rsidR="00000000" w:rsidRDefault="00EE1167">
      <w:pPr>
        <w:rPr>
          <w:rFonts w:eastAsia="Times New Roman"/>
        </w:rPr>
      </w:pPr>
      <w:r>
        <w:rPr>
          <w:rFonts w:eastAsia="Times New Roman"/>
        </w:rPr>
        <w:pict>
          <v:rect id="_x0000_i1052" style="width:0;height:1.5pt" o:hralign="center" o:hrstd="t" o:hr="t" fillcolor="#a0a0a0" stroked="f"/>
        </w:pict>
      </w:r>
    </w:p>
    <w:p w:rsidR="00000000" w:rsidRDefault="00EE1167">
      <w:pPr>
        <w:jc w:val="center"/>
        <w:divId w:val="62021590"/>
        <w:rPr>
          <w:rFonts w:eastAsia="Times New Roman"/>
        </w:rPr>
      </w:pPr>
    </w:p>
    <w:p w:rsidR="00000000" w:rsidRDefault="00EE1167">
      <w:pPr>
        <w:divId w:val="1084768607"/>
        <w:rPr>
          <w:rFonts w:eastAsia="Times New Roman"/>
        </w:rPr>
      </w:pPr>
      <w:r>
        <w:rPr>
          <w:rFonts w:ascii="Arial" w:eastAsia="Times New Roman" w:hAnsi="Arial" w:cs="Arial"/>
          <w:b/>
          <w:bCs/>
          <w:color w:val="000000"/>
          <w:sz w:val="20"/>
          <w:szCs w:val="20"/>
        </w:rPr>
        <w:t>Fair Value Derivatives</w:t>
      </w:r>
    </w:p>
    <w:p w:rsidR="00000000" w:rsidRDefault="00EE1167">
      <w:pPr>
        <w:divId w:val="1658613412"/>
        <w:rPr>
          <w:rFonts w:eastAsia="Times New Roman"/>
        </w:rPr>
      </w:pPr>
      <w:r>
        <w:rPr>
          <w:rFonts w:ascii="Arial" w:eastAsia="Times New Roman" w:hAnsi="Arial" w:cs="Arial"/>
          <w:color w:val="000000"/>
          <w:sz w:val="20"/>
          <w:szCs w:val="20"/>
        </w:rPr>
        <w:t>For foreign exchange derivative instruments that are designat</w:t>
      </w:r>
      <w:r>
        <w:rPr>
          <w:rFonts w:ascii="Arial" w:eastAsia="Times New Roman" w:hAnsi="Arial" w:cs="Arial"/>
          <w:color w:val="000000"/>
          <w:sz w:val="20"/>
          <w:szCs w:val="20"/>
        </w:rPr>
        <w:t>ed and qualify as fair value hedges, the gain or loss on the derivative as well as the offsetting loss or gain on the hedged item attributable to the hedged risk is included in Net foreign currency gain/(loss) in the Consolidated Statements of Earnings. An</w:t>
      </w:r>
      <w:r>
        <w:rPr>
          <w:rFonts w:ascii="Arial" w:eastAsia="Times New Roman" w:hAnsi="Arial" w:cs="Arial"/>
          <w:color w:val="000000"/>
          <w:sz w:val="20"/>
          <w:szCs w:val="20"/>
        </w:rPr>
        <w:t>y excluded components are included in the Consolidated Statements of Comprehensive Income.</w:t>
      </w:r>
    </w:p>
    <w:p w:rsidR="00000000" w:rsidRDefault="00EE1167">
      <w:pPr>
        <w:divId w:val="77163163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437403179"/>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3740317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437403179"/>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43740317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43740317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3740317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Unrealized gain/(loss) on hedged item</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3740317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Realized loss on derivative</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37403179"/>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Realized gain on hedged item</w:t>
            </w: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45</w:t>
            </w:r>
            <w:r>
              <w:rPr>
                <w:rFonts w:ascii="Arial" w:eastAsia="Times New Roman" w:hAnsi="Arial" w:cs="Arial"/>
                <w:color w:val="000000"/>
                <w:sz w:val="20"/>
                <w:szCs w:val="20"/>
              </w:rPr>
              <w:t> </w:t>
            </w:r>
          </w:p>
        </w:tc>
        <w:tc>
          <w:tcPr>
            <w:tcW w:w="0" w:type="auto"/>
            <w:tcBorders>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Borders>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367683703"/>
        <w:rPr>
          <w:rFonts w:eastAsia="Times New Roman"/>
        </w:rPr>
      </w:pPr>
    </w:p>
    <w:p w:rsidR="00000000" w:rsidRDefault="00EE1167">
      <w:pPr>
        <w:divId w:val="290283172"/>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EE1167">
      <w:pPr>
        <w:divId w:val="1730882066"/>
        <w:rPr>
          <w:rFonts w:eastAsia="Times New Roman"/>
        </w:rPr>
      </w:pPr>
      <w:r>
        <w:rPr>
          <w:rFonts w:ascii="Arial" w:eastAsia="Times New Roman" w:hAnsi="Arial" w:cs="Arial"/>
          <w:color w:val="000000"/>
          <w:sz w:val="20"/>
          <w:szCs w:val="20"/>
        </w:rPr>
        <w:t>The following table presents the effect of cash flow hedges, fair value hedges and net investment hedges on our consolidated earnings and consolidated comprehensive</w:t>
      </w:r>
      <w:r>
        <w:rPr>
          <w:rFonts w:ascii="Arial" w:eastAsia="Times New Roman" w:hAnsi="Arial" w:cs="Arial"/>
          <w:color w:val="000000"/>
          <w:sz w:val="20"/>
          <w:szCs w:val="20"/>
        </w:rPr>
        <w:t xml:space="preserve"> income, before the effect of income taxes:</w:t>
      </w:r>
    </w:p>
    <w:p w:rsidR="00000000" w:rsidRDefault="00EE1167">
      <w:pPr>
        <w:divId w:val="1950427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rPr>
          <w:divId w:val="1368485599"/>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368485599"/>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36848559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ind w:hanging="180"/>
              <w:divId w:val="233975274"/>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984968124"/>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2131625706"/>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257445382"/>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(709)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006371232"/>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719475536"/>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62025922"/>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502697358"/>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44182000"/>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716271045"/>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56 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(681)</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Borders>
              <w:top w:val="single" w:sz="4" w:space="0" w:color="000000"/>
            </w:tcBorders>
            <w:tcMar>
              <w:top w:w="30" w:type="dxa"/>
              <w:left w:w="200" w:type="dxa"/>
              <w:bottom w:w="30" w:type="dxa"/>
              <w:right w:w="20" w:type="dxa"/>
            </w:tcMar>
            <w:vAlign w:val="center"/>
            <w:hideMark/>
          </w:tcPr>
          <w:p w:rsidR="00000000" w:rsidRDefault="00EE1167">
            <w:pPr>
              <w:spacing w:after="100"/>
              <w:ind w:hanging="180"/>
              <w:rPr>
                <w:rFonts w:eastAsia="Times New Roman"/>
              </w:rPr>
            </w:pPr>
            <w:r>
              <w:rPr>
                <w:rFonts w:ascii="Arial" w:eastAsia="Times New Roman" w:hAnsi="Arial" w:cs="Arial"/>
                <w:color w:val="000000"/>
                <w:sz w:val="20"/>
                <w:szCs w:val="20"/>
              </w:rPr>
              <w:t>Amount of (gain)/loss reclassified from AOCI to earnings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643465080"/>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076782766"/>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179 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50778897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Mar>
              <w:top w:w="30" w:type="dxa"/>
              <w:left w:w="20" w:type="dxa"/>
              <w:bottom w:w="30" w:type="dxa"/>
              <w:right w:w="20" w:type="dxa"/>
            </w:tcMar>
            <w:vAlign w:val="center"/>
            <w:hideMark/>
          </w:tcPr>
          <w:p w:rsidR="00000000" w:rsidRDefault="00EE1167">
            <w:pPr>
              <w:spacing w:after="100"/>
              <w:divId w:val="1107700238"/>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368485599"/>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divId w:val="1696035611"/>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73</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75 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219</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180 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ind w:hanging="180"/>
        <w:divId w:val="2032217607"/>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Reported within Transportation and other services revenues and Net foreign currency gain/(loss) in the Consolidated Statements of Earnings.</w:t>
      </w:r>
    </w:p>
    <w:p w:rsidR="00000000" w:rsidRDefault="00EE1167">
      <w:pPr>
        <w:ind w:hanging="180"/>
        <w:divId w:val="1477912828"/>
        <w:rPr>
          <w:rFonts w:eastAsia="Times New Roman"/>
        </w:rPr>
      </w:pPr>
      <w:r>
        <w:rPr>
          <w:rFonts w:ascii="Arial" w:eastAsia="Times New Roman" w:hAnsi="Arial" w:cs="Arial"/>
          <w:i/>
          <w:iCs/>
          <w:color w:val="000000"/>
          <w:sz w:val="16"/>
          <w:szCs w:val="16"/>
        </w:rPr>
        <w:t>2    Reported within Interest expense in the Consolidated Statements of Earnings.</w:t>
      </w:r>
    </w:p>
    <w:p w:rsidR="00000000" w:rsidRDefault="00EE1167">
      <w:pPr>
        <w:ind w:hanging="180"/>
        <w:divId w:val="1682389073"/>
        <w:rPr>
          <w:rFonts w:eastAsia="Times New Roman"/>
        </w:rPr>
      </w:pPr>
      <w:r>
        <w:rPr>
          <w:rFonts w:ascii="Arial" w:eastAsia="Times New Roman" w:hAnsi="Arial" w:cs="Arial"/>
          <w:i/>
          <w:iCs/>
          <w:color w:val="000000"/>
          <w:sz w:val="16"/>
          <w:szCs w:val="16"/>
        </w:rPr>
        <w:t>3    Reported within Operating a</w:t>
      </w:r>
      <w:r>
        <w:rPr>
          <w:rFonts w:ascii="Arial" w:eastAsia="Times New Roman" w:hAnsi="Arial" w:cs="Arial"/>
          <w:i/>
          <w:iCs/>
          <w:color w:val="000000"/>
          <w:sz w:val="16"/>
          <w:szCs w:val="16"/>
        </w:rPr>
        <w:t>nd administrative expense in the Consolidated Statements of Earnings.</w:t>
      </w:r>
    </w:p>
    <w:p w:rsidR="00000000" w:rsidRDefault="00EE1167">
      <w:pPr>
        <w:divId w:val="324435573"/>
        <w:rPr>
          <w:rFonts w:eastAsia="Times New Roman"/>
        </w:rPr>
      </w:pPr>
    </w:p>
    <w:p w:rsidR="00000000" w:rsidRDefault="00EE1167">
      <w:pPr>
        <w:divId w:val="61608813"/>
        <w:rPr>
          <w:rFonts w:eastAsia="Times New Roman"/>
        </w:rPr>
      </w:pPr>
      <w:r>
        <w:rPr>
          <w:rFonts w:ascii="Arial" w:eastAsia="Times New Roman" w:hAnsi="Arial" w:cs="Arial"/>
          <w:color w:val="000000"/>
          <w:sz w:val="20"/>
          <w:szCs w:val="20"/>
        </w:rPr>
        <w:t>We estimate that a loss of $59 million of AOCI related to unrealized cash flow hedges will be reclassified to earnings in the next 12 months. Actual amounts reclassified to earnings de</w:t>
      </w:r>
      <w:r>
        <w:rPr>
          <w:rFonts w:ascii="Arial" w:eastAsia="Times New Roman" w:hAnsi="Arial" w:cs="Arial"/>
          <w:color w:val="000000"/>
          <w:sz w:val="20"/>
          <w:szCs w:val="20"/>
        </w:rPr>
        <w:t>pend on the foreign exchange rates, interest rates and commodity prices in effect when derivative contracts that are currently outstanding mature. For all forecasted transactions, the maximum term over which we are hedging exposures to the variability of c</w:t>
      </w:r>
      <w:r>
        <w:rPr>
          <w:rFonts w:ascii="Arial" w:eastAsia="Times New Roman" w:hAnsi="Arial" w:cs="Arial"/>
          <w:color w:val="000000"/>
          <w:sz w:val="20"/>
          <w:szCs w:val="20"/>
        </w:rPr>
        <w:t>ash flows is 27 months as at</w:t>
      </w:r>
      <w:r>
        <w:rPr>
          <w:rFonts w:ascii="Arial" w:eastAsia="Times New Roman" w:hAnsi="Arial" w:cs="Arial"/>
          <w:color w:val="000000"/>
          <w:sz w:val="20"/>
          <w:szCs w:val="20"/>
          <w:shd w:val="clear" w:color="auto" w:fill="FFFFFF"/>
        </w:rPr>
        <w:t xml:space="preserve"> September 30, 2021.</w:t>
      </w:r>
    </w:p>
    <w:p w:rsidR="00000000" w:rsidRDefault="00EE1167">
      <w:pPr>
        <w:divId w:val="1244339553"/>
        <w:rPr>
          <w:rFonts w:eastAsia="Times New Roman"/>
        </w:rPr>
      </w:pPr>
      <w:r>
        <w:rPr>
          <w:rFonts w:ascii="Arial" w:eastAsia="Times New Roman" w:hAnsi="Arial" w:cs="Arial"/>
          <w:color w:val="000000"/>
          <w:sz w:val="20"/>
          <w:szCs w:val="20"/>
        </w:rPr>
        <w:t> </w:t>
      </w:r>
    </w:p>
    <w:p w:rsidR="00000000" w:rsidRDefault="00EE1167">
      <w:pPr>
        <w:jc w:val="center"/>
        <w:divId w:val="306978746"/>
        <w:rPr>
          <w:rFonts w:eastAsia="Times New Roman"/>
        </w:rPr>
      </w:pPr>
      <w:r>
        <w:rPr>
          <w:rFonts w:ascii="Arial" w:eastAsia="Times New Roman" w:hAnsi="Arial" w:cs="Arial"/>
          <w:color w:val="000000"/>
          <w:sz w:val="20"/>
          <w:szCs w:val="20"/>
        </w:rPr>
        <w:t>28</w:t>
      </w:r>
    </w:p>
    <w:p w:rsidR="00000000" w:rsidRDefault="00EE1167">
      <w:pPr>
        <w:rPr>
          <w:rFonts w:eastAsia="Times New Roman"/>
        </w:rPr>
      </w:pPr>
      <w:r>
        <w:rPr>
          <w:rFonts w:eastAsia="Times New Roman"/>
        </w:rPr>
        <w:pict>
          <v:rect id="_x0000_i1053" style="width:0;height:1.5pt" o:hralign="center" o:hrstd="t" o:hr="t" fillcolor="#a0a0a0" stroked="f"/>
        </w:pict>
      </w:r>
    </w:p>
    <w:p w:rsidR="00000000" w:rsidRDefault="00EE1167">
      <w:pPr>
        <w:jc w:val="center"/>
        <w:divId w:val="1608006825"/>
        <w:rPr>
          <w:rFonts w:eastAsia="Times New Roman"/>
        </w:rPr>
      </w:pPr>
    </w:p>
    <w:p w:rsidR="00000000" w:rsidRDefault="00EE1167">
      <w:pPr>
        <w:divId w:val="979572494"/>
        <w:rPr>
          <w:rFonts w:eastAsia="Times New Roman"/>
        </w:rPr>
      </w:pPr>
      <w:r>
        <w:rPr>
          <w:rFonts w:ascii="Arial" w:eastAsia="Times New Roman" w:hAnsi="Arial" w:cs="Arial"/>
          <w:b/>
          <w:bCs/>
          <w:color w:val="000000"/>
          <w:sz w:val="20"/>
          <w:szCs w:val="20"/>
        </w:rPr>
        <w:t>Non-Qualifying Derivatives</w:t>
      </w:r>
    </w:p>
    <w:p w:rsidR="00000000" w:rsidRDefault="00EE1167">
      <w:pPr>
        <w:divId w:val="238639710"/>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derivatives: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rPr>
          <w:divId w:val="1450511320"/>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5051132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450511320"/>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450511320"/>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450511320"/>
        </w:trPr>
        <w:tc>
          <w:tcPr>
            <w:tcW w:w="0" w:type="auto"/>
            <w:gridSpan w:val="3"/>
            <w:tcMar>
              <w:top w:w="30" w:type="dxa"/>
              <w:left w:w="20" w:type="dxa"/>
              <w:bottom w:w="30" w:type="dxa"/>
              <w:right w:w="20" w:type="dxa"/>
            </w:tcMar>
            <w:vAlign w:val="center"/>
            <w:hideMark/>
          </w:tcPr>
          <w:p w:rsidR="00000000" w:rsidRDefault="00EE1167">
            <w:pPr>
              <w:spacing w:after="100"/>
              <w:divId w:val="1820999778"/>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(436)</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571 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50511320"/>
        </w:trPr>
        <w:tc>
          <w:tcPr>
            <w:tcW w:w="0" w:type="auto"/>
            <w:gridSpan w:val="3"/>
            <w:tcMar>
              <w:top w:w="30" w:type="dxa"/>
              <w:left w:w="20" w:type="dxa"/>
              <w:bottom w:w="30" w:type="dxa"/>
              <w:right w:w="20" w:type="dxa"/>
            </w:tcMar>
            <w:vAlign w:val="center"/>
            <w:hideMark/>
          </w:tcPr>
          <w:p w:rsidR="00000000" w:rsidRDefault="00EE1167">
            <w:pPr>
              <w:spacing w:after="100"/>
              <w:divId w:val="159196002"/>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50511320"/>
        </w:trPr>
        <w:tc>
          <w:tcPr>
            <w:tcW w:w="0" w:type="auto"/>
            <w:gridSpan w:val="3"/>
            <w:tcMar>
              <w:top w:w="30" w:type="dxa"/>
              <w:left w:w="20" w:type="dxa"/>
              <w:bottom w:w="30" w:type="dxa"/>
              <w:right w:w="20" w:type="dxa"/>
            </w:tcMar>
            <w:vAlign w:val="center"/>
            <w:hideMark/>
          </w:tcPr>
          <w:p w:rsidR="00000000" w:rsidRDefault="00EE1167">
            <w:pPr>
              <w:spacing w:after="100"/>
              <w:divId w:val="94056352"/>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25 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50511320"/>
        </w:trPr>
        <w:tc>
          <w:tcPr>
            <w:tcW w:w="0" w:type="auto"/>
            <w:gridSpan w:val="3"/>
            <w:tcMar>
              <w:top w:w="30" w:type="dxa"/>
              <w:left w:w="20" w:type="dxa"/>
              <w:bottom w:w="30" w:type="dxa"/>
              <w:right w:w="20" w:type="dxa"/>
            </w:tcMar>
            <w:vAlign w:val="center"/>
            <w:hideMark/>
          </w:tcPr>
          <w:p w:rsidR="00000000" w:rsidRDefault="00EE1167">
            <w:pPr>
              <w:spacing w:after="100"/>
              <w:divId w:val="505903845"/>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450511320"/>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1045301304"/>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624 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(200)</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ind w:hanging="180"/>
        <w:divId w:val="2046444086"/>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For the respective nine months ended periods, reported within Transportation and other services revenues (2021 - $71 million gain; 2020 - $87 million loss) and Net foreign currency gain/(loss) (2021 - $53 million loss; 2020 - $99 million loss) in the Con</w:t>
      </w:r>
      <w:r>
        <w:rPr>
          <w:rFonts w:ascii="Arial" w:eastAsia="Times New Roman" w:hAnsi="Arial" w:cs="Arial"/>
          <w:i/>
          <w:iCs/>
          <w:color w:val="000000"/>
          <w:sz w:val="16"/>
          <w:szCs w:val="16"/>
        </w:rPr>
        <w:t>solidated Statements of Earnings.</w:t>
      </w:r>
    </w:p>
    <w:p w:rsidR="00000000" w:rsidRDefault="00EE1167">
      <w:pPr>
        <w:ind w:hanging="180"/>
        <w:divId w:val="683048722"/>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EE1167">
      <w:pPr>
        <w:ind w:hanging="180"/>
        <w:divId w:val="102304903"/>
        <w:rPr>
          <w:rFonts w:eastAsia="Times New Roman"/>
        </w:rPr>
      </w:pPr>
      <w:r>
        <w:rPr>
          <w:rFonts w:ascii="Arial" w:eastAsia="Times New Roman" w:hAnsi="Arial" w:cs="Arial"/>
          <w:i/>
          <w:iCs/>
          <w:color w:val="000000"/>
          <w:sz w:val="16"/>
          <w:szCs w:val="16"/>
        </w:rPr>
        <w:t>3    </w:t>
      </w:r>
      <w:r>
        <w:rPr>
          <w:rFonts w:ascii="Arial" w:eastAsia="Times New Roman" w:hAnsi="Arial" w:cs="Arial"/>
          <w:i/>
          <w:iCs/>
          <w:color w:val="000000"/>
          <w:sz w:val="16"/>
          <w:szCs w:val="16"/>
        </w:rPr>
        <w:t>For the respective nine months ended periods, reported within Transportation and other services revenues (2021 - nil; 2020 - $8 million gain), Commodity sales (2021 - $5 million loss; 2020 - $176 million loss), Commodity costs (2021 - $124 million loss; 20</w:t>
      </w:r>
      <w:r>
        <w:rPr>
          <w:rFonts w:ascii="Arial" w:eastAsia="Times New Roman" w:hAnsi="Arial" w:cs="Arial"/>
          <w:i/>
          <w:iCs/>
          <w:color w:val="000000"/>
          <w:sz w:val="16"/>
          <w:szCs w:val="16"/>
        </w:rPr>
        <w:t>20 - $195 million gain) and Operating and administrative expense (2021 - $8 million gain; 2020 - $2 million loss) in the Consolidated Statements of Earnings.</w:t>
      </w:r>
    </w:p>
    <w:p w:rsidR="00000000" w:rsidRDefault="00EE1167">
      <w:pPr>
        <w:ind w:hanging="180"/>
        <w:divId w:val="412628897"/>
        <w:rPr>
          <w:rFonts w:eastAsia="Times New Roman"/>
        </w:rPr>
      </w:pPr>
      <w:r>
        <w:rPr>
          <w:rFonts w:ascii="Arial" w:eastAsia="Times New Roman" w:hAnsi="Arial" w:cs="Arial"/>
          <w:i/>
          <w:iCs/>
          <w:color w:val="000000"/>
          <w:sz w:val="16"/>
          <w:szCs w:val="16"/>
        </w:rPr>
        <w:t>4    Reported within Operating and administrative expense in the Consolidated Statements of Earnin</w:t>
      </w:r>
      <w:r>
        <w:rPr>
          <w:rFonts w:ascii="Arial" w:eastAsia="Times New Roman" w:hAnsi="Arial" w:cs="Arial"/>
          <w:i/>
          <w:iCs/>
          <w:color w:val="000000"/>
          <w:sz w:val="16"/>
          <w:szCs w:val="16"/>
        </w:rPr>
        <w:t>gs.</w:t>
      </w:r>
    </w:p>
    <w:p w:rsidR="00000000" w:rsidRDefault="00EE1167">
      <w:pPr>
        <w:divId w:val="892078798"/>
        <w:rPr>
          <w:rFonts w:eastAsia="Times New Roman"/>
        </w:rPr>
      </w:pPr>
    </w:p>
    <w:p w:rsidR="00000000" w:rsidRDefault="00EE1167">
      <w:pPr>
        <w:divId w:val="346754309"/>
        <w:rPr>
          <w:rFonts w:eastAsia="Times New Roman"/>
        </w:rPr>
      </w:pPr>
      <w:r>
        <w:rPr>
          <w:rFonts w:ascii="Arial" w:eastAsia="Times New Roman" w:hAnsi="Arial" w:cs="Arial"/>
          <w:b/>
          <w:bCs/>
          <w:color w:val="000000"/>
          <w:sz w:val="20"/>
          <w:szCs w:val="20"/>
        </w:rPr>
        <w:t>LIQUIDITY RISK</w:t>
      </w:r>
    </w:p>
    <w:p w:rsidR="00000000" w:rsidRDefault="00EE1167">
      <w:pPr>
        <w:divId w:val="14237479"/>
        <w:rPr>
          <w:rFonts w:eastAsia="Times New Roman"/>
        </w:rPr>
      </w:pPr>
      <w:r>
        <w:rPr>
          <w:rFonts w:ascii="Arial" w:eastAsia="Times New Roman" w:hAnsi="Arial" w:cs="Arial"/>
          <w:color w:val="000000"/>
          <w:sz w:val="2"/>
          <w:szCs w:val="2"/>
        </w:rPr>
        <w:t> </w:t>
      </w:r>
    </w:p>
    <w:p w:rsidR="00000000" w:rsidRDefault="00EE1167">
      <w:pPr>
        <w:divId w:val="1254824465"/>
        <w:rPr>
          <w:rFonts w:eastAsia="Times New Roman"/>
        </w:rPr>
      </w:pPr>
      <w:r>
        <w:rPr>
          <w:rFonts w:ascii="Arial" w:eastAsia="Times New Roman" w:hAnsi="Arial" w:cs="Arial"/>
          <w:color w:val="000000"/>
          <w:sz w:val="20"/>
          <w:szCs w:val="20"/>
        </w:rPr>
        <w:t>Liquidity risk is the risk that we will not be able to meet our financial obligations, including commitments and guarantees, as they become due. In order to mitigate this risk, we forecast cash requirements over a 12-month rolling ti</w:t>
      </w:r>
      <w:r>
        <w:rPr>
          <w:rFonts w:ascii="Arial" w:eastAsia="Times New Roman" w:hAnsi="Arial" w:cs="Arial"/>
          <w:color w:val="000000"/>
          <w:sz w:val="20"/>
          <w:szCs w:val="20"/>
        </w:rPr>
        <w:t>me period to determine whether sufficient funds will be available and maintain substantial capacity under our committed bank lines of credit to address any contingencies. Our primary sources of liquidity and capital resources are funds generated from opera</w:t>
      </w:r>
      <w:r>
        <w:rPr>
          <w:rFonts w:ascii="Arial" w:eastAsia="Times New Roman" w:hAnsi="Arial" w:cs="Arial"/>
          <w:color w:val="000000"/>
          <w:sz w:val="20"/>
          <w:szCs w:val="20"/>
        </w:rPr>
        <w:t>tions, the issuance of commercial paper and draws under committed credit facilities and long-term debt, which includes debentures and medium-term notes. We also maintain current shelf prospectuses with securities regulators which enables ready access to ei</w:t>
      </w:r>
      <w:r>
        <w:rPr>
          <w:rFonts w:ascii="Arial" w:eastAsia="Times New Roman" w:hAnsi="Arial" w:cs="Arial"/>
          <w:color w:val="000000"/>
          <w:sz w:val="20"/>
          <w:szCs w:val="20"/>
        </w:rPr>
        <w:t>ther the Canadian or US public capital markets, subject to market conditions. In addition, we maintain sufficient liquidity through committed credit facilities with a diversified group of banks and institutions which, if necessary, enables us to fund all a</w:t>
      </w:r>
      <w:r>
        <w:rPr>
          <w:rFonts w:ascii="Arial" w:eastAsia="Times New Roman" w:hAnsi="Arial" w:cs="Arial"/>
          <w:color w:val="000000"/>
          <w:sz w:val="20"/>
          <w:szCs w:val="20"/>
        </w:rPr>
        <w:t>nticipated requirements for approximately one year without accessing the capital markets. We are in compliance with all the terms and conditions of our committed credit facility agreements and term debt indentures as at September 30, 2021. As a result, all</w:t>
      </w:r>
      <w:r>
        <w:rPr>
          <w:rFonts w:ascii="Arial" w:eastAsia="Times New Roman" w:hAnsi="Arial" w:cs="Arial"/>
          <w:color w:val="000000"/>
          <w:sz w:val="20"/>
          <w:szCs w:val="20"/>
        </w:rPr>
        <w:t xml:space="preserve"> credit facilities are available to us and the banks are obligated to fund and have been funding us under the terms of the facilities.</w:t>
      </w:r>
    </w:p>
    <w:p w:rsidR="00000000" w:rsidRDefault="00EE1167">
      <w:pPr>
        <w:divId w:val="6442883"/>
        <w:rPr>
          <w:rFonts w:eastAsia="Times New Roman"/>
        </w:rPr>
      </w:pPr>
    </w:p>
    <w:p w:rsidR="00000000" w:rsidRDefault="00EE1167">
      <w:pPr>
        <w:divId w:val="2017415794"/>
        <w:rPr>
          <w:rFonts w:eastAsia="Times New Roman"/>
        </w:rPr>
      </w:pPr>
      <w:r>
        <w:rPr>
          <w:rFonts w:ascii="Arial" w:eastAsia="Times New Roman" w:hAnsi="Arial" w:cs="Arial"/>
          <w:b/>
          <w:bCs/>
          <w:color w:val="000000"/>
          <w:sz w:val="20"/>
          <w:szCs w:val="20"/>
        </w:rPr>
        <w:t>CREDIT RISK</w:t>
      </w:r>
    </w:p>
    <w:p w:rsidR="00000000" w:rsidRDefault="00EE1167">
      <w:pPr>
        <w:divId w:val="202451308"/>
        <w:rPr>
          <w:rFonts w:eastAsia="Times New Roman"/>
        </w:rPr>
      </w:pPr>
      <w:r>
        <w:rPr>
          <w:rFonts w:ascii="Arial" w:eastAsia="Times New Roman" w:hAnsi="Arial" w:cs="Arial"/>
          <w:color w:val="000000"/>
          <w:sz w:val="2"/>
          <w:szCs w:val="2"/>
        </w:rPr>
        <w:t> </w:t>
      </w:r>
    </w:p>
    <w:p w:rsidR="00000000" w:rsidRDefault="00EE1167">
      <w:pPr>
        <w:divId w:val="509805992"/>
        <w:rPr>
          <w:rFonts w:eastAsia="Times New Roman"/>
        </w:rPr>
      </w:pPr>
      <w:r>
        <w:rPr>
          <w:rFonts w:ascii="Arial" w:eastAsia="Times New Roman" w:hAnsi="Arial" w:cs="Arial"/>
          <w:color w:val="000000"/>
          <w:sz w:val="20"/>
          <w:szCs w:val="20"/>
        </w:rPr>
        <w:t>Entering into derivative instruments may result in exposure to credit risk from the possibility that a co</w:t>
      </w:r>
      <w:r>
        <w:rPr>
          <w:rFonts w:ascii="Arial" w:eastAsia="Times New Roman" w:hAnsi="Arial" w:cs="Arial"/>
          <w:color w:val="000000"/>
          <w:sz w:val="20"/>
          <w:szCs w:val="20"/>
        </w:rPr>
        <w:t>unterparty will default on its contractual obligations. In order to mitigate this risk, we enter into risk management transactions primarily with institutions that possess strong investment grade credit ratings. Credit risk relating to derivative counterpa</w:t>
      </w:r>
      <w:r>
        <w:rPr>
          <w:rFonts w:ascii="Arial" w:eastAsia="Times New Roman" w:hAnsi="Arial" w:cs="Arial"/>
          <w:color w:val="000000"/>
          <w:sz w:val="20"/>
          <w:szCs w:val="20"/>
        </w:rPr>
        <w:t>rties is mitigated through maintenance and monitoring of credit exposure limits and contractual requirements, netting arrangements and ongoing monitoring of counterparty credit exposure using external credit rating services and other analytical tools.</w:t>
      </w:r>
    </w:p>
    <w:p w:rsidR="00000000" w:rsidRDefault="00EE1167">
      <w:pPr>
        <w:divId w:val="369456464"/>
        <w:rPr>
          <w:rFonts w:eastAsia="Times New Roman"/>
        </w:rPr>
      </w:pPr>
    </w:p>
    <w:p w:rsidR="00000000" w:rsidRDefault="00EE1167">
      <w:pPr>
        <w:jc w:val="center"/>
        <w:divId w:val="429936943"/>
        <w:rPr>
          <w:rFonts w:eastAsia="Times New Roman"/>
        </w:rPr>
      </w:pPr>
      <w:r>
        <w:rPr>
          <w:rFonts w:ascii="Arial" w:eastAsia="Times New Roman" w:hAnsi="Arial" w:cs="Arial"/>
          <w:color w:val="000000"/>
          <w:sz w:val="20"/>
          <w:szCs w:val="20"/>
        </w:rPr>
        <w:t>29</w:t>
      </w:r>
    </w:p>
    <w:p w:rsidR="00000000" w:rsidRDefault="00EE1167">
      <w:pPr>
        <w:rPr>
          <w:rFonts w:eastAsia="Times New Roman"/>
        </w:rPr>
      </w:pPr>
      <w:r>
        <w:rPr>
          <w:rFonts w:eastAsia="Times New Roman"/>
        </w:rPr>
        <w:pict>
          <v:rect id="_x0000_i1054" style="width:0;height:1.5pt" o:hralign="center" o:hrstd="t" o:hr="t" fillcolor="#a0a0a0" stroked="f"/>
        </w:pict>
      </w:r>
    </w:p>
    <w:p w:rsidR="00000000" w:rsidRDefault="00EE1167">
      <w:pPr>
        <w:jc w:val="center"/>
        <w:divId w:val="769934706"/>
        <w:rPr>
          <w:rFonts w:eastAsia="Times New Roman"/>
        </w:rPr>
      </w:pPr>
    </w:p>
    <w:p w:rsidR="00000000" w:rsidRDefault="00EE1167">
      <w:pPr>
        <w:divId w:val="1438017181"/>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820417153"/>
        </w:trPr>
        <w:tc>
          <w:tcPr>
            <w:tcW w:w="50" w:type="pct"/>
            <w:vAlign w:val="center"/>
            <w:hideMark/>
          </w:tcPr>
          <w:p w:rsidR="00000000" w:rsidRDefault="00EE1167">
            <w:pPr>
              <w:rPr>
                <w:rFonts w:eastAsia="Times New Roman"/>
              </w:rPr>
            </w:pPr>
          </w:p>
        </w:tc>
        <w:tc>
          <w:tcPr>
            <w:tcW w:w="334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4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4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820417153"/>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182041715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jc w:val="both"/>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820417153"/>
        </w:trPr>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481 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20417153"/>
        </w:trPr>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US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20417153"/>
        </w:trPr>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20417153"/>
        </w:trPr>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167 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20417153"/>
        </w:trPr>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20417153"/>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1,035</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872 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490365767"/>
        <w:rPr>
          <w:rFonts w:eastAsia="Times New Roman"/>
        </w:rPr>
      </w:pPr>
      <w:r>
        <w:rPr>
          <w:rFonts w:ascii="Arial" w:eastAsia="Times New Roman" w:hAnsi="Arial" w:cs="Arial"/>
          <w:color w:val="000000"/>
          <w:sz w:val="2"/>
          <w:szCs w:val="2"/>
        </w:rPr>
        <w:t> </w:t>
      </w:r>
    </w:p>
    <w:p w:rsidR="00000000" w:rsidRDefault="00EE1167">
      <w:pPr>
        <w:ind w:hanging="180"/>
        <w:divId w:val="603000706"/>
        <w:rPr>
          <w:rFonts w:eastAsia="Times New Roman"/>
        </w:rPr>
      </w:pPr>
      <w:r>
        <w:rPr>
          <w:rFonts w:ascii="Arial" w:eastAsia="Times New Roman" w:hAnsi="Arial" w:cs="Arial"/>
          <w:i/>
          <w:iCs/>
          <w:color w:val="000000"/>
          <w:sz w:val="16"/>
          <w:szCs w:val="16"/>
        </w:rPr>
        <w:t>1    Other is comprised of commodity clearing house and physical natural gas and crude oil counterparties.</w:t>
      </w:r>
    </w:p>
    <w:p w:rsidR="00000000" w:rsidRDefault="00EE1167">
      <w:pPr>
        <w:divId w:val="1994068733"/>
        <w:rPr>
          <w:rFonts w:eastAsia="Times New Roman"/>
        </w:rPr>
      </w:pPr>
    </w:p>
    <w:p w:rsidR="00000000" w:rsidRDefault="00EE1167">
      <w:pPr>
        <w:divId w:val="26027940"/>
        <w:rPr>
          <w:rFonts w:eastAsia="Times New Roman"/>
        </w:rPr>
      </w:pPr>
      <w:r>
        <w:rPr>
          <w:rFonts w:ascii="Arial" w:eastAsia="Times New Roman" w:hAnsi="Arial" w:cs="Arial"/>
          <w:color w:val="000000"/>
          <w:sz w:val="20"/>
          <w:szCs w:val="20"/>
        </w:rPr>
        <w:t xml:space="preserve">As at September 30, 2021, we provided letters of credit totaling nil </w:t>
      </w:r>
      <w:r>
        <w:rPr>
          <w:rFonts w:ascii="Arial" w:eastAsia="Times New Roman" w:hAnsi="Arial" w:cs="Arial"/>
          <w:color w:val="000000"/>
          <w:sz w:val="20"/>
          <w:szCs w:val="20"/>
        </w:rPr>
        <w:t xml:space="preserve">in lieu of providing cash collateral to our counterparties pursuant to the terms of the relevant International Swaps and Derivatives Association agreements. We held no cash collateral on derivative asset exposures as at September 30, 2021 and December 31, </w:t>
      </w:r>
      <w:r>
        <w:rPr>
          <w:rFonts w:ascii="Arial" w:eastAsia="Times New Roman" w:hAnsi="Arial" w:cs="Arial"/>
          <w:color w:val="000000"/>
          <w:sz w:val="20"/>
          <w:szCs w:val="20"/>
        </w:rPr>
        <w:t>2020.</w:t>
      </w:r>
    </w:p>
    <w:p w:rsidR="00000000" w:rsidRDefault="00EE1167">
      <w:pPr>
        <w:divId w:val="1702127498"/>
        <w:rPr>
          <w:rFonts w:eastAsia="Times New Roman"/>
        </w:rPr>
      </w:pPr>
    </w:p>
    <w:p w:rsidR="00000000" w:rsidRDefault="00EE1167">
      <w:pPr>
        <w:divId w:val="1029834936"/>
        <w:rPr>
          <w:rFonts w:eastAsia="Times New Roman"/>
        </w:rPr>
      </w:pPr>
      <w:r>
        <w:rPr>
          <w:rFonts w:ascii="Arial" w:eastAsia="Times New Roman" w:hAnsi="Arial" w:cs="Arial"/>
          <w:color w:val="000000"/>
          <w:sz w:val="20"/>
          <w:szCs w:val="20"/>
        </w:rPr>
        <w:t>Gross derivative balances have been presented without the effects of collateral posted. Derivative assets are adjusted for non-performance risk of our counterparties using their credit default swap spread rates, and are reflected at fair value. For</w:t>
      </w:r>
      <w:r>
        <w:rPr>
          <w:rFonts w:ascii="Arial" w:eastAsia="Times New Roman" w:hAnsi="Arial" w:cs="Arial"/>
          <w:color w:val="000000"/>
          <w:sz w:val="20"/>
          <w:szCs w:val="20"/>
        </w:rPr>
        <w:t xml:space="preserve"> derivative liabilities, our non-performance risk is considered in the valuation.</w:t>
      </w:r>
    </w:p>
    <w:p w:rsidR="00000000" w:rsidRDefault="00EE1167">
      <w:pPr>
        <w:divId w:val="1917008997"/>
        <w:rPr>
          <w:rFonts w:eastAsia="Times New Roman"/>
        </w:rPr>
      </w:pPr>
    </w:p>
    <w:p w:rsidR="00000000" w:rsidRDefault="00EE1167">
      <w:pPr>
        <w:divId w:val="158542973"/>
        <w:rPr>
          <w:rFonts w:eastAsia="Times New Roman"/>
        </w:rPr>
      </w:pPr>
      <w:r>
        <w:rPr>
          <w:rFonts w:ascii="Arial" w:eastAsia="Times New Roman" w:hAnsi="Arial" w:cs="Arial"/>
          <w:color w:val="000000"/>
          <w:sz w:val="20"/>
          <w:szCs w:val="20"/>
        </w:rPr>
        <w:t>Credit risk also arises from trade and other long-term receivables, and is mitigated through credit exposure limits and contractual requirements, assessment of credit ratin</w:t>
      </w:r>
      <w:r>
        <w:rPr>
          <w:rFonts w:ascii="Arial" w:eastAsia="Times New Roman" w:hAnsi="Arial" w:cs="Arial"/>
          <w:color w:val="000000"/>
          <w:sz w:val="20"/>
          <w:szCs w:val="20"/>
        </w:rPr>
        <w:t>gs and netting arrangements. Within Enbridge Gas Inc., credit risk is mitigated by the utility's large and diversified customer base and the ability to recover an estimate for expected credit losses through the ratemaking process. We actively monitor the f</w:t>
      </w:r>
      <w:r>
        <w:rPr>
          <w:rFonts w:ascii="Arial" w:eastAsia="Times New Roman" w:hAnsi="Arial" w:cs="Arial"/>
          <w:color w:val="000000"/>
          <w:sz w:val="20"/>
          <w:szCs w:val="20"/>
        </w:rPr>
        <w:t>inancial strength of large industrial customers, and in select cases, have obtained additional security to minimize the risk of default on receivables. Generally, we utilize a loss allowance matrix which contemplates historical credit losses by age of rece</w:t>
      </w:r>
      <w:r>
        <w:rPr>
          <w:rFonts w:ascii="Arial" w:eastAsia="Times New Roman" w:hAnsi="Arial" w:cs="Arial"/>
          <w:color w:val="000000"/>
          <w:sz w:val="20"/>
          <w:szCs w:val="20"/>
        </w:rPr>
        <w:t>ivables, adjusted for any forward-looking information and management expectations to measure lifetime expected credit losses of receivables. The maximum exposure to credit risk related to non-derivative financial assets is their carrying value.</w:t>
      </w:r>
    </w:p>
    <w:p w:rsidR="00000000" w:rsidRDefault="00EE1167">
      <w:pPr>
        <w:divId w:val="1263101200"/>
        <w:rPr>
          <w:rFonts w:eastAsia="Times New Roman"/>
        </w:rPr>
      </w:pPr>
    </w:p>
    <w:p w:rsidR="00000000" w:rsidRDefault="00EE1167">
      <w:pPr>
        <w:divId w:val="1045256737"/>
        <w:rPr>
          <w:rFonts w:eastAsia="Times New Roman"/>
        </w:rPr>
      </w:pPr>
      <w:r>
        <w:rPr>
          <w:rFonts w:ascii="Arial" w:eastAsia="Times New Roman" w:hAnsi="Arial" w:cs="Arial"/>
          <w:b/>
          <w:bCs/>
          <w:color w:val="000000"/>
          <w:sz w:val="20"/>
          <w:szCs w:val="20"/>
        </w:rPr>
        <w:t>FAIR VALU</w:t>
      </w:r>
      <w:r>
        <w:rPr>
          <w:rFonts w:ascii="Arial" w:eastAsia="Times New Roman" w:hAnsi="Arial" w:cs="Arial"/>
          <w:b/>
          <w:bCs/>
          <w:color w:val="000000"/>
          <w:sz w:val="20"/>
          <w:szCs w:val="20"/>
        </w:rPr>
        <w:t>E MEASUREMENTS</w:t>
      </w:r>
    </w:p>
    <w:p w:rsidR="00000000" w:rsidRDefault="00EE1167">
      <w:pPr>
        <w:divId w:val="1009017546"/>
        <w:rPr>
          <w:rFonts w:eastAsia="Times New Roman"/>
        </w:rPr>
      </w:pPr>
      <w:r>
        <w:rPr>
          <w:rFonts w:ascii="Arial" w:eastAsia="Times New Roman" w:hAnsi="Arial" w:cs="Arial"/>
          <w:color w:val="000000"/>
          <w:sz w:val="20"/>
          <w:szCs w:val="20"/>
        </w:rPr>
        <w:t>Our financial assets and liabilities measured at fair value on a recurring basis include derivative instruments. We also disclose the fair value of other financial instruments not measured at fair value. The fair value of financial instrumen</w:t>
      </w:r>
      <w:r>
        <w:rPr>
          <w:rFonts w:ascii="Arial" w:eastAsia="Times New Roman" w:hAnsi="Arial" w:cs="Arial"/>
          <w:color w:val="000000"/>
          <w:sz w:val="20"/>
          <w:szCs w:val="20"/>
        </w:rPr>
        <w:t>ts reflects our best estimates of market value based on generally accepted valuation techniques or models and is supported by observable market prices and rates. When such values are not available, we use discounted cash flow analysis from applicable yield</w:t>
      </w:r>
      <w:r>
        <w:rPr>
          <w:rFonts w:ascii="Arial" w:eastAsia="Times New Roman" w:hAnsi="Arial" w:cs="Arial"/>
          <w:color w:val="000000"/>
          <w:sz w:val="20"/>
          <w:szCs w:val="20"/>
        </w:rPr>
        <w:t xml:space="preserve"> curves based on observable market inputs to estimate fair value.</w:t>
      </w:r>
    </w:p>
    <w:p w:rsidR="00000000" w:rsidRDefault="00EE1167">
      <w:pPr>
        <w:divId w:val="2074544060"/>
        <w:rPr>
          <w:rFonts w:eastAsia="Times New Roman"/>
        </w:rPr>
      </w:pPr>
    </w:p>
    <w:p w:rsidR="00000000" w:rsidRDefault="00EE1167">
      <w:pPr>
        <w:divId w:val="819813435"/>
        <w:rPr>
          <w:rFonts w:eastAsia="Times New Roman"/>
        </w:rPr>
      </w:pPr>
      <w:r>
        <w:rPr>
          <w:rFonts w:ascii="Arial" w:eastAsia="Times New Roman" w:hAnsi="Arial" w:cs="Arial"/>
          <w:b/>
          <w:bCs/>
          <w:color w:val="000000"/>
          <w:sz w:val="20"/>
          <w:szCs w:val="20"/>
        </w:rPr>
        <w:t>FAIR VALUE OF FINANCIAL INSTRUMENTS</w:t>
      </w:r>
    </w:p>
    <w:p w:rsidR="00000000" w:rsidRDefault="00EE1167">
      <w:pPr>
        <w:divId w:val="1942254243"/>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EE1167">
      <w:pPr>
        <w:divId w:val="1864662312"/>
        <w:rPr>
          <w:rFonts w:eastAsia="Times New Roman"/>
        </w:rPr>
      </w:pPr>
    </w:p>
    <w:p w:rsidR="00000000" w:rsidRDefault="00EE1167">
      <w:pPr>
        <w:divId w:val="55248440"/>
        <w:rPr>
          <w:rFonts w:eastAsia="Times New Roman"/>
        </w:rPr>
      </w:pPr>
      <w:r>
        <w:rPr>
          <w:rFonts w:ascii="Arial" w:eastAsia="Times New Roman" w:hAnsi="Arial" w:cs="Arial"/>
          <w:b/>
          <w:bCs/>
          <w:color w:val="000000"/>
          <w:sz w:val="20"/>
          <w:szCs w:val="20"/>
        </w:rPr>
        <w:t>Level 1</w:t>
      </w:r>
    </w:p>
    <w:p w:rsidR="00000000" w:rsidRDefault="00EE1167">
      <w:pPr>
        <w:divId w:val="729883724"/>
        <w:rPr>
          <w:rFonts w:eastAsia="Times New Roman"/>
        </w:rPr>
      </w:pPr>
      <w:r>
        <w:rPr>
          <w:rFonts w:ascii="Arial" w:eastAsia="Times New Roman" w:hAnsi="Arial" w:cs="Arial"/>
          <w:color w:val="000000"/>
          <w:sz w:val="20"/>
          <w:szCs w:val="20"/>
        </w:rPr>
        <w:t>Level 1 includes derivatives measured at fair value based on unadjusted q</w:t>
      </w:r>
      <w:r>
        <w:rPr>
          <w:rFonts w:ascii="Arial" w:eastAsia="Times New Roman" w:hAnsi="Arial" w:cs="Arial"/>
          <w:color w:val="000000"/>
          <w:sz w:val="20"/>
          <w:szCs w:val="20"/>
        </w:rPr>
        <w:t>uoted prices for identical assets and liabilities in active markets that are accessible at the measurement date. An active market for a derivative is considered to be a market where transactions occur with sufficient frequency and volume to provide pricing</w:t>
      </w:r>
      <w:r>
        <w:rPr>
          <w:rFonts w:ascii="Arial" w:eastAsia="Times New Roman" w:hAnsi="Arial" w:cs="Arial"/>
          <w:color w:val="000000"/>
          <w:sz w:val="20"/>
          <w:szCs w:val="20"/>
        </w:rPr>
        <w:t xml:space="preserve"> information on an ongoing basis. Our Level 1 instruments consist primarily of exchange-traded derivatives used to mitigate the risk of crude oil price fluctuations.</w:t>
      </w:r>
    </w:p>
    <w:p w:rsidR="00000000" w:rsidRDefault="00EE1167">
      <w:pPr>
        <w:divId w:val="150491700"/>
        <w:rPr>
          <w:rFonts w:eastAsia="Times New Roman"/>
        </w:rPr>
      </w:pPr>
      <w:r>
        <w:rPr>
          <w:rFonts w:ascii="Arial" w:eastAsia="Times New Roman" w:hAnsi="Arial" w:cs="Arial"/>
          <w:color w:val="000000"/>
          <w:sz w:val="20"/>
          <w:szCs w:val="20"/>
        </w:rPr>
        <w:t> </w:t>
      </w:r>
    </w:p>
    <w:p w:rsidR="00000000" w:rsidRDefault="00EE1167">
      <w:pPr>
        <w:jc w:val="center"/>
        <w:divId w:val="1175849776"/>
        <w:rPr>
          <w:rFonts w:eastAsia="Times New Roman"/>
        </w:rPr>
      </w:pPr>
      <w:r>
        <w:rPr>
          <w:rFonts w:ascii="Arial" w:eastAsia="Times New Roman" w:hAnsi="Arial" w:cs="Arial"/>
          <w:color w:val="000000"/>
          <w:sz w:val="20"/>
          <w:szCs w:val="20"/>
        </w:rPr>
        <w:t>30</w:t>
      </w:r>
    </w:p>
    <w:p w:rsidR="00000000" w:rsidRDefault="00EE1167">
      <w:pPr>
        <w:rPr>
          <w:rFonts w:eastAsia="Times New Roman"/>
        </w:rPr>
      </w:pPr>
      <w:r>
        <w:rPr>
          <w:rFonts w:eastAsia="Times New Roman"/>
        </w:rPr>
        <w:pict>
          <v:rect id="_x0000_i1055" style="width:0;height:1.5pt" o:hralign="center" o:hrstd="t" o:hr="t" fillcolor="#a0a0a0" stroked="f"/>
        </w:pict>
      </w:r>
    </w:p>
    <w:p w:rsidR="00000000" w:rsidRDefault="00EE1167">
      <w:pPr>
        <w:jc w:val="center"/>
        <w:divId w:val="1505167813"/>
        <w:rPr>
          <w:rFonts w:eastAsia="Times New Roman"/>
        </w:rPr>
      </w:pPr>
    </w:p>
    <w:p w:rsidR="00000000" w:rsidRDefault="00EE1167">
      <w:pPr>
        <w:divId w:val="1503813179"/>
        <w:rPr>
          <w:rFonts w:eastAsia="Times New Roman"/>
        </w:rPr>
      </w:pPr>
      <w:r>
        <w:rPr>
          <w:rFonts w:ascii="Arial" w:eastAsia="Times New Roman" w:hAnsi="Arial" w:cs="Arial"/>
          <w:b/>
          <w:bCs/>
          <w:color w:val="000000"/>
          <w:sz w:val="20"/>
          <w:szCs w:val="20"/>
        </w:rPr>
        <w:t>Level 2</w:t>
      </w:r>
    </w:p>
    <w:p w:rsidR="00000000" w:rsidRDefault="00EE1167">
      <w:pPr>
        <w:divId w:val="376707145"/>
        <w:rPr>
          <w:rFonts w:eastAsia="Times New Roman"/>
        </w:rPr>
      </w:pPr>
      <w:r>
        <w:rPr>
          <w:rFonts w:ascii="Arial" w:eastAsia="Times New Roman" w:hAnsi="Arial" w:cs="Arial"/>
          <w:color w:val="000000"/>
          <w:sz w:val="20"/>
          <w:szCs w:val="20"/>
        </w:rPr>
        <w:t xml:space="preserve">Level 2 includes derivative valuations determined using directly or indirectly observable inputs other than quoted prices included within Level 1. Derivatives in this category are valued using models or other industry standard valuation techniques derived </w:t>
      </w:r>
      <w:r>
        <w:rPr>
          <w:rFonts w:ascii="Arial" w:eastAsia="Times New Roman" w:hAnsi="Arial" w:cs="Arial"/>
          <w:color w:val="000000"/>
          <w:sz w:val="20"/>
          <w:szCs w:val="20"/>
        </w:rPr>
        <w:t xml:space="preserve">from observable market data. Such valuation techniques include inputs such as quoted forward prices, time value, volatility factors and broker quotes that can be observed or corroborated in the market for the entire duration of the derivative. Derivatives </w:t>
      </w:r>
      <w:r>
        <w:rPr>
          <w:rFonts w:ascii="Arial" w:eastAsia="Times New Roman" w:hAnsi="Arial" w:cs="Arial"/>
          <w:color w:val="000000"/>
          <w:sz w:val="20"/>
          <w:szCs w:val="20"/>
        </w:rPr>
        <w:t>valued using Level 2 inputs include non-exchange traded derivatives such as over-the-counter foreign exchange forward and cross currency swap contracts, interest rate swaps, physical forward commodity contracts, as well as commodity swaps and options for w</w:t>
      </w:r>
      <w:r>
        <w:rPr>
          <w:rFonts w:ascii="Arial" w:eastAsia="Times New Roman" w:hAnsi="Arial" w:cs="Arial"/>
          <w:color w:val="000000"/>
          <w:sz w:val="20"/>
          <w:szCs w:val="20"/>
        </w:rPr>
        <w:t>hich observable inputs can be obtained.</w:t>
      </w:r>
    </w:p>
    <w:p w:rsidR="00000000" w:rsidRDefault="00EE1167">
      <w:pPr>
        <w:divId w:val="697003836"/>
        <w:rPr>
          <w:rFonts w:eastAsia="Times New Roman"/>
        </w:rPr>
      </w:pPr>
    </w:p>
    <w:p w:rsidR="00000000" w:rsidRDefault="00EE1167">
      <w:pPr>
        <w:divId w:val="1789353690"/>
        <w:rPr>
          <w:rFonts w:eastAsia="Times New Roman"/>
        </w:rPr>
      </w:pPr>
      <w:r>
        <w:rPr>
          <w:rFonts w:ascii="Arial" w:eastAsia="Times New Roman" w:hAnsi="Arial" w:cs="Arial"/>
          <w:color w:val="000000"/>
          <w:sz w:val="20"/>
          <w:szCs w:val="20"/>
        </w:rPr>
        <w:t>We have also categorized the fair value of our available-for-sale preferred share investment and long-term debt as Level 2. The fair value of our available-for-sale preferred share investment is based on the redemp</w:t>
      </w:r>
      <w:r>
        <w:rPr>
          <w:rFonts w:ascii="Arial" w:eastAsia="Times New Roman" w:hAnsi="Arial" w:cs="Arial"/>
          <w:color w:val="000000"/>
          <w:sz w:val="20"/>
          <w:szCs w:val="20"/>
        </w:rPr>
        <w:t>tion value, which equals the face value plus accrued and unpaid interest periodically reset based on market interest rates. The fair value of our long-term debt is based on quoted market prices for instruments of similar yield, credit risk and tenor.</w:t>
      </w:r>
    </w:p>
    <w:p w:rsidR="00000000" w:rsidRDefault="00EE1167">
      <w:pPr>
        <w:divId w:val="1885025170"/>
        <w:rPr>
          <w:rFonts w:eastAsia="Times New Roman"/>
        </w:rPr>
      </w:pPr>
    </w:p>
    <w:p w:rsidR="00000000" w:rsidRDefault="00EE1167">
      <w:pPr>
        <w:divId w:val="2112818268"/>
        <w:rPr>
          <w:rFonts w:eastAsia="Times New Roman"/>
        </w:rPr>
      </w:pPr>
      <w:r>
        <w:rPr>
          <w:rFonts w:ascii="Arial" w:eastAsia="Times New Roman" w:hAnsi="Arial" w:cs="Arial"/>
          <w:b/>
          <w:bCs/>
          <w:color w:val="000000"/>
          <w:sz w:val="20"/>
          <w:szCs w:val="20"/>
        </w:rPr>
        <w:t>Lev</w:t>
      </w:r>
      <w:r>
        <w:rPr>
          <w:rFonts w:ascii="Arial" w:eastAsia="Times New Roman" w:hAnsi="Arial" w:cs="Arial"/>
          <w:b/>
          <w:bCs/>
          <w:color w:val="000000"/>
          <w:sz w:val="20"/>
          <w:szCs w:val="20"/>
        </w:rPr>
        <w:t>el 3</w:t>
      </w:r>
    </w:p>
    <w:p w:rsidR="00000000" w:rsidRDefault="00EE1167">
      <w:pPr>
        <w:divId w:val="554270544"/>
        <w:rPr>
          <w:rFonts w:eastAsia="Times New Roman"/>
        </w:rPr>
      </w:pPr>
      <w:r>
        <w:rPr>
          <w:rFonts w:ascii="Arial" w:eastAsia="Times New Roman" w:hAnsi="Arial" w:cs="Arial"/>
          <w:color w:val="000000"/>
          <w:sz w:val="20"/>
          <w:szCs w:val="20"/>
        </w:rPr>
        <w:t>Level 3 includes derivative valuations based on inputs which are less observable, unavailable or where the observable data does not support a significant portion of the derivatives’ fair value. Generally, Level 3 derivatives are longer dated transacti</w:t>
      </w:r>
      <w:r>
        <w:rPr>
          <w:rFonts w:ascii="Arial" w:eastAsia="Times New Roman" w:hAnsi="Arial" w:cs="Arial"/>
          <w:color w:val="000000"/>
          <w:sz w:val="20"/>
          <w:szCs w:val="20"/>
        </w:rPr>
        <w:t>ons, occur in less active markets, occur at locations where pricing information is not available or have no binding broker quote to support Level 2 classification. We have developed methodologies, benchmarked against industry standards, to determine fair v</w:t>
      </w:r>
      <w:r>
        <w:rPr>
          <w:rFonts w:ascii="Arial" w:eastAsia="Times New Roman" w:hAnsi="Arial" w:cs="Arial"/>
          <w:color w:val="000000"/>
          <w:sz w:val="20"/>
          <w:szCs w:val="20"/>
        </w:rPr>
        <w:t>alue for these derivatives based on extrapolation of observable future prices and rates. Derivatives valued using Level 3 inputs primarily include long-dated derivative power, NGL and natural gas contracts, basis swaps, commodity swaps, and power and energ</w:t>
      </w:r>
      <w:r>
        <w:rPr>
          <w:rFonts w:ascii="Arial" w:eastAsia="Times New Roman" w:hAnsi="Arial" w:cs="Arial"/>
          <w:color w:val="000000"/>
          <w:sz w:val="20"/>
          <w:szCs w:val="20"/>
        </w:rPr>
        <w:t>y swaps. We do not have any other financial instruments categorized in Level 3.</w:t>
      </w:r>
    </w:p>
    <w:p w:rsidR="00000000" w:rsidRDefault="00EE1167">
      <w:pPr>
        <w:divId w:val="1180698468"/>
        <w:rPr>
          <w:rFonts w:eastAsia="Times New Roman"/>
        </w:rPr>
      </w:pPr>
    </w:p>
    <w:p w:rsidR="00000000" w:rsidRDefault="00EE1167">
      <w:pPr>
        <w:divId w:val="308440072"/>
        <w:rPr>
          <w:rFonts w:eastAsia="Times New Roman"/>
        </w:rPr>
      </w:pPr>
      <w:r>
        <w:rPr>
          <w:rFonts w:ascii="Arial" w:eastAsia="Times New Roman" w:hAnsi="Arial" w:cs="Arial"/>
          <w:color w:val="000000"/>
          <w:sz w:val="20"/>
          <w:szCs w:val="20"/>
        </w:rPr>
        <w:t>We use the most observable inputs available to estimate the fair value of our derivatives. When possible, we estimate the fair value of our derivatives based on quoted market</w:t>
      </w:r>
      <w:r>
        <w:rPr>
          <w:rFonts w:ascii="Arial" w:eastAsia="Times New Roman" w:hAnsi="Arial" w:cs="Arial"/>
          <w:color w:val="000000"/>
          <w:sz w:val="20"/>
          <w:szCs w:val="20"/>
        </w:rPr>
        <w:t xml:space="preserve"> prices. If quoted market prices are not available, we use estimates from third party brokers. For non-exchange traded derivatives classified in Levels 2 and 3, we use standard valuation techniques to calculate the estimated fair value. These methods inclu</w:t>
      </w:r>
      <w:r>
        <w:rPr>
          <w:rFonts w:ascii="Arial" w:eastAsia="Times New Roman" w:hAnsi="Arial" w:cs="Arial"/>
          <w:color w:val="000000"/>
          <w:sz w:val="20"/>
          <w:szCs w:val="20"/>
        </w:rPr>
        <w:t>de discounted cash flows for forwards and swaps and Black-Scholes-Merton pricing models for options. Depending on the type of derivative and nature of the underlying risk, we use observable market prices (interest, foreign exchange, commodity and share pri</w:t>
      </w:r>
      <w:r>
        <w:rPr>
          <w:rFonts w:ascii="Arial" w:eastAsia="Times New Roman" w:hAnsi="Arial" w:cs="Arial"/>
          <w:color w:val="000000"/>
          <w:sz w:val="20"/>
          <w:szCs w:val="20"/>
        </w:rPr>
        <w:t>ce) as primary inputs to these valuation techniques. Finally, we consider our own credit default swap spread as well as the credit default swap spreads associated with our counterparties in our estimation of fair value.</w:t>
      </w:r>
    </w:p>
    <w:p w:rsidR="00000000" w:rsidRDefault="00EE1167">
      <w:pPr>
        <w:divId w:val="94249504"/>
        <w:rPr>
          <w:rFonts w:eastAsia="Times New Roman"/>
        </w:rPr>
      </w:pPr>
    </w:p>
    <w:p w:rsidR="00000000" w:rsidRDefault="00EE1167">
      <w:pPr>
        <w:jc w:val="center"/>
        <w:divId w:val="1039284694"/>
        <w:rPr>
          <w:rFonts w:eastAsia="Times New Roman"/>
        </w:rPr>
      </w:pPr>
      <w:r>
        <w:rPr>
          <w:rFonts w:ascii="Arial" w:eastAsia="Times New Roman" w:hAnsi="Arial" w:cs="Arial"/>
          <w:color w:val="000000"/>
          <w:sz w:val="20"/>
          <w:szCs w:val="20"/>
        </w:rPr>
        <w:t>31</w:t>
      </w:r>
    </w:p>
    <w:p w:rsidR="00000000" w:rsidRDefault="00EE1167">
      <w:pPr>
        <w:rPr>
          <w:rFonts w:eastAsia="Times New Roman"/>
        </w:rPr>
      </w:pPr>
      <w:r>
        <w:rPr>
          <w:rFonts w:eastAsia="Times New Roman"/>
        </w:rPr>
        <w:pict>
          <v:rect id="_x0000_i1056" style="width:0;height:1.5pt" o:hralign="center" o:hrstd="t" o:hr="t" fillcolor="#a0a0a0" stroked="f"/>
        </w:pict>
      </w:r>
    </w:p>
    <w:p w:rsidR="00000000" w:rsidRDefault="00EE1167">
      <w:pPr>
        <w:jc w:val="center"/>
        <w:divId w:val="877863433"/>
        <w:rPr>
          <w:rFonts w:eastAsia="Times New Roman"/>
        </w:rPr>
      </w:pPr>
    </w:p>
    <w:p w:rsidR="00000000" w:rsidRDefault="00EE1167">
      <w:pPr>
        <w:divId w:val="1005790891"/>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1"/>
        <w:gridCol w:w="3985"/>
        <w:gridCol w:w="38"/>
        <w:gridCol w:w="61"/>
        <w:gridCol w:w="938"/>
        <w:gridCol w:w="36"/>
        <w:gridCol w:w="62"/>
        <w:gridCol w:w="939"/>
        <w:gridCol w:w="36"/>
        <w:gridCol w:w="62"/>
        <w:gridCol w:w="939"/>
        <w:gridCol w:w="36"/>
        <w:gridCol w:w="86"/>
        <w:gridCol w:w="991"/>
        <w:gridCol w:w="36"/>
      </w:tblGrid>
      <w:tr w:rsidR="00000000">
        <w:trPr>
          <w:divId w:val="225262144"/>
        </w:trPr>
        <w:tc>
          <w:tcPr>
            <w:tcW w:w="50" w:type="pct"/>
            <w:vAlign w:val="center"/>
            <w:hideMark/>
          </w:tcPr>
          <w:p w:rsidR="00000000" w:rsidRDefault="00EE1167">
            <w:pPr>
              <w:rPr>
                <w:rFonts w:eastAsia="Times New Roman"/>
              </w:rPr>
            </w:pPr>
          </w:p>
        </w:tc>
        <w:tc>
          <w:tcPr>
            <w:tcW w:w="241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25262144"/>
        </w:trPr>
        <w:tc>
          <w:tcPr>
            <w:tcW w:w="0" w:type="auto"/>
            <w:gridSpan w:val="3"/>
            <w:tcMar>
              <w:top w:w="30" w:type="dxa"/>
              <w:left w:w="20" w:type="dxa"/>
              <w:bottom w:w="30" w:type="dxa"/>
              <w:right w:w="20" w:type="dxa"/>
            </w:tcMar>
            <w:vAlign w:val="bottom"/>
            <w:hideMark/>
          </w:tcPr>
          <w:p w:rsidR="00000000" w:rsidRDefault="00EE1167">
            <w:pPr>
              <w:spacing w:after="100"/>
              <w:jc w:val="both"/>
              <w:rPr>
                <w:rFonts w:eastAsia="Times New Roman"/>
              </w:rPr>
            </w:pPr>
            <w:r>
              <w:rPr>
                <w:rFonts w:ascii="Arial" w:eastAsia="Times New Roman" w:hAnsi="Arial" w:cs="Arial"/>
                <w:b/>
                <w:bCs/>
                <w:color w:val="000000"/>
                <w:sz w:val="20"/>
                <w:szCs w:val="20"/>
              </w:rPr>
              <w:t>September 30, 2021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2030372614"/>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4233788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316569958"/>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383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553</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549805204"/>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407846288"/>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171145341"/>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465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502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472138685"/>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471563234"/>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(261)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(261)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814840012"/>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57654582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(549)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(149)</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(496)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(845)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770269634"/>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(499)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332441519"/>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(138)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166824935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(80)</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divId w:val="1077437901"/>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(35)</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(671)</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(80)</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(786)</w:t>
            </w:r>
          </w:p>
        </w:tc>
        <w:tc>
          <w:tcPr>
            <w:tcW w:w="0" w:type="auto"/>
            <w:tcBorders>
              <w:top w:val="single" w:sz="4"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57096280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(287)</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2146390126"/>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518009371"/>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(23)</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(38)</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(234)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(295)</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Mar>
              <w:top w:w="30" w:type="dxa"/>
              <w:left w:w="20" w:type="dxa"/>
              <w:bottom w:w="30" w:type="dxa"/>
              <w:right w:w="20" w:type="dxa"/>
            </w:tcMar>
            <w:vAlign w:val="center"/>
            <w:hideMark/>
          </w:tcPr>
          <w:p w:rsidR="00000000" w:rsidRDefault="00EE1167">
            <w:pPr>
              <w:spacing w:after="100"/>
              <w:divId w:val="993492309"/>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225262144"/>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(23)</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(319)</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(576)</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jc w:val="center"/>
        <w:divId w:val="1194687933"/>
        <w:rPr>
          <w:rFonts w:eastAsia="Times New Roman"/>
        </w:rPr>
      </w:pPr>
      <w:r>
        <w:rPr>
          <w:rFonts w:ascii="Arial" w:eastAsia="Times New Roman" w:hAnsi="Arial" w:cs="Arial"/>
          <w:color w:val="000000"/>
          <w:sz w:val="20"/>
          <w:szCs w:val="20"/>
        </w:rPr>
        <w:t>32</w:t>
      </w:r>
    </w:p>
    <w:p w:rsidR="00000000" w:rsidRDefault="00EE1167">
      <w:pPr>
        <w:rPr>
          <w:rFonts w:eastAsia="Times New Roman"/>
        </w:rPr>
      </w:pPr>
      <w:r>
        <w:rPr>
          <w:rFonts w:eastAsia="Times New Roman"/>
        </w:rPr>
        <w:pict>
          <v:rect id="_x0000_i1057" style="width:0;height:1.5pt" o:hralign="center" o:hrstd="t" o:hr="t" fillcolor="#a0a0a0" stroked="f"/>
        </w:pict>
      </w:r>
    </w:p>
    <w:p w:rsidR="00000000" w:rsidRDefault="00EE1167">
      <w:pPr>
        <w:jc w:val="center"/>
        <w:divId w:val="19868113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3992"/>
        <w:gridCol w:w="40"/>
        <w:gridCol w:w="60"/>
        <w:gridCol w:w="937"/>
        <w:gridCol w:w="36"/>
        <w:gridCol w:w="61"/>
        <w:gridCol w:w="937"/>
        <w:gridCol w:w="36"/>
        <w:gridCol w:w="61"/>
        <w:gridCol w:w="937"/>
        <w:gridCol w:w="36"/>
        <w:gridCol w:w="86"/>
        <w:gridCol w:w="991"/>
        <w:gridCol w:w="36"/>
      </w:tblGrid>
      <w:tr w:rsidR="00000000">
        <w:trPr>
          <w:divId w:val="1159153002"/>
        </w:trPr>
        <w:tc>
          <w:tcPr>
            <w:tcW w:w="50" w:type="pct"/>
            <w:vAlign w:val="center"/>
            <w:hideMark/>
          </w:tcPr>
          <w:p w:rsidR="00000000" w:rsidRDefault="00EE1167">
            <w:pPr>
              <w:jc w:val="center"/>
              <w:rPr>
                <w:rFonts w:eastAsia="Times New Roman"/>
              </w:rPr>
            </w:pPr>
          </w:p>
        </w:tc>
        <w:tc>
          <w:tcPr>
            <w:tcW w:w="241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7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159153002"/>
        </w:trPr>
        <w:tc>
          <w:tcPr>
            <w:tcW w:w="0" w:type="auto"/>
            <w:gridSpan w:val="3"/>
            <w:tcMar>
              <w:top w:w="30" w:type="dxa"/>
              <w:left w:w="20" w:type="dxa"/>
              <w:bottom w:w="30" w:type="dxa"/>
              <w:right w:w="20" w:type="dxa"/>
            </w:tcMar>
            <w:vAlign w:val="bottom"/>
            <w:hideMark/>
          </w:tcPr>
          <w:p w:rsidR="00000000" w:rsidRDefault="00EE1167">
            <w:pPr>
              <w:spacing w:after="100"/>
              <w:jc w:val="both"/>
              <w:rPr>
                <w:rFonts w:eastAsia="Times New Roman"/>
              </w:rPr>
            </w:pPr>
            <w:r>
              <w:rPr>
                <w:rFonts w:ascii="Arial" w:eastAsia="Times New Roman" w:hAnsi="Arial" w:cs="Arial"/>
                <w:color w:val="000000"/>
                <w:sz w:val="20"/>
                <w:szCs w:val="20"/>
              </w:rPr>
              <w:t>December 31, 2020</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466320875"/>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232621991"/>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vAlign w:val="center"/>
            <w:hideMark/>
          </w:tcPr>
          <w:p w:rsidR="00000000" w:rsidRDefault="00EE1167">
            <w:pPr>
              <w:spacing w:after="100"/>
              <w:jc w:val="right"/>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88738223"/>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143 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213 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67 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323 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2086225575"/>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466 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56 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546 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14 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561 </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19734716"/>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2151714"/>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177964533"/>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(425)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411971872"/>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(223)</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38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(632)</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(223)</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(894)</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743067668"/>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(760)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747771948"/>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(241)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88910701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(58)</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1,009)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(1,059)</w:t>
            </w:r>
          </w:p>
        </w:tc>
        <w:tc>
          <w:tcPr>
            <w:tcW w:w="0" w:type="auto"/>
            <w:tcBorders>
              <w:top w:val="single" w:sz="4"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428307924"/>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(299)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1940945699"/>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(610)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53126487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(191)</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(156)</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Mar>
              <w:top w:w="30" w:type="dxa"/>
              <w:left w:w="20" w:type="dxa"/>
              <w:bottom w:w="30" w:type="dxa"/>
              <w:right w:w="20" w:type="dxa"/>
            </w:tcMar>
            <w:vAlign w:val="center"/>
            <w:hideMark/>
          </w:tcPr>
          <w:p w:rsidR="00000000" w:rsidRDefault="00EE1167">
            <w:pPr>
              <w:spacing w:after="100"/>
              <w:divId w:val="2016229373"/>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159153002"/>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(882)</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(191)</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(1,069)</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395401407"/>
        <w:rPr>
          <w:rFonts w:eastAsia="Times New Roman"/>
        </w:rPr>
      </w:pPr>
    </w:p>
    <w:p w:rsidR="00000000" w:rsidRDefault="00EE1167">
      <w:pPr>
        <w:divId w:val="1114599128"/>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6"/>
        <w:gridCol w:w="77"/>
        <w:gridCol w:w="366"/>
        <w:gridCol w:w="36"/>
        <w:gridCol w:w="63"/>
        <w:gridCol w:w="1553"/>
        <w:gridCol w:w="36"/>
        <w:gridCol w:w="63"/>
        <w:gridCol w:w="885"/>
        <w:gridCol w:w="36"/>
        <w:gridCol w:w="63"/>
        <w:gridCol w:w="886"/>
        <w:gridCol w:w="36"/>
        <w:gridCol w:w="64"/>
        <w:gridCol w:w="900"/>
        <w:gridCol w:w="36"/>
        <w:gridCol w:w="88"/>
        <w:gridCol w:w="923"/>
        <w:gridCol w:w="36"/>
      </w:tblGrid>
      <w:tr w:rsidR="00000000">
        <w:trPr>
          <w:divId w:val="534001107"/>
        </w:trPr>
        <w:tc>
          <w:tcPr>
            <w:tcW w:w="50" w:type="pct"/>
            <w:vAlign w:val="center"/>
            <w:hideMark/>
          </w:tcPr>
          <w:p w:rsidR="00000000" w:rsidRDefault="00EE1167">
            <w:pPr>
              <w:rPr>
                <w:rFonts w:eastAsia="Times New Roman"/>
              </w:rPr>
            </w:pPr>
          </w:p>
        </w:tc>
        <w:tc>
          <w:tcPr>
            <w:tcW w:w="125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4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94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5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534001107"/>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16"/>
                <w:szCs w:val="16"/>
              </w:rPr>
              <w:t>September 30, 2021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r>
            <w:r>
              <w:rPr>
                <w:rFonts w:ascii="Arial" w:eastAsia="Times New Roman" w:hAnsi="Arial" w:cs="Arial"/>
                <w:color w:val="000000"/>
                <w:sz w:val="16"/>
                <w:szCs w:val="16"/>
              </w:rPr>
              <w:t>Average Price</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534001107"/>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52377115"/>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37918255"/>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(20)</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4.95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859268763"/>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68.14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94.91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81.51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$/barrel</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927033468"/>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NGL price</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$/gallon</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346952875"/>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(65)</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37.91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128.70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76.20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$/MW/H</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623342845"/>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75582571"/>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(94)</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2.86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9.85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6.30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69300520"/>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(53)</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75.66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96.75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90.70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$/barrel</w:t>
            </w:r>
          </w:p>
        </w:tc>
      </w:tr>
      <w:tr w:rsidR="00000000">
        <w:trPr>
          <w:divId w:val="534001107"/>
        </w:trPr>
        <w:tc>
          <w:tcPr>
            <w:tcW w:w="0" w:type="auto"/>
            <w:gridSpan w:val="3"/>
            <w:tcMar>
              <w:top w:w="30" w:type="dxa"/>
              <w:left w:w="20" w:type="dxa"/>
              <w:bottom w:w="30" w:type="dxa"/>
              <w:right w:w="20" w:type="dxa"/>
            </w:tcMar>
            <w:hideMark/>
          </w:tcPr>
          <w:p w:rsidR="00000000" w:rsidRDefault="00EE1167">
            <w:pPr>
              <w:spacing w:after="100"/>
              <w:divId w:val="1811744432"/>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Forward NGL price</w:t>
            </w:r>
          </w:p>
        </w:tc>
        <w:tc>
          <w:tcPr>
            <w:tcW w:w="0" w:type="auto"/>
            <w:gridSpan w:val="2"/>
            <w:shd w:val="clear" w:color="auto" w:fill="DBDBDB"/>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16"/>
                <w:szCs w:val="16"/>
              </w:rPr>
              <w:t>$/gallon</w:t>
            </w:r>
          </w:p>
        </w:tc>
      </w:tr>
      <w:tr w:rsidR="00000000">
        <w:trPr>
          <w:divId w:val="534001107"/>
        </w:trPr>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16"/>
                <w:szCs w:val="16"/>
              </w:rPr>
              <w:t>(234)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bottom w:val="single" w:sz="8"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r>
    </w:tbl>
    <w:p w:rsidR="00000000" w:rsidRDefault="00EE1167">
      <w:pPr>
        <w:ind w:hanging="180"/>
        <w:divId w:val="179512510"/>
        <w:rPr>
          <w:rFonts w:eastAsia="Times New Roman"/>
        </w:rPr>
      </w:pPr>
      <w:r>
        <w:rPr>
          <w:rFonts w:ascii="Arial" w:eastAsia="Times New Roman" w:hAnsi="Arial" w:cs="Arial"/>
          <w:i/>
          <w:iCs/>
          <w:color w:val="000000"/>
          <w:sz w:val="16"/>
          <w:szCs w:val="16"/>
        </w:rPr>
        <w:t>1    Financial and physical forward commodity contracts are valued using a market approach valuation technique.</w:t>
      </w:r>
    </w:p>
    <w:p w:rsidR="00000000" w:rsidRDefault="00EE1167">
      <w:pPr>
        <w:ind w:hanging="180"/>
        <w:divId w:val="500052052"/>
        <w:rPr>
          <w:rFonts w:eastAsia="Times New Roman"/>
        </w:rPr>
      </w:pPr>
      <w:r>
        <w:rPr>
          <w:rFonts w:ascii="Arial" w:eastAsia="Times New Roman" w:hAnsi="Arial" w:cs="Arial"/>
          <w:i/>
          <w:iCs/>
          <w:color w:val="000000"/>
          <w:sz w:val="16"/>
          <w:szCs w:val="16"/>
        </w:rPr>
        <w:t>2    One million British thermal units (mmbtu).</w:t>
      </w:r>
    </w:p>
    <w:p w:rsidR="00000000" w:rsidRDefault="00EE1167">
      <w:pPr>
        <w:divId w:val="537471371"/>
        <w:rPr>
          <w:rFonts w:eastAsia="Times New Roman"/>
        </w:rPr>
      </w:pPr>
      <w:r>
        <w:rPr>
          <w:rFonts w:ascii="Arial" w:eastAsia="Times New Roman" w:hAnsi="Arial" w:cs="Arial"/>
          <w:color w:val="000000"/>
          <w:sz w:val="2"/>
          <w:szCs w:val="2"/>
        </w:rPr>
        <w:t> </w:t>
      </w:r>
    </w:p>
    <w:p w:rsidR="00000000" w:rsidRDefault="00EE1167">
      <w:pPr>
        <w:divId w:val="1256399292"/>
        <w:rPr>
          <w:rFonts w:eastAsia="Times New Roman"/>
        </w:rPr>
      </w:pPr>
    </w:p>
    <w:p w:rsidR="00000000" w:rsidRDefault="00EE1167">
      <w:pPr>
        <w:jc w:val="center"/>
        <w:divId w:val="1017774189"/>
        <w:rPr>
          <w:rFonts w:eastAsia="Times New Roman"/>
        </w:rPr>
      </w:pPr>
      <w:r>
        <w:rPr>
          <w:rFonts w:ascii="Arial" w:eastAsia="Times New Roman" w:hAnsi="Arial" w:cs="Arial"/>
          <w:color w:val="000000"/>
          <w:sz w:val="20"/>
          <w:szCs w:val="20"/>
        </w:rPr>
        <w:t>33</w:t>
      </w:r>
    </w:p>
    <w:p w:rsidR="00000000" w:rsidRDefault="00EE1167">
      <w:pPr>
        <w:rPr>
          <w:rFonts w:eastAsia="Times New Roman"/>
        </w:rPr>
      </w:pPr>
      <w:r>
        <w:rPr>
          <w:rFonts w:eastAsia="Times New Roman"/>
        </w:rPr>
        <w:pict>
          <v:rect id="_x0000_i1058" style="width:0;height:1.5pt" o:hralign="center" o:hrstd="t" o:hr="t" fillcolor="#a0a0a0" stroked="f"/>
        </w:pict>
      </w:r>
    </w:p>
    <w:p w:rsidR="00000000" w:rsidRDefault="00EE1167">
      <w:pPr>
        <w:jc w:val="center"/>
        <w:divId w:val="1402437417"/>
        <w:rPr>
          <w:rFonts w:eastAsia="Times New Roman"/>
        </w:rPr>
      </w:pPr>
    </w:p>
    <w:p w:rsidR="00000000" w:rsidRDefault="00EE1167">
      <w:pPr>
        <w:divId w:val="62681611"/>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ue measurement of Level 3 derivative instruments include forward commodity prices. Changes in forward commodity prices could result in significantly different fair values for our Level 3 derivatives.</w:t>
      </w:r>
    </w:p>
    <w:p w:rsidR="00000000" w:rsidRDefault="00EE1167">
      <w:pPr>
        <w:divId w:val="1267687974"/>
        <w:rPr>
          <w:rFonts w:eastAsia="Times New Roman"/>
        </w:rPr>
      </w:pPr>
    </w:p>
    <w:p w:rsidR="00000000" w:rsidRDefault="00EE1167">
      <w:pPr>
        <w:divId w:val="2113622415"/>
        <w:rPr>
          <w:rFonts w:eastAsia="Times New Roman"/>
        </w:rPr>
      </w:pPr>
      <w:r>
        <w:rPr>
          <w:rFonts w:ascii="Arial" w:eastAsia="Times New Roman" w:hAnsi="Arial" w:cs="Arial"/>
          <w:color w:val="000000"/>
          <w:sz w:val="20"/>
          <w:szCs w:val="20"/>
        </w:rPr>
        <w:t>Changes in net fair value of derivative assets and liabilities classified as Level 3 in the fair value hierarchy were as follows:</w:t>
      </w:r>
    </w:p>
    <w:tbl>
      <w:tblPr>
        <w:tblW w:w="5000" w:type="pct"/>
        <w:tblCellMar>
          <w:top w:w="15" w:type="dxa"/>
          <w:left w:w="15" w:type="dxa"/>
          <w:bottom w:w="15" w:type="dxa"/>
          <w:right w:w="15" w:type="dxa"/>
        </w:tblCellMar>
        <w:tblLook w:val="04A0" w:firstRow="1" w:lastRow="0" w:firstColumn="1" w:lastColumn="0" w:noHBand="0" w:noVBand="1"/>
      </w:tblPr>
      <w:tblGrid>
        <w:gridCol w:w="68"/>
        <w:gridCol w:w="6366"/>
        <w:gridCol w:w="38"/>
        <w:gridCol w:w="68"/>
        <w:gridCol w:w="812"/>
        <w:gridCol w:w="37"/>
        <w:gridCol w:w="69"/>
        <w:gridCol w:w="812"/>
        <w:gridCol w:w="36"/>
      </w:tblGrid>
      <w:tr w:rsidR="00000000">
        <w:trPr>
          <w:divId w:val="52891303"/>
        </w:trPr>
        <w:tc>
          <w:tcPr>
            <w:tcW w:w="50" w:type="pct"/>
            <w:vAlign w:val="center"/>
            <w:hideMark/>
          </w:tcPr>
          <w:p w:rsidR="00000000" w:rsidRDefault="00EE1167">
            <w:pPr>
              <w:rPr>
                <w:rFonts w:eastAsia="Times New Roman"/>
              </w:rPr>
            </w:pPr>
          </w:p>
        </w:tc>
        <w:tc>
          <w:tcPr>
            <w:tcW w:w="383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52891303"/>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52891303"/>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(191)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gain/(loss)</w:t>
            </w:r>
          </w:p>
        </w:tc>
        <w:tc>
          <w:tcPr>
            <w:tcW w:w="0" w:type="auto"/>
            <w:gridSpan w:val="3"/>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divId w:val="1768230543"/>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(181)</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divId w:val="2138797630"/>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(29)</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52891303"/>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52891303"/>
        </w:trPr>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(234)</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(64)</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ind w:hanging="180"/>
        <w:divId w:val="804274280"/>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EE1167">
      <w:pPr>
        <w:divId w:val="1917472940"/>
        <w:rPr>
          <w:rFonts w:eastAsia="Times New Roman"/>
        </w:rPr>
      </w:pPr>
    </w:p>
    <w:p w:rsidR="00000000" w:rsidRDefault="00EE1167">
      <w:pPr>
        <w:divId w:val="1707754842"/>
        <w:rPr>
          <w:rFonts w:eastAsia="Times New Roman"/>
        </w:rPr>
      </w:pPr>
      <w:r>
        <w:rPr>
          <w:rFonts w:ascii="Arial" w:eastAsia="Times New Roman" w:hAnsi="Arial" w:cs="Arial"/>
          <w:color w:val="000000"/>
          <w:sz w:val="20"/>
          <w:szCs w:val="20"/>
        </w:rPr>
        <w:t>There were no transfers into or out of Level 3 as at September 30, 2021 or December 31, 2020.</w:t>
      </w:r>
    </w:p>
    <w:p w:rsidR="00000000" w:rsidRDefault="00EE1167">
      <w:pPr>
        <w:divId w:val="905601972"/>
        <w:rPr>
          <w:rFonts w:eastAsia="Times New Roman"/>
        </w:rPr>
      </w:pPr>
    </w:p>
    <w:p w:rsidR="00000000" w:rsidRDefault="00EE1167">
      <w:pPr>
        <w:divId w:val="616329193"/>
        <w:rPr>
          <w:rFonts w:eastAsia="Times New Roman"/>
        </w:rPr>
      </w:pPr>
      <w:r>
        <w:rPr>
          <w:rFonts w:ascii="Arial" w:eastAsia="Times New Roman" w:hAnsi="Arial" w:cs="Arial"/>
          <w:b/>
          <w:bCs/>
          <w:color w:val="000000"/>
          <w:sz w:val="20"/>
          <w:szCs w:val="20"/>
        </w:rPr>
        <w:t>NET INVESTMENT HEDGES</w:t>
      </w:r>
    </w:p>
    <w:p w:rsidR="00000000" w:rsidRDefault="00EE1167">
      <w:pPr>
        <w:divId w:val="1724868195"/>
        <w:rPr>
          <w:rFonts w:eastAsia="Times New Roman"/>
        </w:rPr>
      </w:pPr>
      <w:r>
        <w:rPr>
          <w:rFonts w:ascii="Arial" w:eastAsia="Times New Roman" w:hAnsi="Arial" w:cs="Arial"/>
          <w:color w:val="000000"/>
          <w:sz w:val="20"/>
          <w:szCs w:val="20"/>
        </w:rPr>
        <w:t>We currently have designated a portion of our US dollar denominated debt, as well as a portfolio of foreign exchange forward contracts in prior periods, as a hedge of our net investment in US dollar denominated investments and subs</w:t>
      </w:r>
      <w:r>
        <w:rPr>
          <w:rFonts w:ascii="Arial" w:eastAsia="Times New Roman" w:hAnsi="Arial" w:cs="Arial"/>
          <w:color w:val="000000"/>
          <w:sz w:val="20"/>
          <w:szCs w:val="20"/>
        </w:rPr>
        <w:t>idiaries.</w:t>
      </w:r>
    </w:p>
    <w:p w:rsidR="00000000" w:rsidRDefault="00EE1167">
      <w:pPr>
        <w:divId w:val="187107037"/>
        <w:rPr>
          <w:rFonts w:eastAsia="Times New Roman"/>
        </w:rPr>
      </w:pPr>
    </w:p>
    <w:p w:rsidR="00000000" w:rsidRDefault="00EE1167">
      <w:pPr>
        <w:divId w:val="1342125490"/>
        <w:rPr>
          <w:rFonts w:eastAsia="Times New Roman"/>
        </w:rPr>
      </w:pPr>
      <w:r>
        <w:rPr>
          <w:rFonts w:ascii="Arial" w:eastAsia="Times New Roman" w:hAnsi="Arial" w:cs="Arial"/>
          <w:color w:val="000000"/>
          <w:sz w:val="20"/>
          <w:szCs w:val="20"/>
        </w:rPr>
        <w:t>During the nine months ended September 30, 2021 and 2020, we recognized an unrealized foreign exchange gain of $18 million and a loss of $226 million, respectively, on the translation of US dollar denominated debt and unrealized gain of nil and</w:t>
      </w:r>
      <w:r>
        <w:rPr>
          <w:rFonts w:ascii="Arial" w:eastAsia="Times New Roman" w:hAnsi="Arial" w:cs="Arial"/>
          <w:color w:val="000000"/>
          <w:sz w:val="20"/>
          <w:szCs w:val="20"/>
        </w:rPr>
        <w:t xml:space="preserve"> $13 million, respectively, on the change in fair value of our outstanding foreign exchange forward contracts in OCI. During the nine months ended September 30, 2021 and 2020, we recognized realized losses of nil and $15 million, respectively, in OCI assoc</w:t>
      </w:r>
      <w:r>
        <w:rPr>
          <w:rFonts w:ascii="Arial" w:eastAsia="Times New Roman" w:hAnsi="Arial" w:cs="Arial"/>
          <w:color w:val="000000"/>
          <w:sz w:val="20"/>
          <w:szCs w:val="20"/>
        </w:rPr>
        <w:t>iated with the settlement of foreign exchange forward contracts or with the settlement of US dollar denominated debt that had matured during the period.</w:t>
      </w:r>
    </w:p>
    <w:p w:rsidR="00000000" w:rsidRDefault="00EE1167">
      <w:pPr>
        <w:divId w:val="374624920"/>
        <w:rPr>
          <w:rFonts w:eastAsia="Times New Roman"/>
        </w:rPr>
      </w:pPr>
    </w:p>
    <w:p w:rsidR="00000000" w:rsidRDefault="00EE1167">
      <w:pPr>
        <w:divId w:val="625742644"/>
        <w:rPr>
          <w:rFonts w:eastAsia="Times New Roman"/>
        </w:rPr>
      </w:pPr>
      <w:r>
        <w:rPr>
          <w:rFonts w:ascii="Arial" w:eastAsia="Times New Roman" w:hAnsi="Arial" w:cs="Arial"/>
          <w:b/>
          <w:bCs/>
          <w:color w:val="000000"/>
          <w:sz w:val="20"/>
          <w:szCs w:val="20"/>
        </w:rPr>
        <w:t>FAIR VALUE OF OTHER FINANCIAL INSTRUMENTS</w:t>
      </w:r>
    </w:p>
    <w:p w:rsidR="00000000" w:rsidRDefault="00EE1167">
      <w:pPr>
        <w:divId w:val="995038097"/>
        <w:rPr>
          <w:rFonts w:eastAsia="Times New Roman"/>
        </w:rPr>
      </w:pPr>
      <w:r>
        <w:rPr>
          <w:rFonts w:ascii="Arial" w:eastAsia="Times New Roman" w:hAnsi="Arial" w:cs="Arial"/>
          <w:color w:val="000000"/>
          <w:sz w:val="20"/>
          <w:szCs w:val="20"/>
        </w:rPr>
        <w:t>Certain long-term investments in other entities with no act</w:t>
      </w:r>
      <w:r>
        <w:rPr>
          <w:rFonts w:ascii="Arial" w:eastAsia="Times New Roman" w:hAnsi="Arial" w:cs="Arial"/>
          <w:color w:val="000000"/>
          <w:sz w:val="20"/>
          <w:szCs w:val="20"/>
        </w:rPr>
        <w:t>ively quoted prices are classified as Fair Value Measurement Alternative (FVMA) investments and are recorded at cost less impairment. The carrying value of FVMA investments totaled $52 million as at September 30, 2021 and December 31, 2020.</w:t>
      </w:r>
    </w:p>
    <w:p w:rsidR="00000000" w:rsidRDefault="00EE1167">
      <w:pPr>
        <w:divId w:val="918711902"/>
        <w:rPr>
          <w:rFonts w:eastAsia="Times New Roman"/>
        </w:rPr>
      </w:pPr>
    </w:p>
    <w:p w:rsidR="00000000" w:rsidRDefault="00EE1167">
      <w:pPr>
        <w:divId w:val="973753801"/>
        <w:rPr>
          <w:rFonts w:eastAsia="Times New Roman"/>
        </w:rPr>
      </w:pPr>
      <w:r>
        <w:rPr>
          <w:rFonts w:ascii="Arial" w:eastAsia="Times New Roman" w:hAnsi="Arial" w:cs="Arial"/>
          <w:color w:val="000000"/>
          <w:sz w:val="20"/>
          <w:szCs w:val="20"/>
        </w:rPr>
        <w:t>We have Restricted long-term investments held in trust totaling $575 million and $553 million as at September 30, 2021 and December 31, 2020, respectively, which are recognized at fair value.</w:t>
      </w:r>
    </w:p>
    <w:p w:rsidR="00000000" w:rsidRDefault="00EE1167">
      <w:pPr>
        <w:divId w:val="1193491653"/>
        <w:rPr>
          <w:rFonts w:eastAsia="Times New Roman"/>
        </w:rPr>
      </w:pPr>
    </w:p>
    <w:p w:rsidR="00000000" w:rsidRDefault="00EE1167">
      <w:pPr>
        <w:divId w:val="1642004642"/>
        <w:rPr>
          <w:rFonts w:eastAsia="Times New Roman"/>
        </w:rPr>
      </w:pPr>
      <w:r>
        <w:rPr>
          <w:rFonts w:ascii="Arial" w:eastAsia="Times New Roman" w:hAnsi="Arial" w:cs="Arial"/>
          <w:color w:val="000000"/>
          <w:sz w:val="20"/>
          <w:szCs w:val="20"/>
        </w:rPr>
        <w:t>During the nine months ended September 30, 2021, we entered in</w:t>
      </w:r>
      <w:r>
        <w:rPr>
          <w:rFonts w:ascii="Arial" w:eastAsia="Times New Roman" w:hAnsi="Arial" w:cs="Arial"/>
          <w:color w:val="000000"/>
          <w:sz w:val="20"/>
          <w:szCs w:val="20"/>
        </w:rPr>
        <w:t>to a definitive agreement to sell our 38.9% noncontrolling interest in Noverco, which is comprised of both common shares and preferred shares. Historically, the preferred shares have been classified as held-to-maturity and carried at amortized cost. As a r</w:t>
      </w:r>
      <w:r>
        <w:rPr>
          <w:rFonts w:ascii="Arial" w:eastAsia="Times New Roman" w:hAnsi="Arial" w:cs="Arial"/>
          <w:color w:val="000000"/>
          <w:sz w:val="20"/>
          <w:szCs w:val="20"/>
        </w:rPr>
        <w:t>esult of our intent to sell our interest in Noverco, the preferred shares were reclassified from held-to-maturity to available-for-sale at fair value during the second quarter of 2021. The fair value of the preferred shares was $580 million and $567 millio</w:t>
      </w:r>
      <w:r>
        <w:rPr>
          <w:rFonts w:ascii="Arial" w:eastAsia="Times New Roman" w:hAnsi="Arial" w:cs="Arial"/>
          <w:color w:val="000000"/>
          <w:sz w:val="20"/>
          <w:szCs w:val="20"/>
        </w:rPr>
        <w:t>n as at September 30, 2021 and December 31, 2020, respectively. There were no gains or losses recognized in OCI on reclassification.</w:t>
      </w:r>
    </w:p>
    <w:p w:rsidR="00000000" w:rsidRDefault="00EE1167">
      <w:pPr>
        <w:divId w:val="1276251724"/>
        <w:rPr>
          <w:rFonts w:eastAsia="Times New Roman"/>
        </w:rPr>
      </w:pPr>
      <w:r>
        <w:rPr>
          <w:rFonts w:ascii="Arial" w:eastAsia="Times New Roman" w:hAnsi="Arial" w:cs="Arial"/>
          <w:color w:val="000000"/>
          <w:sz w:val="20"/>
          <w:szCs w:val="20"/>
        </w:rPr>
        <w:t> </w:t>
      </w:r>
    </w:p>
    <w:p w:rsidR="00000000" w:rsidRDefault="00EE1167">
      <w:pPr>
        <w:jc w:val="center"/>
        <w:divId w:val="136993153"/>
        <w:rPr>
          <w:rFonts w:eastAsia="Times New Roman"/>
        </w:rPr>
      </w:pPr>
      <w:r>
        <w:rPr>
          <w:rFonts w:ascii="Arial" w:eastAsia="Times New Roman" w:hAnsi="Arial" w:cs="Arial"/>
          <w:color w:val="000000"/>
          <w:sz w:val="20"/>
          <w:szCs w:val="20"/>
        </w:rPr>
        <w:t>34</w:t>
      </w:r>
    </w:p>
    <w:p w:rsidR="00000000" w:rsidRDefault="00EE1167">
      <w:pPr>
        <w:rPr>
          <w:rFonts w:eastAsia="Times New Roman"/>
        </w:rPr>
      </w:pPr>
      <w:r>
        <w:rPr>
          <w:rFonts w:eastAsia="Times New Roman"/>
        </w:rPr>
        <w:pict>
          <v:rect id="_x0000_i1059" style="width:0;height:1.5pt" o:hralign="center" o:hrstd="t" o:hr="t" fillcolor="#a0a0a0" stroked="f"/>
        </w:pict>
      </w:r>
    </w:p>
    <w:p w:rsidR="00000000" w:rsidRDefault="00EE1167">
      <w:pPr>
        <w:jc w:val="center"/>
        <w:divId w:val="594560045"/>
        <w:rPr>
          <w:rFonts w:eastAsia="Times New Roman"/>
        </w:rPr>
      </w:pPr>
    </w:p>
    <w:p w:rsidR="00000000" w:rsidRDefault="00EE1167">
      <w:pPr>
        <w:divId w:val="278075469"/>
        <w:rPr>
          <w:rFonts w:eastAsia="Times New Roman"/>
        </w:rPr>
      </w:pPr>
      <w:r>
        <w:rPr>
          <w:rFonts w:ascii="Arial" w:eastAsia="Times New Roman" w:hAnsi="Arial" w:cs="Arial"/>
          <w:color w:val="000000"/>
          <w:sz w:val="20"/>
          <w:szCs w:val="20"/>
        </w:rPr>
        <w:t>As at September 30, 2021 and December 31, 2020, our long-term debt had a carryin</w:t>
      </w:r>
      <w:r>
        <w:rPr>
          <w:rFonts w:ascii="Arial" w:eastAsia="Times New Roman" w:hAnsi="Arial" w:cs="Arial"/>
          <w:color w:val="000000"/>
          <w:sz w:val="20"/>
          <w:szCs w:val="20"/>
        </w:rPr>
        <w:t>g value of $70.0 billion and $66.1 billion, respectively, before debt issuance costs and a fair value of $76.5 billion and $75.1 billion, respectively. We also have non-current notes receivable carried at book value and recorded in Deferred amounts and oth</w:t>
      </w:r>
      <w:r>
        <w:rPr>
          <w:rFonts w:ascii="Arial" w:eastAsia="Times New Roman" w:hAnsi="Arial" w:cs="Arial"/>
          <w:color w:val="000000"/>
          <w:sz w:val="20"/>
          <w:szCs w:val="20"/>
        </w:rPr>
        <w:t>er assets in the Consolidated Statements of Financial Position. As at September 30, 2021 and December 31, 2020, the non-current notes receivable had a carrying value of $1.0 billion and $1.1 billion, respectively, which also approximates their fair value.</w:t>
      </w:r>
    </w:p>
    <w:p w:rsidR="00000000" w:rsidRDefault="00EE1167">
      <w:pPr>
        <w:divId w:val="1352033285"/>
        <w:rPr>
          <w:rFonts w:eastAsia="Times New Roman"/>
        </w:rPr>
      </w:pPr>
    </w:p>
    <w:p w:rsidR="00000000" w:rsidRDefault="00EE1167">
      <w:pPr>
        <w:divId w:val="864177072"/>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restricted long-term investments, long-term debt and non-current notes receivable described above approximate their carrying value due to the sho</w:t>
      </w:r>
      <w:r>
        <w:rPr>
          <w:rFonts w:ascii="Arial" w:eastAsia="Times New Roman" w:hAnsi="Arial" w:cs="Arial"/>
          <w:color w:val="000000"/>
          <w:sz w:val="20"/>
          <w:szCs w:val="20"/>
        </w:rPr>
        <w:t>rt period to maturity.</w:t>
      </w:r>
    </w:p>
    <w:p w:rsidR="00000000" w:rsidRDefault="00EE1167">
      <w:pPr>
        <w:divId w:val="1321887345"/>
        <w:rPr>
          <w:rFonts w:eastAsia="Times New Roman"/>
        </w:rPr>
      </w:pPr>
    </w:p>
    <w:p w:rsidR="00000000" w:rsidRDefault="00EE1167">
      <w:pPr>
        <w:divId w:val="904948908"/>
        <w:rPr>
          <w:rFonts w:eastAsia="Times New Roman"/>
        </w:rPr>
      </w:pPr>
      <w:r>
        <w:rPr>
          <w:rFonts w:ascii="Arial" w:eastAsia="Times New Roman" w:hAnsi="Arial" w:cs="Arial"/>
          <w:b/>
          <w:bCs/>
          <w:color w:val="000000"/>
          <w:sz w:val="26"/>
          <w:szCs w:val="26"/>
        </w:rPr>
        <w:t xml:space="preserve">10. INCOME TAXES </w:t>
      </w:r>
    </w:p>
    <w:p w:rsidR="00000000" w:rsidRDefault="00EE1167">
      <w:pPr>
        <w:divId w:val="699087980"/>
        <w:rPr>
          <w:rFonts w:eastAsia="Times New Roman"/>
        </w:rPr>
      </w:pPr>
    </w:p>
    <w:p w:rsidR="00000000" w:rsidRDefault="00EE1167">
      <w:pPr>
        <w:divId w:val="470833939"/>
        <w:rPr>
          <w:rFonts w:eastAsia="Times New Roman"/>
        </w:rPr>
      </w:pPr>
      <w:r>
        <w:rPr>
          <w:rFonts w:ascii="Arial" w:eastAsia="Times New Roman" w:hAnsi="Arial" w:cs="Arial"/>
          <w:color w:val="000000"/>
          <w:sz w:val="20"/>
          <w:szCs w:val="20"/>
        </w:rPr>
        <w:t>The effective income tax rates for the three months ended September 30, 2021 and 2020 were 19.6% and 17.3</w:t>
      </w:r>
      <w:r>
        <w:rPr>
          <w:rFonts w:ascii="Arial" w:eastAsia="Times New Roman" w:hAnsi="Arial" w:cs="Arial"/>
          <w:color w:val="000000"/>
          <w:sz w:val="20"/>
          <w:szCs w:val="20"/>
        </w:rPr>
        <w:t>%, respectively, and for the nine months ended September 30, 2021 and 2020 were 18.0% and 15.3%, respectively.</w:t>
      </w:r>
    </w:p>
    <w:p w:rsidR="00000000" w:rsidRDefault="00EE1167">
      <w:pPr>
        <w:divId w:val="475342908"/>
        <w:rPr>
          <w:rFonts w:eastAsia="Times New Roman"/>
        </w:rPr>
      </w:pPr>
    </w:p>
    <w:p w:rsidR="00000000" w:rsidRDefault="00EE1167">
      <w:pPr>
        <w:divId w:val="430702971"/>
        <w:rPr>
          <w:rFonts w:eastAsia="Times New Roman"/>
        </w:rPr>
      </w:pPr>
      <w:r>
        <w:rPr>
          <w:rFonts w:ascii="Arial" w:eastAsia="Times New Roman" w:hAnsi="Arial" w:cs="Arial"/>
          <w:color w:val="000000"/>
          <w:sz w:val="20"/>
          <w:szCs w:val="20"/>
        </w:rPr>
        <w:t>The period-over-period increases in the effective income tax rates are due to the effect of rate-regulated accounting for income taxes, the ben</w:t>
      </w:r>
      <w:r>
        <w:rPr>
          <w:rFonts w:ascii="Arial" w:eastAsia="Times New Roman" w:hAnsi="Arial" w:cs="Arial"/>
          <w:color w:val="000000"/>
          <w:sz w:val="20"/>
          <w:szCs w:val="20"/>
        </w:rPr>
        <w:t>efit of foreign tax rate differentials and an adjustment related to regulatory balances from prior year. The increase is partially offset by a reduction in US minimum tax and the release of previously recognized uncertain tax positions.</w:t>
      </w:r>
    </w:p>
    <w:p w:rsidR="00000000" w:rsidRDefault="00EE1167">
      <w:pPr>
        <w:divId w:val="1175806514"/>
        <w:rPr>
          <w:rFonts w:eastAsia="Times New Roman"/>
        </w:rPr>
      </w:pPr>
    </w:p>
    <w:p w:rsidR="00000000" w:rsidRDefault="00EE1167">
      <w:pPr>
        <w:divId w:val="868907240"/>
        <w:rPr>
          <w:rFonts w:eastAsia="Times New Roman"/>
        </w:rPr>
      </w:pPr>
      <w:r>
        <w:rPr>
          <w:rFonts w:ascii="Arial" w:eastAsia="Times New Roman" w:hAnsi="Arial" w:cs="Arial"/>
          <w:b/>
          <w:bCs/>
          <w:color w:val="000000"/>
          <w:sz w:val="26"/>
          <w:szCs w:val="26"/>
        </w:rPr>
        <w:t>11. PENSION AND O</w:t>
      </w:r>
      <w:r>
        <w:rPr>
          <w:rFonts w:ascii="Arial" w:eastAsia="Times New Roman" w:hAnsi="Arial" w:cs="Arial"/>
          <w:b/>
          <w:bCs/>
          <w:color w:val="000000"/>
          <w:sz w:val="26"/>
          <w:szCs w:val="26"/>
        </w:rPr>
        <w:t xml:space="preserve">THER POSTRETIREMENT BENEFITS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1"/>
        <w:gridCol w:w="808"/>
        <w:gridCol w:w="36"/>
        <w:gridCol w:w="66"/>
        <w:gridCol w:w="810"/>
        <w:gridCol w:w="36"/>
      </w:tblGrid>
      <w:tr w:rsidR="00000000">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 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 September 30,</w:t>
            </w:r>
          </w:p>
        </w:tc>
      </w:tr>
      <w:tr w:rsidR="00000000">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150 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131 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jc w:val="both"/>
              <w:rPr>
                <w:rFonts w:eastAsia="Times New Roman"/>
              </w:rPr>
            </w:pPr>
            <w:r>
              <w:rPr>
                <w:rFonts w:ascii="Arial" w:eastAsia="Times New Roman" w:hAnsi="Arial" w:cs="Arial"/>
                <w:color w:val="000000"/>
                <w:sz w:val="20"/>
                <w:szCs w:val="20"/>
              </w:rPr>
              <w:t>Expected return on plan assets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(84)</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(270)</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Amortization of actuarial loss and prior service costs</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9 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c>
          <w:tcPr>
            <w:tcW w:w="0" w:type="auto"/>
            <w:gridSpan w:val="3"/>
            <w:tcBorders>
              <w:top w:val="single" w:sz="4" w:space="0" w:color="000000"/>
              <w:bottom w:val="single" w:sz="8" w:space="0" w:color="000000"/>
            </w:tcBorders>
            <w:tcMar>
              <w:top w:w="30" w:type="dxa"/>
              <w:left w:w="20" w:type="dxa"/>
              <w:bottom w:w="30" w:type="dxa"/>
              <w:right w:w="20" w:type="dxa"/>
            </w:tcMar>
            <w:vAlign w:val="center"/>
            <w:hideMark/>
          </w:tcPr>
          <w:p w:rsidR="00000000" w:rsidRDefault="00EE1167">
            <w:pPr>
              <w:spacing w:after="100"/>
              <w:ind w:hanging="180"/>
              <w:divId w:val="405037991"/>
              <w:rPr>
                <w:rFonts w:eastAsia="Times New Roman"/>
              </w:rPr>
            </w:pPr>
            <w:r>
              <w:rPr>
                <w:rFonts w:ascii="Arial" w:eastAsia="Times New Roman" w:hAnsi="Arial" w:cs="Arial"/>
                <w:color w:val="000000"/>
                <w:sz w:val="20"/>
                <w:szCs w:val="20"/>
              </w:rPr>
              <w:t>Net periodic benefit costs</w:t>
            </w: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13 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bottom w:val="single" w:sz="8"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30</w:t>
            </w:r>
            <w:r>
              <w:rPr>
                <w:rFonts w:ascii="Arial" w:eastAsia="Times New Roman" w:hAnsi="Arial" w:cs="Arial"/>
                <w:color w:val="000000"/>
                <w:sz w:val="20"/>
                <w:szCs w:val="20"/>
              </w:rPr>
              <w:t> </w:t>
            </w:r>
          </w:p>
        </w:tc>
        <w:tc>
          <w:tcPr>
            <w:tcW w:w="0" w:type="auto"/>
            <w:tcBorders>
              <w:top w:val="single" w:sz="4" w:space="0" w:color="000000"/>
              <w:bottom w:val="single" w:sz="8"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39 </w:t>
            </w:r>
          </w:p>
        </w:tc>
        <w:tc>
          <w:tcPr>
            <w:tcW w:w="0" w:type="auto"/>
            <w:tcBorders>
              <w:top w:val="single" w:sz="4" w:space="0" w:color="000000"/>
              <w:bottom w:val="single" w:sz="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jc w:val="both"/>
        <w:rPr>
          <w:rFonts w:eastAsia="Times New Roman"/>
        </w:rPr>
      </w:pPr>
    </w:p>
    <w:p w:rsidR="00000000" w:rsidRDefault="00EE1167">
      <w:pPr>
        <w:divId w:val="1032655860"/>
        <w:rPr>
          <w:rFonts w:eastAsia="Times New Roman"/>
        </w:rPr>
      </w:pPr>
      <w:r>
        <w:rPr>
          <w:rFonts w:ascii="Arial" w:eastAsia="Times New Roman" w:hAnsi="Arial" w:cs="Arial"/>
          <w:color w:val="000000"/>
          <w:sz w:val="20"/>
          <w:szCs w:val="20"/>
        </w:rPr>
        <w:t>For the three and nine months ended September 30, 2020, we incurred nil and $236 million in severance costs related to our voluntary workforce reduction program. For the three and nine months ended September 30, 2021, there were no such costs incurred. Sev</w:t>
      </w:r>
      <w:r>
        <w:rPr>
          <w:rFonts w:ascii="Arial" w:eastAsia="Times New Roman" w:hAnsi="Arial" w:cs="Arial"/>
          <w:color w:val="000000"/>
          <w:sz w:val="20"/>
          <w:szCs w:val="20"/>
        </w:rPr>
        <w:t>erance costs are included in Operating and administrative expense in the Consolidated Statements of Earnings.</w:t>
      </w:r>
    </w:p>
    <w:p w:rsidR="00000000" w:rsidRDefault="00EE1167">
      <w:pPr>
        <w:divId w:val="2082635036"/>
        <w:rPr>
          <w:rFonts w:eastAsia="Times New Roman"/>
        </w:rPr>
      </w:pPr>
    </w:p>
    <w:p w:rsidR="00000000" w:rsidRDefault="00EE1167">
      <w:pPr>
        <w:divId w:val="1044524644"/>
        <w:rPr>
          <w:rFonts w:eastAsia="Times New Roman"/>
        </w:rPr>
      </w:pPr>
      <w:r>
        <w:rPr>
          <w:rFonts w:ascii="Arial" w:eastAsia="Times New Roman" w:hAnsi="Arial" w:cs="Arial"/>
          <w:b/>
          <w:bCs/>
          <w:color w:val="000000"/>
          <w:sz w:val="26"/>
          <w:szCs w:val="26"/>
        </w:rPr>
        <w:t xml:space="preserve">12. CONTINGENCIES </w:t>
      </w:r>
    </w:p>
    <w:p w:rsidR="00000000" w:rsidRDefault="00EE1167">
      <w:pPr>
        <w:divId w:val="1220825710"/>
        <w:rPr>
          <w:rFonts w:eastAsia="Times New Roman"/>
        </w:rPr>
      </w:pPr>
      <w:r>
        <w:rPr>
          <w:rFonts w:ascii="Arial" w:eastAsia="Times New Roman" w:hAnsi="Arial" w:cs="Arial"/>
          <w:color w:val="000000"/>
          <w:sz w:val="20"/>
          <w:szCs w:val="20"/>
        </w:rPr>
        <w:t> </w:t>
      </w:r>
    </w:p>
    <w:p w:rsidR="00000000" w:rsidRDefault="00EE1167">
      <w:pPr>
        <w:divId w:val="1930507571"/>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w:t>
      </w:r>
      <w:r>
        <w:rPr>
          <w:rFonts w:ascii="Arial" w:eastAsia="Times New Roman" w:hAnsi="Arial" w:cs="Arial"/>
          <w:color w:val="000000"/>
          <w:sz w:val="20"/>
          <w:szCs w:val="20"/>
        </w:rPr>
        <w:t>se of business, including interventions in regulatory proceedings and challenges to regulatory approvals and permits. While the final outcome of such actions and proceedings cannot be predicted with certainty, management believes that the resolution of suc</w:t>
      </w:r>
      <w:r>
        <w:rPr>
          <w:rFonts w:ascii="Arial" w:eastAsia="Times New Roman" w:hAnsi="Arial" w:cs="Arial"/>
          <w:color w:val="000000"/>
          <w:sz w:val="20"/>
          <w:szCs w:val="20"/>
        </w:rPr>
        <w:t>h actions and proceedings will not have a material impact on our interim consolidated financial position or results of operations.</w:t>
      </w:r>
    </w:p>
    <w:p w:rsidR="00000000" w:rsidRDefault="00EE1167">
      <w:pPr>
        <w:divId w:val="167015387"/>
        <w:rPr>
          <w:rFonts w:eastAsia="Times New Roman"/>
        </w:rPr>
      </w:pPr>
    </w:p>
    <w:p w:rsidR="00000000" w:rsidRDefault="00EE1167">
      <w:pPr>
        <w:divId w:val="918444542"/>
        <w:rPr>
          <w:rFonts w:eastAsia="Times New Roman"/>
        </w:rPr>
      </w:pPr>
      <w:r>
        <w:rPr>
          <w:rFonts w:ascii="Arial" w:eastAsia="Times New Roman" w:hAnsi="Arial" w:cs="Arial"/>
          <w:b/>
          <w:bCs/>
          <w:color w:val="000000"/>
          <w:sz w:val="20"/>
          <w:szCs w:val="20"/>
        </w:rPr>
        <w:t>TAX MATTERS</w:t>
      </w:r>
    </w:p>
    <w:p w:rsidR="00000000" w:rsidRDefault="00EE1167">
      <w:pPr>
        <w:divId w:val="210727693"/>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w:t>
      </w:r>
      <w:r>
        <w:rPr>
          <w:rFonts w:ascii="Arial" w:eastAsia="Times New Roman" w:hAnsi="Arial" w:cs="Arial"/>
          <w:color w:val="000000"/>
          <w:sz w:val="20"/>
          <w:szCs w:val="20"/>
        </w:rPr>
        <w:t xml:space="preserve"> our view, these tax positions, if challenged by tax authorities, may not be fully sustained on review.</w:t>
      </w:r>
    </w:p>
    <w:p w:rsidR="00000000" w:rsidRDefault="00EE1167">
      <w:pPr>
        <w:divId w:val="1446924125"/>
        <w:rPr>
          <w:rFonts w:eastAsia="Times New Roman"/>
        </w:rPr>
      </w:pPr>
    </w:p>
    <w:p w:rsidR="00000000" w:rsidRDefault="00EE1167">
      <w:pPr>
        <w:jc w:val="center"/>
        <w:divId w:val="1226647178"/>
        <w:rPr>
          <w:rFonts w:eastAsia="Times New Roman"/>
        </w:rPr>
      </w:pPr>
      <w:r>
        <w:rPr>
          <w:rFonts w:ascii="Arial" w:eastAsia="Times New Roman" w:hAnsi="Arial" w:cs="Arial"/>
          <w:color w:val="000000"/>
          <w:sz w:val="20"/>
          <w:szCs w:val="20"/>
        </w:rPr>
        <w:t>35</w:t>
      </w:r>
    </w:p>
    <w:p w:rsidR="00000000" w:rsidRDefault="00EE1167">
      <w:pPr>
        <w:rPr>
          <w:rFonts w:eastAsia="Times New Roman"/>
        </w:rPr>
      </w:pPr>
      <w:r>
        <w:rPr>
          <w:rFonts w:eastAsia="Times New Roman"/>
        </w:rPr>
        <w:pict>
          <v:rect id="_x0000_i1060" style="width:0;height:1.5pt" o:hralign="center" o:hrstd="t" o:hr="t" fillcolor="#a0a0a0" stroked="f"/>
        </w:pict>
      </w:r>
    </w:p>
    <w:p w:rsidR="00000000" w:rsidRDefault="00EE1167">
      <w:pPr>
        <w:jc w:val="center"/>
        <w:divId w:val="625813932"/>
        <w:rPr>
          <w:rFonts w:eastAsia="Times New Roman"/>
        </w:rPr>
      </w:pPr>
    </w:p>
    <w:p w:rsidR="00000000" w:rsidRDefault="00EE1167">
      <w:pPr>
        <w:divId w:val="1305548552"/>
        <w:rPr>
          <w:rFonts w:eastAsia="Times New Roman"/>
        </w:rPr>
      </w:pPr>
      <w:r>
        <w:rPr>
          <w:rFonts w:ascii="Arial" w:eastAsia="Times New Roman" w:hAnsi="Arial" w:cs="Arial"/>
          <w:b/>
          <w:bCs/>
          <w:color w:val="000000"/>
          <w:sz w:val="26"/>
          <w:szCs w:val="26"/>
        </w:rPr>
        <w:t>13. SUBSEQUENT EVENT</w:t>
      </w:r>
    </w:p>
    <w:p w:rsidR="00000000" w:rsidRDefault="00EE1167">
      <w:pPr>
        <w:divId w:val="381832545"/>
        <w:rPr>
          <w:rFonts w:eastAsia="Times New Roman"/>
        </w:rPr>
      </w:pPr>
    </w:p>
    <w:p w:rsidR="00000000" w:rsidRDefault="00EE1167">
      <w:pPr>
        <w:divId w:val="251360714"/>
        <w:rPr>
          <w:rFonts w:eastAsia="Times New Roman"/>
        </w:rPr>
      </w:pPr>
      <w:r>
        <w:rPr>
          <w:rFonts w:ascii="Arial" w:eastAsia="Times New Roman" w:hAnsi="Arial" w:cs="Arial"/>
          <w:color w:val="000000"/>
          <w:sz w:val="20"/>
          <w:szCs w:val="20"/>
        </w:rPr>
        <w:t>On October 12, 2021, through a wholly-owned US subsidiary, we acquired all of the out</w:t>
      </w:r>
      <w:r>
        <w:rPr>
          <w:rFonts w:ascii="Arial" w:eastAsia="Times New Roman" w:hAnsi="Arial" w:cs="Arial"/>
          <w:color w:val="000000"/>
          <w:sz w:val="20"/>
          <w:szCs w:val="20"/>
        </w:rPr>
        <w:t xml:space="preserve">standing membership interests in Moda Midstream Operating, LLC (Moda) for US$3 billion of cash plus contingent consideration dependent on performance of the assets (the Acquisition). The Acquisition is also subject to customary closing and working capital </w:t>
      </w:r>
      <w:r>
        <w:rPr>
          <w:rFonts w:ascii="Arial" w:eastAsia="Times New Roman" w:hAnsi="Arial" w:cs="Arial"/>
          <w:color w:val="000000"/>
          <w:sz w:val="20"/>
          <w:szCs w:val="20"/>
        </w:rPr>
        <w:t>adjustments. Moda owns and operates a light crude export platform with very large crude carrier capability. The Acquisition aligns with and advances our US Gulf Coast export strategy and enables connectivity to low-cost and long-lived reserves in the Permi</w:t>
      </w:r>
      <w:r>
        <w:rPr>
          <w:rFonts w:ascii="Arial" w:eastAsia="Times New Roman" w:hAnsi="Arial" w:cs="Arial"/>
          <w:color w:val="000000"/>
          <w:sz w:val="20"/>
          <w:szCs w:val="20"/>
        </w:rPr>
        <w:t>an and Eagle Ford basins.</w:t>
      </w:r>
    </w:p>
    <w:p w:rsidR="00000000" w:rsidRDefault="00EE1167">
      <w:pPr>
        <w:divId w:val="1653365610"/>
        <w:rPr>
          <w:rFonts w:eastAsia="Times New Roman"/>
        </w:rPr>
      </w:pPr>
    </w:p>
    <w:p w:rsidR="00000000" w:rsidRDefault="00EE1167">
      <w:pPr>
        <w:divId w:val="450368561"/>
        <w:rPr>
          <w:rFonts w:eastAsia="Times New Roman"/>
        </w:rPr>
      </w:pPr>
      <w:r>
        <w:rPr>
          <w:rFonts w:ascii="Arial" w:eastAsia="Times New Roman" w:hAnsi="Arial" w:cs="Arial"/>
          <w:color w:val="000000"/>
          <w:sz w:val="20"/>
          <w:szCs w:val="20"/>
        </w:rPr>
        <w:t xml:space="preserve">We will account for the Acquisition using the acquisition method as prescribed by ASC 805 </w:t>
      </w:r>
      <w:r>
        <w:rPr>
          <w:rFonts w:ascii="Arial" w:eastAsia="Times New Roman" w:hAnsi="Arial" w:cs="Arial"/>
          <w:i/>
          <w:iCs/>
          <w:color w:val="000000"/>
          <w:sz w:val="20"/>
          <w:szCs w:val="20"/>
        </w:rPr>
        <w:t>Business Combinations</w:t>
      </w:r>
      <w:r>
        <w:rPr>
          <w:rFonts w:ascii="Arial" w:eastAsia="Times New Roman" w:hAnsi="Arial" w:cs="Arial"/>
          <w:color w:val="000000"/>
          <w:sz w:val="20"/>
          <w:szCs w:val="20"/>
        </w:rPr>
        <w:t>. The acquired assets and assumed liabilities will be recorded at their estimated fair values as at the date of acquisition, with any remaining amount allocated to goodwill. Due to the proximity of the acquisition date to the release date of our interim co</w:t>
      </w:r>
      <w:r>
        <w:rPr>
          <w:rFonts w:ascii="Arial" w:eastAsia="Times New Roman" w:hAnsi="Arial" w:cs="Arial"/>
          <w:color w:val="000000"/>
          <w:sz w:val="20"/>
          <w:szCs w:val="20"/>
        </w:rPr>
        <w:t>nsolidated financial statements, we have not performed our initial accounting for the Acquisition. The preliminary purchase price allocation will be disclosed in the fourth quarter of 2021 after asset and liability valuations become available.</w:t>
      </w:r>
    </w:p>
    <w:p w:rsidR="00000000" w:rsidRDefault="00EE1167">
      <w:pPr>
        <w:divId w:val="883638685"/>
        <w:rPr>
          <w:rFonts w:eastAsia="Times New Roman"/>
        </w:rPr>
      </w:pPr>
    </w:p>
    <w:p w:rsidR="00000000" w:rsidRDefault="00EE1167">
      <w:pPr>
        <w:jc w:val="center"/>
        <w:divId w:val="910193457"/>
        <w:rPr>
          <w:rFonts w:eastAsia="Times New Roman"/>
        </w:rPr>
      </w:pPr>
      <w:r>
        <w:rPr>
          <w:rFonts w:ascii="Arial" w:eastAsia="Times New Roman" w:hAnsi="Arial" w:cs="Arial"/>
          <w:color w:val="000000"/>
          <w:sz w:val="20"/>
          <w:szCs w:val="20"/>
        </w:rPr>
        <w:t>36</w:t>
      </w:r>
    </w:p>
    <w:p w:rsidR="00000000" w:rsidRDefault="00EE1167">
      <w:pPr>
        <w:rPr>
          <w:rFonts w:eastAsia="Times New Roman"/>
        </w:rPr>
      </w:pPr>
      <w:r>
        <w:rPr>
          <w:rFonts w:eastAsia="Times New Roman"/>
        </w:rPr>
        <w:pict>
          <v:rect id="_x0000_i1061" style="width:0;height:1.5pt" o:hralign="center" o:hrstd="t" o:hr="t" fillcolor="#a0a0a0" stroked="f"/>
        </w:pict>
      </w:r>
    </w:p>
    <w:p w:rsidR="00000000" w:rsidRDefault="00EE1167">
      <w:pPr>
        <w:jc w:val="center"/>
        <w:divId w:val="1820344864"/>
        <w:rPr>
          <w:rFonts w:eastAsia="Times New Roman"/>
        </w:rPr>
      </w:pPr>
    </w:p>
    <w:p w:rsidR="00000000" w:rsidRDefault="00EE1167">
      <w:pPr>
        <w:divId w:val="1738895739"/>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EE1167">
      <w:pPr>
        <w:divId w:val="838736374"/>
        <w:rPr>
          <w:rFonts w:eastAsia="Times New Roman"/>
        </w:rPr>
      </w:pPr>
    </w:p>
    <w:p w:rsidR="00000000" w:rsidRDefault="00EE1167">
      <w:pPr>
        <w:divId w:val="1957171150"/>
        <w:rPr>
          <w:rFonts w:eastAsia="Times New Roman"/>
        </w:rPr>
      </w:pPr>
      <w:r>
        <w:rPr>
          <w:rFonts w:ascii="Arial" w:eastAsia="Times New Roman" w:hAnsi="Arial" w:cs="Arial"/>
          <w:b/>
          <w:bCs/>
          <w:color w:val="000000"/>
          <w:sz w:val="26"/>
          <w:szCs w:val="26"/>
        </w:rPr>
        <w:t>INTRODUCTION</w:t>
      </w:r>
    </w:p>
    <w:p w:rsidR="00000000" w:rsidRDefault="00EE1167">
      <w:pPr>
        <w:divId w:val="1482498530"/>
        <w:rPr>
          <w:rFonts w:eastAsia="Times New Roman"/>
        </w:rPr>
      </w:pPr>
    </w:p>
    <w:p w:rsidR="00000000" w:rsidRDefault="00EE1167">
      <w:pPr>
        <w:divId w:val="1721830330"/>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w:t>
      </w:r>
      <w:r>
        <w:rPr>
          <w:rFonts w:ascii="Arial" w:eastAsia="Times New Roman" w:hAnsi="Arial" w:cs="Arial"/>
          <w:color w:val="000000"/>
          <w:sz w:val="20"/>
          <w:szCs w:val="20"/>
        </w:rPr>
        <w:t xml:space="preserve"> be read in conjunction with our interim consolidated financial statements and the accompanying notes included in Part I. </w:t>
      </w:r>
      <w:r>
        <w:rPr>
          <w:rFonts w:ascii="Arial" w:eastAsia="Times New Roman" w:hAnsi="Arial" w:cs="Arial"/>
          <w:i/>
          <w:iCs/>
          <w:color w:val="000000"/>
          <w:sz w:val="20"/>
          <w:szCs w:val="20"/>
        </w:rPr>
        <w:t>Item 1. Financial Statements</w:t>
      </w:r>
      <w:r>
        <w:rPr>
          <w:rFonts w:ascii="Arial" w:eastAsia="Times New Roman" w:hAnsi="Arial" w:cs="Arial"/>
          <w:color w:val="000000"/>
          <w:sz w:val="20"/>
          <w:szCs w:val="20"/>
        </w:rPr>
        <w:t> of this quarterly report on Form 10-Q and our consolidated financial statements and the accompanying note</w:t>
      </w:r>
      <w:r>
        <w:rPr>
          <w:rFonts w:ascii="Arial" w:eastAsia="Times New Roman" w:hAnsi="Arial" w:cs="Arial"/>
          <w:color w:val="000000"/>
          <w:sz w:val="20"/>
          <w:szCs w:val="20"/>
        </w:rPr>
        <w:t xml:space="preserve">s included in Part II. </w:t>
      </w:r>
      <w:r>
        <w:rPr>
          <w:rFonts w:ascii="Arial" w:eastAsia="Times New Roman" w:hAnsi="Arial" w:cs="Arial"/>
          <w:i/>
          <w:iCs/>
          <w:color w:val="000000"/>
          <w:sz w:val="20"/>
          <w:szCs w:val="20"/>
        </w:rPr>
        <w:t xml:space="preserve">Item 8. Financial Statements and Supplementary Data </w:t>
      </w:r>
      <w:r>
        <w:rPr>
          <w:rFonts w:ascii="Arial" w:eastAsia="Times New Roman" w:hAnsi="Arial" w:cs="Arial"/>
          <w:color w:val="000000"/>
          <w:sz w:val="20"/>
          <w:szCs w:val="20"/>
        </w:rPr>
        <w:t>of our annual report on Form 10-K for the year ended December 31, 2020.</w:t>
      </w:r>
    </w:p>
    <w:p w:rsidR="00000000" w:rsidRDefault="00EE1167">
      <w:pPr>
        <w:divId w:val="1712462098"/>
        <w:rPr>
          <w:rFonts w:eastAsia="Times New Roman"/>
        </w:rPr>
      </w:pPr>
    </w:p>
    <w:p w:rsidR="00000000" w:rsidRDefault="00EE1167">
      <w:pPr>
        <w:divId w:val="1623998983"/>
        <w:rPr>
          <w:rFonts w:eastAsia="Times New Roman"/>
        </w:rPr>
      </w:pPr>
      <w:r>
        <w:rPr>
          <w:rFonts w:ascii="Arial" w:eastAsia="Times New Roman" w:hAnsi="Arial" w:cs="Arial"/>
          <w:color w:val="000000"/>
          <w:sz w:val="20"/>
          <w:szCs w:val="20"/>
        </w:rPr>
        <w:t>We continue to qualify as a foreign private issuer for purposes of the United States Securities Exchange Act of 1934, as amended (Exchange Act), as determined annually as of the end of our second fiscal quarter. We intend to continue to file annual reports</w:t>
      </w:r>
      <w:r>
        <w:rPr>
          <w:rFonts w:ascii="Arial" w:eastAsia="Times New Roman" w:hAnsi="Arial" w:cs="Arial"/>
          <w:color w:val="000000"/>
          <w:sz w:val="20"/>
          <w:szCs w:val="20"/>
        </w:rPr>
        <w:t xml:space="preserve"> on Form 10-K, quarterly reports on Form 10-Q and current reports on Form 8-K with the US Securities and Exchange Commission (SEC) instead of filing the reporting forms available to foreign private issuers. We also intend to maintain our Form S-3 registrat</w:t>
      </w:r>
      <w:r>
        <w:rPr>
          <w:rFonts w:ascii="Arial" w:eastAsia="Times New Roman" w:hAnsi="Arial" w:cs="Arial"/>
          <w:color w:val="000000"/>
          <w:sz w:val="20"/>
          <w:szCs w:val="20"/>
        </w:rPr>
        <w:t>ion statements.</w:t>
      </w:r>
    </w:p>
    <w:p w:rsidR="00000000" w:rsidRDefault="00EE1167">
      <w:pPr>
        <w:divId w:val="380978816"/>
        <w:rPr>
          <w:rFonts w:eastAsia="Times New Roman"/>
        </w:rPr>
      </w:pPr>
    </w:p>
    <w:p w:rsidR="00000000" w:rsidRDefault="00EE1167">
      <w:pPr>
        <w:divId w:val="1154375636"/>
        <w:rPr>
          <w:rFonts w:eastAsia="Times New Roman"/>
        </w:rPr>
      </w:pPr>
      <w:r>
        <w:rPr>
          <w:rFonts w:ascii="Arial" w:eastAsia="Times New Roman" w:hAnsi="Arial" w:cs="Arial"/>
          <w:b/>
          <w:bCs/>
          <w:color w:val="000000"/>
          <w:sz w:val="26"/>
          <w:szCs w:val="26"/>
        </w:rPr>
        <w:t xml:space="preserve">RECENT DEVELOPMENTS </w:t>
      </w:r>
    </w:p>
    <w:p w:rsidR="00000000" w:rsidRDefault="00EE1167">
      <w:pPr>
        <w:divId w:val="1542209473"/>
        <w:rPr>
          <w:rFonts w:eastAsia="Times New Roman"/>
        </w:rPr>
      </w:pPr>
      <w:r>
        <w:rPr>
          <w:rFonts w:ascii="Arial" w:eastAsia="Times New Roman" w:hAnsi="Arial" w:cs="Arial"/>
          <w:b/>
          <w:bCs/>
          <w:color w:val="000000"/>
          <w:sz w:val="20"/>
          <w:szCs w:val="20"/>
        </w:rPr>
        <w:t>ACQUISITION OF MODA MIDSTREAM OPERATING, LLC</w:t>
      </w:r>
    </w:p>
    <w:p w:rsidR="00000000" w:rsidRDefault="00EE1167">
      <w:pPr>
        <w:divId w:val="2064333210"/>
        <w:rPr>
          <w:rFonts w:eastAsia="Times New Roman"/>
        </w:rPr>
      </w:pPr>
    </w:p>
    <w:p w:rsidR="00000000" w:rsidRDefault="00EE1167">
      <w:pPr>
        <w:divId w:val="1373766979"/>
        <w:rPr>
          <w:rFonts w:eastAsia="Times New Roman"/>
        </w:rPr>
      </w:pPr>
      <w:r>
        <w:rPr>
          <w:rFonts w:ascii="Arial" w:eastAsia="Times New Roman" w:hAnsi="Arial" w:cs="Arial"/>
          <w:color w:val="000000"/>
          <w:sz w:val="20"/>
          <w:szCs w:val="20"/>
        </w:rPr>
        <w:t>On October 12, 2021, we closed the purchase of Moda Midstream Operating, LLC (Moda) for US$3.0 billion of cash plus contingent consideration dependent on performance of t</w:t>
      </w:r>
      <w:r>
        <w:rPr>
          <w:rFonts w:ascii="Arial" w:eastAsia="Times New Roman" w:hAnsi="Arial" w:cs="Arial"/>
          <w:color w:val="000000"/>
          <w:sz w:val="20"/>
          <w:szCs w:val="20"/>
        </w:rPr>
        <w:t>he assets (the Acquisition). Moda owns and operates a vertically integrated crude export system of pipeline and storage assets on the US Gulf Coast, including the Ingleside Energy Center (IEC) located near Corpus Christi, Texas. IEC, North America's larges</w:t>
      </w:r>
      <w:r>
        <w:rPr>
          <w:rFonts w:ascii="Arial" w:eastAsia="Times New Roman" w:hAnsi="Arial" w:cs="Arial"/>
          <w:color w:val="000000"/>
          <w:sz w:val="20"/>
          <w:szCs w:val="20"/>
        </w:rPr>
        <w:t>t crude export terminal, controls 15.6 million barrels of storage and 1.6 million bpd of export capacity and volumes are underpinned by 925 thousand barrels per day (kbpd) of long term take-or-pay vessel loading contracts and 15.3 million barrels of long-t</w:t>
      </w:r>
      <w:r>
        <w:rPr>
          <w:rFonts w:ascii="Arial" w:eastAsia="Times New Roman" w:hAnsi="Arial" w:cs="Arial"/>
          <w:color w:val="000000"/>
          <w:sz w:val="20"/>
          <w:szCs w:val="20"/>
        </w:rPr>
        <w:t xml:space="preserve">erm storage contracts. The Acquisition significantly advances our US Gulf Coast export strategy and connectivity to low-cost and long-lived reserves in the Permian and Eagle Ford basins. </w:t>
      </w:r>
    </w:p>
    <w:p w:rsidR="00000000" w:rsidRDefault="00EE1167">
      <w:pPr>
        <w:divId w:val="1763255768"/>
        <w:rPr>
          <w:rFonts w:eastAsia="Times New Roman"/>
        </w:rPr>
      </w:pPr>
    </w:p>
    <w:p w:rsidR="00000000" w:rsidRDefault="00EE1167">
      <w:pPr>
        <w:divId w:val="1905019775"/>
        <w:rPr>
          <w:rFonts w:eastAsia="Times New Roman"/>
        </w:rPr>
      </w:pPr>
      <w:r>
        <w:rPr>
          <w:rFonts w:ascii="Arial" w:eastAsia="Times New Roman" w:hAnsi="Arial" w:cs="Arial"/>
          <w:b/>
          <w:bCs/>
          <w:color w:val="000000"/>
          <w:sz w:val="20"/>
          <w:szCs w:val="20"/>
        </w:rPr>
        <w:t>RENEWABLE ENERGY PARTNERSHIP</w:t>
      </w:r>
    </w:p>
    <w:p w:rsidR="00000000" w:rsidRDefault="00EE1167">
      <w:pPr>
        <w:divId w:val="1789662227"/>
        <w:rPr>
          <w:rFonts w:eastAsia="Times New Roman"/>
        </w:rPr>
      </w:pPr>
    </w:p>
    <w:p w:rsidR="00000000" w:rsidRDefault="00EE1167">
      <w:pPr>
        <w:divId w:val="660234282"/>
        <w:rPr>
          <w:rFonts w:eastAsia="Times New Roman"/>
        </w:rPr>
      </w:pPr>
      <w:r>
        <w:rPr>
          <w:rFonts w:ascii="Arial" w:eastAsia="Times New Roman" w:hAnsi="Arial" w:cs="Arial"/>
          <w:color w:val="000000"/>
          <w:sz w:val="20"/>
          <w:szCs w:val="20"/>
        </w:rPr>
        <w:t>On September 28, 2021, we announced</w:t>
      </w:r>
      <w:r>
        <w:rPr>
          <w:rFonts w:ascii="Arial" w:eastAsia="Times New Roman" w:hAnsi="Arial" w:cs="Arial"/>
          <w:color w:val="000000"/>
          <w:sz w:val="20"/>
          <w:szCs w:val="20"/>
        </w:rPr>
        <w:t xml:space="preserve"> a partnership with Vanguard Renewables (Vanguard) to design and build up to eight anaerobic digesters, used to convert food and farm waste into renewable natural gas (RNG), across the US. Vanguard will build and operate the digesters and we will invest ap</w:t>
      </w:r>
      <w:r>
        <w:rPr>
          <w:rFonts w:ascii="Arial" w:eastAsia="Times New Roman" w:hAnsi="Arial" w:cs="Arial"/>
          <w:color w:val="000000"/>
          <w:sz w:val="20"/>
          <w:szCs w:val="20"/>
        </w:rPr>
        <w:t>proximately $100 million in RNG upgrading equipment to convert the RNG into pipeline quality gas. We will also provide transportation and marketing services to market that gas to US customers.</w:t>
      </w:r>
    </w:p>
    <w:p w:rsidR="00000000" w:rsidRDefault="00EE1167">
      <w:pPr>
        <w:divId w:val="1513765964"/>
        <w:rPr>
          <w:rFonts w:eastAsia="Times New Roman"/>
        </w:rPr>
      </w:pPr>
    </w:p>
    <w:p w:rsidR="00000000" w:rsidRDefault="00EE1167">
      <w:pPr>
        <w:divId w:val="1552036581"/>
        <w:rPr>
          <w:rFonts w:eastAsia="Times New Roman"/>
        </w:rPr>
      </w:pPr>
      <w:r>
        <w:rPr>
          <w:rFonts w:ascii="Arial" w:eastAsia="Times New Roman" w:hAnsi="Arial" w:cs="Arial"/>
          <w:b/>
          <w:bCs/>
          <w:color w:val="000000"/>
          <w:sz w:val="20"/>
          <w:szCs w:val="20"/>
        </w:rPr>
        <w:t>COVID-19 PANDEMIC</w:t>
      </w:r>
    </w:p>
    <w:p w:rsidR="00000000" w:rsidRDefault="00EE1167">
      <w:pPr>
        <w:divId w:val="117647832"/>
        <w:rPr>
          <w:rFonts w:eastAsia="Times New Roman"/>
        </w:rPr>
      </w:pPr>
    </w:p>
    <w:p w:rsidR="00000000" w:rsidRDefault="00EE1167">
      <w:pPr>
        <w:divId w:val="1275014176"/>
        <w:rPr>
          <w:rFonts w:eastAsia="Times New Roman"/>
        </w:rPr>
      </w:pPr>
      <w:r>
        <w:rPr>
          <w:rFonts w:ascii="Arial" w:eastAsia="Times New Roman" w:hAnsi="Arial" w:cs="Arial"/>
          <w:color w:val="000000"/>
          <w:sz w:val="20"/>
          <w:szCs w:val="20"/>
        </w:rPr>
        <w:t>In 2020, the COVID-19 pandemic had a sign</w:t>
      </w:r>
      <w:r>
        <w:rPr>
          <w:rFonts w:ascii="Arial" w:eastAsia="Times New Roman" w:hAnsi="Arial" w:cs="Arial"/>
          <w:color w:val="000000"/>
          <w:sz w:val="20"/>
          <w:szCs w:val="20"/>
        </w:rPr>
        <w:t>ificant negative impact on crude oil market fundamentals which resulted in elevated risks to our business and to that of our customers. Global crude oil demand experienced an unprecedented drop in mid-2020, as the economy slowed and personal mobility decre</w:t>
      </w:r>
      <w:r>
        <w:rPr>
          <w:rFonts w:ascii="Arial" w:eastAsia="Times New Roman" w:hAnsi="Arial" w:cs="Arial"/>
          <w:color w:val="000000"/>
          <w:sz w:val="20"/>
          <w:szCs w:val="20"/>
        </w:rPr>
        <w:t xml:space="preserve">ased due to government imposed restrictions. This, in turn, led to a decrease in crude oil throughput on our liquids pipelines systems as refinery runs decreased across North America. </w:t>
      </w:r>
    </w:p>
    <w:p w:rsidR="00000000" w:rsidRDefault="00EE1167">
      <w:pPr>
        <w:divId w:val="1525629472"/>
        <w:rPr>
          <w:rFonts w:eastAsia="Times New Roman"/>
        </w:rPr>
      </w:pPr>
    </w:p>
    <w:p w:rsidR="00000000" w:rsidRDefault="00EE1167">
      <w:pPr>
        <w:jc w:val="center"/>
        <w:divId w:val="1882286085"/>
        <w:rPr>
          <w:rFonts w:eastAsia="Times New Roman"/>
        </w:rPr>
      </w:pPr>
      <w:r>
        <w:rPr>
          <w:rFonts w:ascii="Arial" w:eastAsia="Times New Roman" w:hAnsi="Arial" w:cs="Arial"/>
          <w:color w:val="000000"/>
          <w:sz w:val="20"/>
          <w:szCs w:val="20"/>
        </w:rPr>
        <w:t>37</w:t>
      </w:r>
    </w:p>
    <w:p w:rsidR="00000000" w:rsidRDefault="00EE1167">
      <w:pPr>
        <w:rPr>
          <w:rFonts w:eastAsia="Times New Roman"/>
        </w:rPr>
      </w:pPr>
      <w:r>
        <w:rPr>
          <w:rFonts w:eastAsia="Times New Roman"/>
        </w:rPr>
        <w:pict>
          <v:rect id="_x0000_i1062" style="width:0;height:1.5pt" o:hralign="center" o:hrstd="t" o:hr="t" fillcolor="#a0a0a0" stroked="f"/>
        </w:pict>
      </w:r>
    </w:p>
    <w:p w:rsidR="00000000" w:rsidRDefault="00EE1167">
      <w:pPr>
        <w:jc w:val="center"/>
        <w:divId w:val="490560901"/>
        <w:rPr>
          <w:rFonts w:eastAsia="Times New Roman"/>
        </w:rPr>
      </w:pPr>
    </w:p>
    <w:p w:rsidR="00000000" w:rsidRDefault="00EE1167">
      <w:pPr>
        <w:divId w:val="1489712200"/>
        <w:rPr>
          <w:rFonts w:eastAsia="Times New Roman"/>
        </w:rPr>
      </w:pPr>
      <w:r>
        <w:rPr>
          <w:rFonts w:ascii="Arial" w:eastAsia="Times New Roman" w:hAnsi="Arial" w:cs="Arial"/>
          <w:color w:val="000000"/>
          <w:sz w:val="20"/>
          <w:szCs w:val="20"/>
        </w:rPr>
        <w:t>During 2021, there has since</w:t>
      </w:r>
      <w:r>
        <w:rPr>
          <w:rFonts w:ascii="Arial" w:eastAsia="Times New Roman" w:hAnsi="Arial" w:cs="Arial"/>
          <w:color w:val="000000"/>
          <w:sz w:val="20"/>
          <w:szCs w:val="20"/>
        </w:rPr>
        <w:t xml:space="preserve"> been a substantial recovery in crude oil demand as vaccination rates rise and economies continue to reopen following successive COVID-19 waves. Crude oil prices have risen significantly since the 2020 collapse as the recovery in global demand has outpaced</w:t>
      </w:r>
      <w:r>
        <w:rPr>
          <w:rFonts w:ascii="Arial" w:eastAsia="Times New Roman" w:hAnsi="Arial" w:cs="Arial"/>
          <w:color w:val="000000"/>
          <w:sz w:val="20"/>
          <w:szCs w:val="20"/>
        </w:rPr>
        <w:t xml:space="preserve"> the return of crude oil supply. As at the third quarter of 2021, our Mainline System has remained substantially full, however, we continue to monitor the fundamental landscape for emerging supply and demand risks. </w:t>
      </w:r>
    </w:p>
    <w:p w:rsidR="00000000" w:rsidRDefault="00EE1167">
      <w:pPr>
        <w:divId w:val="870537993"/>
        <w:rPr>
          <w:rFonts w:eastAsia="Times New Roman"/>
        </w:rPr>
      </w:pPr>
    </w:p>
    <w:p w:rsidR="00000000" w:rsidRDefault="00EE1167">
      <w:pPr>
        <w:divId w:val="44376731"/>
        <w:rPr>
          <w:rFonts w:eastAsia="Times New Roman"/>
        </w:rPr>
      </w:pPr>
      <w:r>
        <w:rPr>
          <w:rFonts w:ascii="Arial" w:eastAsia="Times New Roman" w:hAnsi="Arial" w:cs="Arial"/>
          <w:color w:val="000000"/>
          <w:sz w:val="20"/>
          <w:szCs w:val="20"/>
        </w:rPr>
        <w:t>We continue to proactively monitor and</w:t>
      </w:r>
      <w:r>
        <w:rPr>
          <w:rFonts w:ascii="Arial" w:eastAsia="Times New Roman" w:hAnsi="Arial" w:cs="Arial"/>
          <w:color w:val="000000"/>
          <w:sz w:val="20"/>
          <w:szCs w:val="20"/>
        </w:rPr>
        <w:t xml:space="preserve"> follow COVID-19 guidance and orders from governments and public health authorities, which vary by jurisdiction, and to employ workplace safety processes and procedures including a COVID-19 vaccine and testing policy. We continue to implement a phased retu</w:t>
      </w:r>
      <w:r>
        <w:rPr>
          <w:rFonts w:ascii="Arial" w:eastAsia="Times New Roman" w:hAnsi="Arial" w:cs="Arial"/>
          <w:color w:val="000000"/>
          <w:sz w:val="20"/>
          <w:szCs w:val="20"/>
        </w:rPr>
        <w:t>rn to workplace plan in certain of our office locations where public health restrictions allow.</w:t>
      </w:r>
    </w:p>
    <w:p w:rsidR="00000000" w:rsidRDefault="00EE1167">
      <w:pPr>
        <w:divId w:val="361898964"/>
        <w:rPr>
          <w:rFonts w:eastAsia="Times New Roman"/>
        </w:rPr>
      </w:pPr>
    </w:p>
    <w:p w:rsidR="00000000" w:rsidRDefault="00EE1167">
      <w:pPr>
        <w:divId w:val="496773679"/>
        <w:rPr>
          <w:rFonts w:eastAsia="Times New Roman"/>
        </w:rPr>
      </w:pPr>
      <w:r>
        <w:rPr>
          <w:rFonts w:ascii="Arial" w:eastAsia="Times New Roman" w:hAnsi="Arial" w:cs="Arial"/>
          <w:color w:val="000000"/>
          <w:sz w:val="20"/>
          <w:szCs w:val="20"/>
        </w:rPr>
        <w:t>Despite ongoing uncertainty as to the duration and impact of the pandemic and corresponding public health measures, our business continuity plans are designed</w:t>
      </w:r>
      <w:r>
        <w:rPr>
          <w:rFonts w:ascii="Arial" w:eastAsia="Times New Roman" w:hAnsi="Arial" w:cs="Arial"/>
          <w:color w:val="000000"/>
          <w:sz w:val="20"/>
          <w:szCs w:val="20"/>
        </w:rPr>
        <w:t xml:space="preserve"> to enable us to manage operational developments related to COVID-19 as they unfold, including those related to construction and integrity projects. We provide an essential service across North America. Our customers, and the communities where we operate, </w:t>
      </w:r>
      <w:r>
        <w:rPr>
          <w:rFonts w:ascii="Arial" w:eastAsia="Times New Roman" w:hAnsi="Arial" w:cs="Arial"/>
          <w:color w:val="000000"/>
          <w:sz w:val="20"/>
          <w:szCs w:val="20"/>
        </w:rPr>
        <w:t>depend on us to safely and reliably provide the energy they need.</w:t>
      </w:r>
    </w:p>
    <w:p w:rsidR="00000000" w:rsidRDefault="00EE1167">
      <w:pPr>
        <w:divId w:val="1431775405"/>
        <w:rPr>
          <w:rFonts w:eastAsia="Times New Roman"/>
        </w:rPr>
      </w:pPr>
    </w:p>
    <w:p w:rsidR="00000000" w:rsidRDefault="00EE1167">
      <w:pPr>
        <w:divId w:val="89005563"/>
        <w:rPr>
          <w:rFonts w:eastAsia="Times New Roman"/>
        </w:rPr>
      </w:pPr>
      <w:r>
        <w:rPr>
          <w:rFonts w:ascii="Arial" w:eastAsia="Times New Roman" w:hAnsi="Arial" w:cs="Arial"/>
          <w:b/>
          <w:bCs/>
          <w:color w:val="000000"/>
          <w:sz w:val="20"/>
          <w:szCs w:val="20"/>
        </w:rPr>
        <w:t>UNITED STATES LINE 3 REPLACEMENT PROGRAM</w:t>
      </w:r>
    </w:p>
    <w:p w:rsidR="00000000" w:rsidRDefault="00EE1167">
      <w:pPr>
        <w:divId w:val="814830931"/>
        <w:rPr>
          <w:rFonts w:eastAsia="Times New Roman"/>
        </w:rPr>
      </w:pPr>
    </w:p>
    <w:p w:rsidR="00000000" w:rsidRDefault="00EE1167">
      <w:pPr>
        <w:divId w:val="59180691"/>
        <w:rPr>
          <w:rFonts w:eastAsia="Times New Roman"/>
        </w:rPr>
      </w:pPr>
      <w:r>
        <w:rPr>
          <w:rFonts w:ascii="Arial" w:eastAsia="Times New Roman" w:hAnsi="Arial" w:cs="Arial"/>
          <w:color w:val="000000"/>
          <w:sz w:val="20"/>
          <w:szCs w:val="20"/>
        </w:rPr>
        <w:t>Construction of the US portion of the Line 3 Replacement Program in Minnesota is now complete and was placed into service on October 1, 2021. Thi</w:t>
      </w:r>
      <w:r>
        <w:rPr>
          <w:rFonts w:ascii="Arial" w:eastAsia="Times New Roman" w:hAnsi="Arial" w:cs="Arial"/>
          <w:color w:val="000000"/>
          <w:sz w:val="20"/>
          <w:szCs w:val="20"/>
        </w:rPr>
        <w:t>s step marks the completion of the Line 3 Replacement (L3R) Program. The L3R Program was a replacement of 1,660 kilometers of pipeline from Hardisty, AB to Superior, WI and restores Line 3 to its historic capacity of 760 kbpd from western Canada into Super</w:t>
      </w:r>
      <w:r>
        <w:rPr>
          <w:rFonts w:ascii="Arial" w:eastAsia="Times New Roman" w:hAnsi="Arial" w:cs="Arial"/>
          <w:color w:val="000000"/>
          <w:sz w:val="20"/>
          <w:szCs w:val="20"/>
        </w:rPr>
        <w:t>ior, WI. With new state-of-the-art, thicker-walled pipe, its completion provides a safe, reliable supply of North American crude oil to US and Canadian refineries.</w:t>
      </w:r>
    </w:p>
    <w:p w:rsidR="00000000" w:rsidRDefault="00EE1167">
      <w:pPr>
        <w:divId w:val="817845625"/>
        <w:rPr>
          <w:rFonts w:eastAsia="Times New Roman"/>
        </w:rPr>
      </w:pPr>
    </w:p>
    <w:p w:rsidR="00000000" w:rsidRDefault="00EE1167">
      <w:pPr>
        <w:divId w:val="474880480"/>
        <w:rPr>
          <w:rFonts w:eastAsia="Times New Roman"/>
        </w:rPr>
      </w:pPr>
      <w:r>
        <w:rPr>
          <w:rFonts w:ascii="Arial" w:eastAsia="Times New Roman" w:hAnsi="Arial" w:cs="Arial"/>
          <w:b/>
          <w:bCs/>
          <w:color w:val="000000"/>
          <w:sz w:val="20"/>
          <w:szCs w:val="20"/>
        </w:rPr>
        <w:t xml:space="preserve">CANADIAN MAINLINE SYSTEM CONTRACTING </w:t>
      </w:r>
    </w:p>
    <w:p w:rsidR="00000000" w:rsidRDefault="00EE1167">
      <w:pPr>
        <w:divId w:val="917590989"/>
        <w:rPr>
          <w:rFonts w:eastAsia="Times New Roman"/>
        </w:rPr>
      </w:pPr>
    </w:p>
    <w:p w:rsidR="00000000" w:rsidRDefault="00EE1167">
      <w:pPr>
        <w:divId w:val="296111671"/>
        <w:rPr>
          <w:rFonts w:eastAsia="Times New Roman"/>
        </w:rPr>
      </w:pPr>
      <w:r>
        <w:rPr>
          <w:rFonts w:ascii="Arial" w:eastAsia="Times New Roman" w:hAnsi="Arial" w:cs="Arial"/>
          <w:color w:val="000000"/>
          <w:sz w:val="20"/>
          <w:szCs w:val="20"/>
        </w:rPr>
        <w:t>On December 19, 2019, we submitted an application to the Canada Energy Regulator (CER) to implement contracting on our Canadian Mainline System. The application for contracted and uncommitted service included the associated terms, conditions and tolls of e</w:t>
      </w:r>
      <w:r>
        <w:rPr>
          <w:rFonts w:ascii="Arial" w:eastAsia="Times New Roman" w:hAnsi="Arial" w:cs="Arial"/>
          <w:color w:val="000000"/>
          <w:sz w:val="20"/>
          <w:szCs w:val="20"/>
        </w:rPr>
        <w:t xml:space="preserve">ach service, which would be offered in an open season following approval by the CER. </w:t>
      </w:r>
    </w:p>
    <w:p w:rsidR="00000000" w:rsidRDefault="00EE1167">
      <w:pPr>
        <w:divId w:val="558827279"/>
        <w:rPr>
          <w:rFonts w:eastAsia="Times New Roman"/>
        </w:rPr>
      </w:pPr>
    </w:p>
    <w:p w:rsidR="00000000" w:rsidRDefault="00EE1167">
      <w:pPr>
        <w:divId w:val="1262495734"/>
        <w:rPr>
          <w:rFonts w:eastAsia="Times New Roman"/>
        </w:rPr>
      </w:pPr>
      <w:r>
        <w:rPr>
          <w:rFonts w:ascii="Arial" w:eastAsia="Times New Roman" w:hAnsi="Arial" w:cs="Arial"/>
          <w:color w:val="000000"/>
          <w:sz w:val="20"/>
          <w:szCs w:val="20"/>
        </w:rPr>
        <w:t>Procedural steps with all participants before the CER are now complete. A decision by the CER is expected in late November 2021.</w:t>
      </w:r>
    </w:p>
    <w:p w:rsidR="00000000" w:rsidRDefault="00EE1167">
      <w:pPr>
        <w:divId w:val="573054084"/>
        <w:rPr>
          <w:rFonts w:eastAsia="Times New Roman"/>
        </w:rPr>
      </w:pPr>
    </w:p>
    <w:p w:rsidR="00000000" w:rsidRDefault="00EE1167">
      <w:pPr>
        <w:divId w:val="343556289"/>
        <w:rPr>
          <w:rFonts w:eastAsia="Times New Roman"/>
        </w:rPr>
      </w:pPr>
      <w:r>
        <w:rPr>
          <w:rFonts w:ascii="Arial" w:eastAsia="Times New Roman" w:hAnsi="Arial" w:cs="Arial"/>
          <w:color w:val="000000"/>
          <w:sz w:val="20"/>
          <w:szCs w:val="20"/>
        </w:rPr>
        <w:t>In accordance with the terms of the C</w:t>
      </w:r>
      <w:r>
        <w:rPr>
          <w:rFonts w:ascii="Arial" w:eastAsia="Times New Roman" w:hAnsi="Arial" w:cs="Arial"/>
          <w:color w:val="000000"/>
          <w:sz w:val="20"/>
          <w:szCs w:val="20"/>
        </w:rPr>
        <w:t xml:space="preserve">ompetitive Tolling Settlement (CTS), which expired on June 30, 2021, the tolls in place on June 30, 2021 will continue on an interim basis, subject to finalization and adjustment applicable to the interim period, if any. </w:t>
      </w:r>
    </w:p>
    <w:p w:rsidR="00000000" w:rsidRDefault="00EE1167">
      <w:pPr>
        <w:divId w:val="1178734340"/>
        <w:rPr>
          <w:rFonts w:eastAsia="Times New Roman"/>
        </w:rPr>
      </w:pPr>
    </w:p>
    <w:p w:rsidR="00000000" w:rsidRDefault="00EE1167">
      <w:pPr>
        <w:divId w:val="591739176"/>
        <w:rPr>
          <w:rFonts w:eastAsia="Times New Roman"/>
        </w:rPr>
      </w:pPr>
      <w:r>
        <w:rPr>
          <w:rFonts w:ascii="Arial" w:eastAsia="Times New Roman" w:hAnsi="Arial" w:cs="Arial"/>
          <w:b/>
          <w:bCs/>
          <w:color w:val="000000"/>
          <w:sz w:val="20"/>
          <w:szCs w:val="20"/>
        </w:rPr>
        <w:t>GAS TRANSMISSION AND MIDSTREAM R</w:t>
      </w:r>
      <w:r>
        <w:rPr>
          <w:rFonts w:ascii="Arial" w:eastAsia="Times New Roman" w:hAnsi="Arial" w:cs="Arial"/>
          <w:b/>
          <w:bCs/>
          <w:color w:val="000000"/>
          <w:sz w:val="20"/>
          <w:szCs w:val="20"/>
        </w:rPr>
        <w:t>ATE PROCEEDINGS</w:t>
      </w:r>
    </w:p>
    <w:p w:rsidR="00000000" w:rsidRDefault="00EE1167">
      <w:pPr>
        <w:divId w:val="1315256215"/>
        <w:rPr>
          <w:rFonts w:eastAsia="Times New Roman"/>
        </w:rPr>
      </w:pPr>
    </w:p>
    <w:p w:rsidR="00000000" w:rsidRDefault="00EE1167">
      <w:pPr>
        <w:divId w:val="742796475"/>
        <w:rPr>
          <w:rFonts w:eastAsia="Times New Roman"/>
        </w:rPr>
      </w:pPr>
      <w:r>
        <w:rPr>
          <w:rFonts w:ascii="Arial" w:eastAsia="Times New Roman" w:hAnsi="Arial" w:cs="Arial"/>
          <w:b/>
          <w:bCs/>
          <w:color w:val="000000"/>
          <w:sz w:val="20"/>
          <w:szCs w:val="20"/>
        </w:rPr>
        <w:t>Texas Eastern Transmission</w:t>
      </w:r>
    </w:p>
    <w:p w:rsidR="00000000" w:rsidRDefault="00EE1167">
      <w:pPr>
        <w:divId w:val="683244821"/>
        <w:rPr>
          <w:rFonts w:eastAsia="Times New Roman"/>
        </w:rPr>
      </w:pPr>
      <w:r>
        <w:rPr>
          <w:rFonts w:ascii="Arial" w:eastAsia="Times New Roman" w:hAnsi="Arial" w:cs="Arial"/>
          <w:color w:val="000000"/>
          <w:sz w:val="20"/>
          <w:szCs w:val="20"/>
        </w:rPr>
        <w:t>Texas Eastern Transmission, LP (Texas Eastern) filed a rate case on July 30, 2021. On August 31, 2021 the Federal Energy Regulatory Commission (FERC) issued an order rejecting the July 30, 2021 filing in its entirety noting the proposed US federal income t</w:t>
      </w:r>
      <w:r>
        <w:rPr>
          <w:rFonts w:ascii="Arial" w:eastAsia="Times New Roman" w:hAnsi="Arial" w:cs="Arial"/>
          <w:color w:val="000000"/>
          <w:sz w:val="20"/>
          <w:szCs w:val="20"/>
        </w:rPr>
        <w:t xml:space="preserve">ax rate in the filing was not known and measurable. Additionally, the August 31, 2021 order directed Texas Eastern to show cause that its reservation charge crediting process is in accordance with FERC policy. On September 30, 2021 Texas Eastern responded </w:t>
      </w:r>
      <w:r>
        <w:rPr>
          <w:rFonts w:ascii="Arial" w:eastAsia="Times New Roman" w:hAnsi="Arial" w:cs="Arial"/>
          <w:color w:val="000000"/>
          <w:sz w:val="20"/>
          <w:szCs w:val="20"/>
        </w:rPr>
        <w:t>to the show cause directive and filed a new rate case using the current US federal income tax rate. On October 29, 2021, the FERC issued an order accepting and suspending tariff records, subject to refund, conditions, and establishing hearing procedures fo</w:t>
      </w:r>
      <w:r>
        <w:rPr>
          <w:rFonts w:ascii="Arial" w:eastAsia="Times New Roman" w:hAnsi="Arial" w:cs="Arial"/>
          <w:color w:val="000000"/>
          <w:sz w:val="20"/>
          <w:szCs w:val="20"/>
        </w:rPr>
        <w:t xml:space="preserve">r the rate case filed on September 30, 2021. Texas Eastern expects settlement discussions with shippers will commence in the first quarter of 2022. </w:t>
      </w:r>
    </w:p>
    <w:p w:rsidR="00000000" w:rsidRDefault="00EE1167">
      <w:pPr>
        <w:divId w:val="1275285922"/>
        <w:rPr>
          <w:rFonts w:eastAsia="Times New Roman"/>
        </w:rPr>
      </w:pPr>
    </w:p>
    <w:p w:rsidR="00000000" w:rsidRDefault="00EE1167">
      <w:pPr>
        <w:jc w:val="center"/>
        <w:divId w:val="1445230256"/>
        <w:rPr>
          <w:rFonts w:eastAsia="Times New Roman"/>
        </w:rPr>
      </w:pPr>
      <w:r>
        <w:rPr>
          <w:rFonts w:ascii="Arial" w:eastAsia="Times New Roman" w:hAnsi="Arial" w:cs="Arial"/>
          <w:color w:val="000000"/>
          <w:sz w:val="20"/>
          <w:szCs w:val="20"/>
        </w:rPr>
        <w:t>38</w:t>
      </w:r>
    </w:p>
    <w:p w:rsidR="00000000" w:rsidRDefault="00EE1167">
      <w:pPr>
        <w:rPr>
          <w:rFonts w:eastAsia="Times New Roman"/>
        </w:rPr>
      </w:pPr>
      <w:r>
        <w:rPr>
          <w:rFonts w:eastAsia="Times New Roman"/>
        </w:rPr>
        <w:pict>
          <v:rect id="_x0000_i1063" style="width:0;height:1.5pt" o:hralign="center" o:hrstd="t" o:hr="t" fillcolor="#a0a0a0" stroked="f"/>
        </w:pict>
      </w:r>
    </w:p>
    <w:p w:rsidR="00000000" w:rsidRDefault="00EE1167">
      <w:pPr>
        <w:jc w:val="center"/>
        <w:divId w:val="1898517301"/>
        <w:rPr>
          <w:rFonts w:eastAsia="Times New Roman"/>
        </w:rPr>
      </w:pPr>
    </w:p>
    <w:p w:rsidR="00000000" w:rsidRDefault="00EE1167">
      <w:pPr>
        <w:divId w:val="1570116303"/>
        <w:rPr>
          <w:rFonts w:eastAsia="Times New Roman"/>
        </w:rPr>
      </w:pPr>
      <w:r>
        <w:rPr>
          <w:rFonts w:ascii="Arial" w:eastAsia="Times New Roman" w:hAnsi="Arial" w:cs="Arial"/>
          <w:b/>
          <w:bCs/>
          <w:color w:val="000000"/>
          <w:sz w:val="20"/>
          <w:szCs w:val="20"/>
        </w:rPr>
        <w:t>East Tennessee</w:t>
      </w:r>
    </w:p>
    <w:p w:rsidR="00000000" w:rsidRDefault="00EE1167">
      <w:pPr>
        <w:divId w:val="416251108"/>
        <w:rPr>
          <w:rFonts w:eastAsia="Times New Roman"/>
        </w:rPr>
      </w:pPr>
      <w:r>
        <w:rPr>
          <w:rFonts w:ascii="Arial" w:eastAsia="Times New Roman" w:hAnsi="Arial" w:cs="Arial"/>
          <w:color w:val="000000"/>
          <w:sz w:val="20"/>
          <w:szCs w:val="20"/>
        </w:rPr>
        <w:t>East Tennessee Natural Gas, LLC (ETNG) filed a ra</w:t>
      </w:r>
      <w:r>
        <w:rPr>
          <w:rFonts w:ascii="Arial" w:eastAsia="Times New Roman" w:hAnsi="Arial" w:cs="Arial"/>
          <w:color w:val="000000"/>
          <w:sz w:val="20"/>
          <w:szCs w:val="20"/>
        </w:rPr>
        <w:t>te case in the second quarter of 2020 and an agreement in principle was reached with shippers in April 2021. A Stipulation and Agreement was filed on May 21, 2021, approved by the FERC on September 10, 2021, and was effective on November 1, 2021.</w:t>
      </w:r>
    </w:p>
    <w:p w:rsidR="00000000" w:rsidRDefault="00EE1167">
      <w:pPr>
        <w:divId w:val="1395197780"/>
        <w:rPr>
          <w:rFonts w:eastAsia="Times New Roman"/>
        </w:rPr>
      </w:pPr>
    </w:p>
    <w:p w:rsidR="00000000" w:rsidRDefault="00EE1167">
      <w:pPr>
        <w:divId w:val="552623261"/>
        <w:rPr>
          <w:rFonts w:eastAsia="Times New Roman"/>
        </w:rPr>
      </w:pPr>
      <w:r>
        <w:rPr>
          <w:rFonts w:ascii="Arial" w:eastAsia="Times New Roman" w:hAnsi="Arial" w:cs="Arial"/>
          <w:b/>
          <w:bCs/>
          <w:color w:val="000000"/>
          <w:sz w:val="20"/>
          <w:szCs w:val="20"/>
        </w:rPr>
        <w:t>Maritim</w:t>
      </w:r>
      <w:r>
        <w:rPr>
          <w:rFonts w:ascii="Arial" w:eastAsia="Times New Roman" w:hAnsi="Arial" w:cs="Arial"/>
          <w:b/>
          <w:bCs/>
          <w:color w:val="000000"/>
          <w:sz w:val="20"/>
          <w:szCs w:val="20"/>
        </w:rPr>
        <w:t>es &amp; Northeast Pipeline</w:t>
      </w:r>
    </w:p>
    <w:p w:rsidR="00000000" w:rsidRDefault="00EE1167">
      <w:pPr>
        <w:divId w:val="266081970"/>
        <w:rPr>
          <w:rFonts w:eastAsia="Times New Roman"/>
        </w:rPr>
      </w:pPr>
      <w:r>
        <w:rPr>
          <w:rFonts w:ascii="Arial" w:eastAsia="Times New Roman" w:hAnsi="Arial" w:cs="Arial"/>
          <w:color w:val="000000"/>
          <w:sz w:val="20"/>
          <w:szCs w:val="20"/>
        </w:rPr>
        <w:t>The US portion of Maritimes &amp; Northeast Pipeline filed a rate case in the second quarter of 2020 and an agreement in principle was reached with shippers in December 2020. A Stipulation and Agreement was filed on February 21, 2021, a</w:t>
      </w:r>
      <w:r>
        <w:rPr>
          <w:rFonts w:ascii="Arial" w:eastAsia="Times New Roman" w:hAnsi="Arial" w:cs="Arial"/>
          <w:color w:val="000000"/>
          <w:sz w:val="20"/>
          <w:szCs w:val="20"/>
        </w:rPr>
        <w:t>pproved by the FERC on April 30, 2021, and was effective on June 1, 2021.</w:t>
      </w:r>
    </w:p>
    <w:p w:rsidR="00000000" w:rsidRDefault="00EE1167">
      <w:pPr>
        <w:divId w:val="772941741"/>
        <w:rPr>
          <w:rFonts w:eastAsia="Times New Roman"/>
        </w:rPr>
      </w:pPr>
    </w:p>
    <w:p w:rsidR="00000000" w:rsidRDefault="00EE1167">
      <w:pPr>
        <w:divId w:val="412438409"/>
        <w:rPr>
          <w:rFonts w:eastAsia="Times New Roman"/>
        </w:rPr>
      </w:pPr>
      <w:r>
        <w:rPr>
          <w:rFonts w:ascii="Arial" w:eastAsia="Times New Roman" w:hAnsi="Arial" w:cs="Arial"/>
          <w:b/>
          <w:bCs/>
          <w:color w:val="000000"/>
          <w:sz w:val="20"/>
          <w:szCs w:val="20"/>
        </w:rPr>
        <w:t>Alliance Pipeline</w:t>
      </w:r>
    </w:p>
    <w:p w:rsidR="00000000" w:rsidRDefault="00EE1167">
      <w:pPr>
        <w:divId w:val="1731075471"/>
        <w:rPr>
          <w:rFonts w:eastAsia="Times New Roman"/>
        </w:rPr>
      </w:pPr>
      <w:r>
        <w:rPr>
          <w:rFonts w:ascii="Arial" w:eastAsia="Times New Roman" w:hAnsi="Arial" w:cs="Arial"/>
          <w:color w:val="000000"/>
          <w:sz w:val="20"/>
          <w:szCs w:val="20"/>
        </w:rPr>
        <w:t>The US portion of Alliance Pipeline filed a rate case in the second quarter of 2020 and an agreement in principle was reached with shippers in January 2021. A Sti</w:t>
      </w:r>
      <w:r>
        <w:rPr>
          <w:rFonts w:ascii="Arial" w:eastAsia="Times New Roman" w:hAnsi="Arial" w:cs="Arial"/>
          <w:color w:val="000000"/>
          <w:sz w:val="20"/>
          <w:szCs w:val="20"/>
        </w:rPr>
        <w:t>pulation and Agreement was filed on March 31, 2021, approved by the FERC on July 15, 2021, and was effective on September 1, 2021.</w:t>
      </w:r>
    </w:p>
    <w:p w:rsidR="00000000" w:rsidRDefault="00EE1167">
      <w:pPr>
        <w:divId w:val="2049987054"/>
        <w:rPr>
          <w:rFonts w:eastAsia="Times New Roman"/>
        </w:rPr>
      </w:pPr>
    </w:p>
    <w:p w:rsidR="00000000" w:rsidRDefault="00EE1167">
      <w:pPr>
        <w:divId w:val="905919459"/>
        <w:rPr>
          <w:rFonts w:eastAsia="Times New Roman"/>
        </w:rPr>
      </w:pPr>
      <w:r>
        <w:rPr>
          <w:rFonts w:ascii="Arial" w:eastAsia="Times New Roman" w:hAnsi="Arial" w:cs="Arial"/>
          <w:b/>
          <w:bCs/>
          <w:color w:val="000000"/>
          <w:sz w:val="20"/>
          <w:szCs w:val="20"/>
        </w:rPr>
        <w:t>GAS DISTRIBUTION AND STORAGE RATE APPLICATIONS</w:t>
      </w:r>
    </w:p>
    <w:p w:rsidR="00000000" w:rsidRDefault="00EE1167">
      <w:pPr>
        <w:divId w:val="192966876"/>
        <w:rPr>
          <w:rFonts w:eastAsia="Times New Roman"/>
        </w:rPr>
      </w:pPr>
    </w:p>
    <w:p w:rsidR="00000000" w:rsidRDefault="00EE1167">
      <w:pPr>
        <w:divId w:val="1617634610"/>
        <w:rPr>
          <w:rFonts w:eastAsia="Times New Roman"/>
        </w:rPr>
      </w:pPr>
      <w:r>
        <w:rPr>
          <w:rFonts w:ascii="Arial" w:eastAsia="Times New Roman" w:hAnsi="Arial" w:cs="Arial"/>
          <w:b/>
          <w:bCs/>
          <w:color w:val="000000"/>
          <w:sz w:val="20"/>
          <w:szCs w:val="20"/>
        </w:rPr>
        <w:t>2021 Rate Application</w:t>
      </w:r>
    </w:p>
    <w:p w:rsidR="00000000" w:rsidRDefault="00EE1167">
      <w:pPr>
        <w:divId w:val="51317425"/>
        <w:rPr>
          <w:rFonts w:eastAsia="Times New Roman"/>
        </w:rPr>
      </w:pPr>
      <w:r>
        <w:rPr>
          <w:rFonts w:ascii="Arial" w:eastAsia="Times New Roman" w:hAnsi="Arial" w:cs="Arial"/>
          <w:color w:val="000000"/>
          <w:sz w:val="20"/>
          <w:szCs w:val="20"/>
        </w:rPr>
        <w:t>Enbridge Gas Inc. (Enbridge Gas) rate applications are filed in two phases. As part of an Ontario Energy Board (OEB) Decision and Order issued in November 2020, Phase 1 of the application for 2021 rates (the 2021 Application), exclusive of 2021 capital inv</w:t>
      </w:r>
      <w:r>
        <w:rPr>
          <w:rFonts w:ascii="Arial" w:eastAsia="Times New Roman" w:hAnsi="Arial" w:cs="Arial"/>
          <w:color w:val="000000"/>
          <w:sz w:val="20"/>
          <w:szCs w:val="20"/>
        </w:rPr>
        <w:t xml:space="preserve">estment funding requested through the incremental capital module (ICM) mechanism, was approved on an interim basis effective January 1, 2021. Through a subsequent OEB Rate Order issued on June 3, 2021, Phase 2 of the 2021 Application, inclusive of funding </w:t>
      </w:r>
      <w:r>
        <w:rPr>
          <w:rFonts w:ascii="Arial" w:eastAsia="Times New Roman" w:hAnsi="Arial" w:cs="Arial"/>
          <w:color w:val="000000"/>
          <w:sz w:val="20"/>
          <w:szCs w:val="20"/>
        </w:rPr>
        <w:t>for $124 million of Enbridge Gas requested 2021 ICM amounts, was approved effective July 1, 2021, and interim rates in effect for 2021 were made final. The 2021 Application, which represented the third year of a five-year term, was filed in accordance with</w:t>
      </w:r>
      <w:r>
        <w:rPr>
          <w:rFonts w:ascii="Arial" w:eastAsia="Times New Roman" w:hAnsi="Arial" w:cs="Arial"/>
          <w:color w:val="000000"/>
          <w:sz w:val="20"/>
          <w:szCs w:val="20"/>
        </w:rPr>
        <w:t xml:space="preserve"> the parameters of the Enbridge Gas OEB approved Price Cap Incentive Regulation (IR) rate setting mechanism.</w:t>
      </w:r>
    </w:p>
    <w:p w:rsidR="00000000" w:rsidRDefault="00EE1167">
      <w:pPr>
        <w:divId w:val="1051348926"/>
        <w:rPr>
          <w:rFonts w:eastAsia="Times New Roman"/>
        </w:rPr>
      </w:pPr>
    </w:p>
    <w:p w:rsidR="00000000" w:rsidRDefault="00EE1167">
      <w:pPr>
        <w:divId w:val="961109690"/>
        <w:rPr>
          <w:rFonts w:eastAsia="Times New Roman"/>
        </w:rPr>
      </w:pPr>
      <w:r>
        <w:rPr>
          <w:rFonts w:ascii="Arial" w:eastAsia="Times New Roman" w:hAnsi="Arial" w:cs="Arial"/>
          <w:b/>
          <w:bCs/>
          <w:color w:val="000000"/>
          <w:sz w:val="20"/>
          <w:szCs w:val="20"/>
        </w:rPr>
        <w:t>2022 Rate Application</w:t>
      </w:r>
    </w:p>
    <w:p w:rsidR="00000000" w:rsidRDefault="00EE1167">
      <w:pPr>
        <w:divId w:val="881600080"/>
        <w:rPr>
          <w:rFonts w:eastAsia="Times New Roman"/>
        </w:rPr>
      </w:pPr>
      <w:r>
        <w:rPr>
          <w:rFonts w:ascii="Arial" w:eastAsia="Times New Roman" w:hAnsi="Arial" w:cs="Arial"/>
          <w:color w:val="000000"/>
          <w:sz w:val="20"/>
          <w:szCs w:val="20"/>
        </w:rPr>
        <w:t>On June 30, 2021, Enbridge Gas filed Phase 1 of the application with the OEB for the setting of rates for 2022 (the 2022 Ap</w:t>
      </w:r>
      <w:r>
        <w:rPr>
          <w:rFonts w:ascii="Arial" w:eastAsia="Times New Roman" w:hAnsi="Arial" w:cs="Arial"/>
          <w:color w:val="000000"/>
          <w:sz w:val="20"/>
          <w:szCs w:val="20"/>
        </w:rPr>
        <w:t>plication). The 2022 Application was filed in accordance with the parameters of the Enbridge Gas OEB approved Price Cap IR rate setting mechanism and represents the fourth year of a five-year term. On October 28, 2021, the OEB approved a Phase 1 Settlement</w:t>
      </w:r>
      <w:r>
        <w:rPr>
          <w:rFonts w:ascii="Arial" w:eastAsia="Times New Roman" w:hAnsi="Arial" w:cs="Arial"/>
          <w:color w:val="000000"/>
          <w:sz w:val="20"/>
          <w:szCs w:val="20"/>
        </w:rPr>
        <w:t xml:space="preserve"> Proposal and Interim Rate Order effective January 1, 2022. Phase 2 of the 2022 Application addressing ICM funding requirements was filed on October 15, 2021.</w:t>
      </w:r>
    </w:p>
    <w:p w:rsidR="00000000" w:rsidRDefault="00EE1167">
      <w:pPr>
        <w:divId w:val="1431968122"/>
        <w:rPr>
          <w:rFonts w:eastAsia="Times New Roman"/>
        </w:rPr>
      </w:pPr>
    </w:p>
    <w:p w:rsidR="00000000" w:rsidRDefault="00EE1167">
      <w:pPr>
        <w:divId w:val="1624459024"/>
        <w:rPr>
          <w:rFonts w:eastAsia="Times New Roman"/>
        </w:rPr>
      </w:pPr>
      <w:r>
        <w:rPr>
          <w:rFonts w:ascii="Arial" w:eastAsia="Times New Roman" w:hAnsi="Arial" w:cs="Arial"/>
          <w:b/>
          <w:bCs/>
          <w:color w:val="000000"/>
          <w:sz w:val="20"/>
          <w:szCs w:val="20"/>
        </w:rPr>
        <w:t>SOLAR SELF-POWER PROJECTS</w:t>
      </w:r>
    </w:p>
    <w:p w:rsidR="00000000" w:rsidRDefault="00EE1167">
      <w:pPr>
        <w:divId w:val="1029381160"/>
        <w:rPr>
          <w:rFonts w:eastAsia="Times New Roman"/>
        </w:rPr>
      </w:pPr>
    </w:p>
    <w:p w:rsidR="00000000" w:rsidRDefault="00EE1167">
      <w:pPr>
        <w:divId w:val="1214266568"/>
        <w:rPr>
          <w:rFonts w:eastAsia="Times New Roman"/>
        </w:rPr>
      </w:pPr>
      <w:r>
        <w:rPr>
          <w:rFonts w:ascii="Arial" w:eastAsia="Times New Roman" w:hAnsi="Arial" w:cs="Arial"/>
          <w:b/>
          <w:bCs/>
          <w:color w:val="000000"/>
          <w:sz w:val="20"/>
          <w:szCs w:val="20"/>
        </w:rPr>
        <w:t>Alberta Solar One</w:t>
      </w:r>
    </w:p>
    <w:p w:rsidR="00000000" w:rsidRDefault="00EE1167">
      <w:pPr>
        <w:divId w:val="1443454323"/>
        <w:rPr>
          <w:rFonts w:eastAsia="Times New Roman"/>
        </w:rPr>
      </w:pPr>
      <w:r>
        <w:rPr>
          <w:rFonts w:ascii="Arial" w:eastAsia="Times New Roman" w:hAnsi="Arial" w:cs="Arial"/>
          <w:color w:val="000000"/>
          <w:sz w:val="20"/>
          <w:szCs w:val="20"/>
        </w:rPr>
        <w:t>In March 2021, we commenced commercial operations</w:t>
      </w:r>
      <w:r>
        <w:rPr>
          <w:rFonts w:ascii="Arial" w:eastAsia="Times New Roman" w:hAnsi="Arial" w:cs="Arial"/>
          <w:color w:val="000000"/>
          <w:sz w:val="20"/>
          <w:szCs w:val="20"/>
        </w:rPr>
        <w:t xml:space="preserve"> on our first self-powering solar generation facility in Alberta. The 10.5-megawatts (MW) solar project, located near Burdett, Alberta, will supply a portion of our Canadian Mainline power requirements with solar energy. </w:t>
      </w:r>
    </w:p>
    <w:p w:rsidR="00000000" w:rsidRDefault="00EE1167">
      <w:pPr>
        <w:divId w:val="686372983"/>
        <w:rPr>
          <w:rFonts w:eastAsia="Times New Roman"/>
        </w:rPr>
      </w:pPr>
    </w:p>
    <w:p w:rsidR="00000000" w:rsidRDefault="00EE1167">
      <w:pPr>
        <w:divId w:val="890578256"/>
        <w:rPr>
          <w:rFonts w:eastAsia="Times New Roman"/>
        </w:rPr>
      </w:pPr>
      <w:r>
        <w:rPr>
          <w:rFonts w:ascii="Arial" w:eastAsia="Times New Roman" w:hAnsi="Arial" w:cs="Arial"/>
          <w:b/>
          <w:bCs/>
          <w:color w:val="000000"/>
          <w:sz w:val="20"/>
          <w:szCs w:val="20"/>
        </w:rPr>
        <w:t>Heidlersburg Solar Project</w:t>
      </w:r>
    </w:p>
    <w:p w:rsidR="00000000" w:rsidRDefault="00EE1167">
      <w:pPr>
        <w:divId w:val="9186482"/>
        <w:rPr>
          <w:rFonts w:eastAsia="Times New Roman"/>
        </w:rPr>
      </w:pPr>
      <w:r>
        <w:rPr>
          <w:rFonts w:ascii="Arial" w:eastAsia="Times New Roman" w:hAnsi="Arial" w:cs="Arial"/>
          <w:color w:val="000000"/>
          <w:sz w:val="20"/>
          <w:szCs w:val="20"/>
        </w:rPr>
        <w:t>On Ma</w:t>
      </w:r>
      <w:r>
        <w:rPr>
          <w:rFonts w:ascii="Arial" w:eastAsia="Times New Roman" w:hAnsi="Arial" w:cs="Arial"/>
          <w:color w:val="000000"/>
          <w:sz w:val="20"/>
          <w:szCs w:val="20"/>
        </w:rPr>
        <w:t xml:space="preserve">y 15, 2021, a 2.5 MW self-power facility, located at the Heidlersburg compressor station on the Texas Eastern system, was placed into service. </w:t>
      </w:r>
    </w:p>
    <w:p w:rsidR="00000000" w:rsidRDefault="00EE1167">
      <w:pPr>
        <w:divId w:val="1100950648"/>
        <w:rPr>
          <w:rFonts w:eastAsia="Times New Roman"/>
        </w:rPr>
      </w:pPr>
    </w:p>
    <w:p w:rsidR="00000000" w:rsidRDefault="00EE1167">
      <w:pPr>
        <w:divId w:val="520049031"/>
        <w:rPr>
          <w:rFonts w:eastAsia="Times New Roman"/>
        </w:rPr>
      </w:pPr>
      <w:r>
        <w:rPr>
          <w:rFonts w:ascii="Arial" w:eastAsia="Times New Roman" w:hAnsi="Arial" w:cs="Arial"/>
          <w:color w:val="000000"/>
          <w:sz w:val="20"/>
          <w:szCs w:val="20"/>
        </w:rPr>
        <w:t>An additional four projects along our US Mainline and Flanagan South liquids systems, with a combined 35 MW of</w:t>
      </w:r>
      <w:r>
        <w:rPr>
          <w:rFonts w:ascii="Arial" w:eastAsia="Times New Roman" w:hAnsi="Arial" w:cs="Arial"/>
          <w:color w:val="000000"/>
          <w:sz w:val="20"/>
          <w:szCs w:val="20"/>
        </w:rPr>
        <w:t xml:space="preserve"> generation, are in pre-construction and expected to enter service in late 2022, further lowering our emissions. </w:t>
      </w:r>
    </w:p>
    <w:p w:rsidR="00000000" w:rsidRDefault="00EE1167">
      <w:pPr>
        <w:divId w:val="1272398464"/>
        <w:rPr>
          <w:rFonts w:eastAsia="Times New Roman"/>
        </w:rPr>
      </w:pPr>
    </w:p>
    <w:p w:rsidR="00000000" w:rsidRDefault="00EE1167">
      <w:pPr>
        <w:jc w:val="center"/>
        <w:divId w:val="1171483397"/>
        <w:rPr>
          <w:rFonts w:eastAsia="Times New Roman"/>
        </w:rPr>
      </w:pPr>
      <w:r>
        <w:rPr>
          <w:rFonts w:ascii="Arial" w:eastAsia="Times New Roman" w:hAnsi="Arial" w:cs="Arial"/>
          <w:color w:val="000000"/>
          <w:sz w:val="20"/>
          <w:szCs w:val="20"/>
        </w:rPr>
        <w:t>39</w:t>
      </w:r>
    </w:p>
    <w:p w:rsidR="00000000" w:rsidRDefault="00EE1167">
      <w:pPr>
        <w:rPr>
          <w:rFonts w:eastAsia="Times New Roman"/>
        </w:rPr>
      </w:pPr>
      <w:r>
        <w:rPr>
          <w:rFonts w:eastAsia="Times New Roman"/>
        </w:rPr>
        <w:pict>
          <v:rect id="_x0000_i1064" style="width:0;height:1.5pt" o:hralign="center" o:hrstd="t" o:hr="t" fillcolor="#a0a0a0" stroked="f"/>
        </w:pict>
      </w:r>
    </w:p>
    <w:p w:rsidR="00000000" w:rsidRDefault="00EE1167">
      <w:pPr>
        <w:jc w:val="center"/>
        <w:divId w:val="834498368"/>
        <w:rPr>
          <w:rFonts w:eastAsia="Times New Roman"/>
        </w:rPr>
      </w:pPr>
    </w:p>
    <w:p w:rsidR="00000000" w:rsidRDefault="00EE1167">
      <w:pPr>
        <w:divId w:val="490877968"/>
        <w:rPr>
          <w:rFonts w:eastAsia="Times New Roman"/>
        </w:rPr>
      </w:pPr>
      <w:r>
        <w:rPr>
          <w:rFonts w:ascii="Arial" w:eastAsia="Times New Roman" w:hAnsi="Arial" w:cs="Arial"/>
          <w:b/>
          <w:bCs/>
          <w:color w:val="000000"/>
          <w:sz w:val="20"/>
          <w:szCs w:val="20"/>
        </w:rPr>
        <w:t>FINANCING UPDATE</w:t>
      </w:r>
    </w:p>
    <w:p w:rsidR="00000000" w:rsidRDefault="00EE1167">
      <w:pPr>
        <w:divId w:val="1677614111"/>
        <w:rPr>
          <w:rFonts w:eastAsia="Times New Roman"/>
        </w:rPr>
      </w:pPr>
    </w:p>
    <w:p w:rsidR="00000000" w:rsidRDefault="00EE1167">
      <w:pPr>
        <w:divId w:val="1087381033"/>
        <w:rPr>
          <w:rFonts w:eastAsia="Times New Roman"/>
        </w:rPr>
      </w:pPr>
      <w:r>
        <w:rPr>
          <w:rFonts w:ascii="Arial" w:eastAsia="Times New Roman" w:hAnsi="Arial" w:cs="Arial"/>
          <w:color w:val="000000"/>
          <w:sz w:val="20"/>
          <w:szCs w:val="20"/>
        </w:rPr>
        <w:t>On February 10, 2021, we entered into a three year, revolving, extendible, sust</w:t>
      </w:r>
      <w:r>
        <w:rPr>
          <w:rFonts w:ascii="Arial" w:eastAsia="Times New Roman" w:hAnsi="Arial" w:cs="Arial"/>
          <w:color w:val="000000"/>
          <w:sz w:val="20"/>
          <w:szCs w:val="20"/>
        </w:rPr>
        <w:t>ainability-linked credit facility for $1.0 billion with a syndicate of lenders. We concurrently cancelled a one-year, revolving, syndicated credit facility for $3.0 billion, ahead of its scheduled March 2021 maturity.</w:t>
      </w:r>
    </w:p>
    <w:p w:rsidR="00000000" w:rsidRDefault="00EE1167">
      <w:pPr>
        <w:divId w:val="575480961"/>
        <w:rPr>
          <w:rFonts w:eastAsia="Times New Roman"/>
        </w:rPr>
      </w:pPr>
    </w:p>
    <w:p w:rsidR="00000000" w:rsidRDefault="00EE1167">
      <w:pPr>
        <w:divId w:val="1830361120"/>
        <w:rPr>
          <w:rFonts w:eastAsia="Times New Roman"/>
        </w:rPr>
      </w:pPr>
      <w:r>
        <w:rPr>
          <w:rFonts w:ascii="Arial" w:eastAsia="Times New Roman" w:hAnsi="Arial" w:cs="Arial"/>
          <w:color w:val="000000"/>
          <w:sz w:val="20"/>
          <w:szCs w:val="20"/>
        </w:rPr>
        <w:t xml:space="preserve">On February 19, 2021, we closed our </w:t>
      </w:r>
      <w:r>
        <w:rPr>
          <w:rFonts w:ascii="Arial" w:eastAsia="Times New Roman" w:hAnsi="Arial" w:cs="Arial"/>
          <w:color w:val="000000"/>
          <w:sz w:val="20"/>
          <w:szCs w:val="20"/>
        </w:rPr>
        <w:t>inaugural US$500 million two-year Secured Overnight Financing Rate (SOFR) based Floating Rate Note offering. Proceeds of this offering were used for repayment of two United States dollars (USD) term loans for the equivalent aggregate amount which matured o</w:t>
      </w:r>
      <w:r>
        <w:rPr>
          <w:rFonts w:ascii="Arial" w:eastAsia="Times New Roman" w:hAnsi="Arial" w:cs="Arial"/>
          <w:color w:val="000000"/>
          <w:sz w:val="20"/>
          <w:szCs w:val="20"/>
        </w:rPr>
        <w:t xml:space="preserve">n February 25, 2021. </w:t>
      </w:r>
    </w:p>
    <w:p w:rsidR="00000000" w:rsidRDefault="00EE1167">
      <w:pPr>
        <w:divId w:val="104232272"/>
        <w:rPr>
          <w:rFonts w:eastAsia="Times New Roman"/>
        </w:rPr>
      </w:pPr>
    </w:p>
    <w:p w:rsidR="00000000" w:rsidRDefault="00EE1167">
      <w:pPr>
        <w:divId w:val="480969150"/>
        <w:rPr>
          <w:rFonts w:eastAsia="Times New Roman"/>
        </w:rPr>
      </w:pPr>
      <w:r>
        <w:rPr>
          <w:rFonts w:ascii="Arial" w:eastAsia="Times New Roman" w:hAnsi="Arial" w:cs="Arial"/>
          <w:color w:val="000000"/>
          <w:sz w:val="20"/>
          <w:szCs w:val="20"/>
        </w:rPr>
        <w:t>On May 12, 2021, Enbridge Pipelines Inc. closed an $800 million dual-tranche medium-term notes (MTN) offering in the Canadian public debt market, split evenly between 10 and 30-year tranches. Proceeds of this offering were used to r</w:t>
      </w:r>
      <w:r>
        <w:rPr>
          <w:rFonts w:ascii="Arial" w:eastAsia="Times New Roman" w:hAnsi="Arial" w:cs="Arial"/>
          <w:color w:val="000000"/>
          <w:sz w:val="20"/>
          <w:szCs w:val="20"/>
        </w:rPr>
        <w:t>epay short-term debt, for capital expenditures and for general corporate purposes.</w:t>
      </w:r>
    </w:p>
    <w:p w:rsidR="00000000" w:rsidRDefault="00EE1167">
      <w:pPr>
        <w:divId w:val="1904751744"/>
        <w:rPr>
          <w:rFonts w:eastAsia="Times New Roman"/>
        </w:rPr>
      </w:pPr>
    </w:p>
    <w:p w:rsidR="00000000" w:rsidRDefault="00EE1167">
      <w:pPr>
        <w:divId w:val="834884003"/>
        <w:rPr>
          <w:rFonts w:eastAsia="Times New Roman"/>
        </w:rPr>
      </w:pPr>
      <w:r>
        <w:rPr>
          <w:rFonts w:ascii="Arial" w:eastAsia="Times New Roman" w:hAnsi="Arial" w:cs="Arial"/>
          <w:color w:val="000000"/>
          <w:sz w:val="20"/>
          <w:szCs w:val="20"/>
        </w:rPr>
        <w:t xml:space="preserve">On June 28, 2021, we closed a dual-tranche debt offering consisting of an inaugural US$1.0 billion 12-year Sustainability-Linked senior note issuance and a US$500 million </w:t>
      </w:r>
      <w:r>
        <w:rPr>
          <w:rFonts w:ascii="Arial" w:eastAsia="Times New Roman" w:hAnsi="Arial" w:cs="Arial"/>
          <w:color w:val="000000"/>
          <w:sz w:val="20"/>
          <w:szCs w:val="20"/>
        </w:rPr>
        <w:t>30-year senior note issuance. The Sustainability-Linked senior notes follow the guidance of our Sustainability-Linked Bond Framework published on June 17, 2021, by incorporating greenhouse gas emissions intensity reduction and workforce diversity sustainab</w:t>
      </w:r>
      <w:r>
        <w:rPr>
          <w:rFonts w:ascii="Arial" w:eastAsia="Times New Roman" w:hAnsi="Arial" w:cs="Arial"/>
          <w:color w:val="000000"/>
          <w:sz w:val="20"/>
          <w:szCs w:val="20"/>
        </w:rPr>
        <w:t xml:space="preserve">ility performance targets (SPTs) into the financing terms. If the SPTs are not met, the interest rate on the Sustainability-Linked senior notes will increase, helping to align our funding strategies with our environmental, social and governance ambitions. </w:t>
      </w:r>
      <w:r>
        <w:rPr>
          <w:rFonts w:ascii="Arial" w:eastAsia="Times New Roman" w:hAnsi="Arial" w:cs="Arial"/>
          <w:color w:val="000000"/>
          <w:sz w:val="20"/>
          <w:szCs w:val="20"/>
        </w:rPr>
        <w:t>The proceeds from the issuance were used to repay existing indebtedness, partially fund capital projects and for other general corporate purposes.</w:t>
      </w:r>
    </w:p>
    <w:p w:rsidR="00000000" w:rsidRDefault="00EE1167">
      <w:pPr>
        <w:divId w:val="171798166"/>
        <w:rPr>
          <w:rFonts w:eastAsia="Times New Roman"/>
        </w:rPr>
      </w:pPr>
    </w:p>
    <w:p w:rsidR="00000000" w:rsidRDefault="00EE1167">
      <w:pPr>
        <w:divId w:val="606932203"/>
        <w:rPr>
          <w:rFonts w:eastAsia="Times New Roman"/>
        </w:rPr>
      </w:pPr>
      <w:r>
        <w:rPr>
          <w:rFonts w:ascii="Arial" w:eastAsia="Times New Roman" w:hAnsi="Arial" w:cs="Arial"/>
          <w:color w:val="000000"/>
          <w:sz w:val="20"/>
          <w:szCs w:val="20"/>
        </w:rPr>
        <w:t>On July 22 and 23, 2021, we renewed approximately $8.0 billion of our five-year credit facilities, extending the maturity date out to July 2026. We also extended approximately $10.0 billion of our 364-day extendible credit facilities to July 2022, which in</w:t>
      </w:r>
      <w:r>
        <w:rPr>
          <w:rFonts w:ascii="Arial" w:eastAsia="Times New Roman" w:hAnsi="Arial" w:cs="Arial"/>
          <w:color w:val="000000"/>
          <w:sz w:val="20"/>
          <w:szCs w:val="20"/>
        </w:rPr>
        <w:t>cludes a one-year term out provision to July 2023.</w:t>
      </w:r>
    </w:p>
    <w:p w:rsidR="00000000" w:rsidRDefault="00EE1167">
      <w:pPr>
        <w:divId w:val="340353557"/>
        <w:rPr>
          <w:rFonts w:eastAsia="Times New Roman"/>
        </w:rPr>
      </w:pPr>
    </w:p>
    <w:p w:rsidR="00000000" w:rsidRDefault="00EE1167">
      <w:pPr>
        <w:divId w:val="1385982841"/>
        <w:rPr>
          <w:rFonts w:eastAsia="Times New Roman"/>
        </w:rPr>
      </w:pPr>
      <w:r>
        <w:rPr>
          <w:rFonts w:ascii="Arial" w:eastAsia="Times New Roman" w:hAnsi="Arial" w:cs="Arial"/>
          <w:color w:val="000000"/>
          <w:sz w:val="20"/>
          <w:szCs w:val="20"/>
        </w:rPr>
        <w:t>On September 2, 2021, Texas Eastern completed a private placement of US$400 million 10-year senior notes, payable semi-annually maturing on September 2, 2031.</w:t>
      </w:r>
    </w:p>
    <w:p w:rsidR="00000000" w:rsidRDefault="00EE1167">
      <w:pPr>
        <w:divId w:val="434984991"/>
        <w:rPr>
          <w:rFonts w:eastAsia="Times New Roman"/>
        </w:rPr>
      </w:pPr>
    </w:p>
    <w:p w:rsidR="00000000" w:rsidRDefault="00EE1167">
      <w:pPr>
        <w:divId w:val="832069179"/>
        <w:rPr>
          <w:rFonts w:eastAsia="Times New Roman"/>
        </w:rPr>
      </w:pPr>
      <w:r>
        <w:rPr>
          <w:rFonts w:ascii="Arial" w:eastAsia="Times New Roman" w:hAnsi="Arial" w:cs="Arial"/>
          <w:color w:val="000000"/>
          <w:sz w:val="20"/>
          <w:szCs w:val="20"/>
        </w:rPr>
        <w:t>On September 15, 2021, Enbridge Gas closed</w:t>
      </w:r>
      <w:r>
        <w:rPr>
          <w:rFonts w:ascii="Arial" w:eastAsia="Times New Roman" w:hAnsi="Arial" w:cs="Arial"/>
          <w:color w:val="000000"/>
          <w:sz w:val="20"/>
          <w:szCs w:val="20"/>
        </w:rPr>
        <w:t xml:space="preserve"> a $900 million dual-tranche MTN offering in the Canadian debt capital markets, consisting of a $475 million 10-year tranche and a $425 million 30-year tranche, payable semi-annually, due September 15, 2031 and 2051, respectively.</w:t>
      </w:r>
    </w:p>
    <w:p w:rsidR="00000000" w:rsidRDefault="00EE1167">
      <w:pPr>
        <w:divId w:val="305862766"/>
        <w:rPr>
          <w:rFonts w:eastAsia="Times New Roman"/>
        </w:rPr>
      </w:pPr>
    </w:p>
    <w:p w:rsidR="00000000" w:rsidRDefault="00EE1167">
      <w:pPr>
        <w:divId w:val="1357121057"/>
        <w:rPr>
          <w:rFonts w:eastAsia="Times New Roman"/>
        </w:rPr>
      </w:pPr>
      <w:r>
        <w:rPr>
          <w:rFonts w:ascii="Arial" w:eastAsia="Times New Roman" w:hAnsi="Arial" w:cs="Arial"/>
          <w:color w:val="000000"/>
          <w:sz w:val="20"/>
          <w:szCs w:val="20"/>
        </w:rPr>
        <w:t xml:space="preserve">On September 21, 2021, </w:t>
      </w:r>
      <w:r>
        <w:rPr>
          <w:rFonts w:ascii="Arial" w:eastAsia="Times New Roman" w:hAnsi="Arial" w:cs="Arial"/>
          <w:color w:val="000000"/>
          <w:sz w:val="20"/>
          <w:szCs w:val="20"/>
        </w:rPr>
        <w:t>we closed a dual-tranche debt offering consisting of an inaugural $1.1 billion Canadian 12-year Sustainability-Linked MTN issuance and a $400 million 30-year MTN issuance. The Sustainability-Linked MTN issuance follows the Sustainability-Linked Bond Framew</w:t>
      </w:r>
      <w:r>
        <w:rPr>
          <w:rFonts w:ascii="Arial" w:eastAsia="Times New Roman" w:hAnsi="Arial" w:cs="Arial"/>
          <w:color w:val="000000"/>
          <w:sz w:val="20"/>
          <w:szCs w:val="20"/>
        </w:rPr>
        <w:t>ork by incorporating greenhouse gas emissions intensity reduction, workforce diversity and representation of women on the Board of Directors SPTs into the financing terms. If the SPTs are not met, the interest rate on the Sustainability-Linked senior notes</w:t>
      </w:r>
      <w:r>
        <w:rPr>
          <w:rFonts w:ascii="Arial" w:eastAsia="Times New Roman" w:hAnsi="Arial" w:cs="Arial"/>
          <w:color w:val="000000"/>
          <w:sz w:val="20"/>
          <w:szCs w:val="20"/>
        </w:rPr>
        <w:t xml:space="preserve"> will increase, helping to further align our funding strategies with our environmental, social and governance ambitions. Proceeds of this offering have been used for repayment of short-term debt, capital expenditures and for general corporate purposes.</w:t>
      </w:r>
    </w:p>
    <w:p w:rsidR="00000000" w:rsidRDefault="00EE1167">
      <w:pPr>
        <w:divId w:val="580793442"/>
        <w:rPr>
          <w:rFonts w:eastAsia="Times New Roman"/>
        </w:rPr>
      </w:pPr>
    </w:p>
    <w:p w:rsidR="00000000" w:rsidRDefault="00EE1167">
      <w:pPr>
        <w:divId w:val="527714782"/>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rPr>
        <w:t>n October 4, 2021, we closed a three tranche offering of aggregate US$1.5 billion senior notes consisting of US$500 million 2-year notes, US$500 million 5-year notes, and a US$500 million re-opening of the 2051 notes issued in June 2021. Each tranche is pa</w:t>
      </w:r>
      <w:r>
        <w:rPr>
          <w:rFonts w:ascii="Arial" w:eastAsia="Times New Roman" w:hAnsi="Arial" w:cs="Arial"/>
          <w:color w:val="000000"/>
          <w:sz w:val="20"/>
          <w:szCs w:val="20"/>
        </w:rPr>
        <w:t xml:space="preserve">yable semi-annually in arrears and matures on October 4, 2023, October 4, 2026, and August 1, 2051, respectively. </w:t>
      </w:r>
    </w:p>
    <w:p w:rsidR="00000000" w:rsidRDefault="00EE1167">
      <w:pPr>
        <w:divId w:val="1464352896"/>
        <w:rPr>
          <w:rFonts w:eastAsia="Times New Roman"/>
        </w:rPr>
      </w:pPr>
    </w:p>
    <w:p w:rsidR="00000000" w:rsidRDefault="00EE1167">
      <w:pPr>
        <w:jc w:val="center"/>
        <w:divId w:val="88964011"/>
        <w:rPr>
          <w:rFonts w:eastAsia="Times New Roman"/>
        </w:rPr>
      </w:pPr>
      <w:r>
        <w:rPr>
          <w:rFonts w:ascii="Arial" w:eastAsia="Times New Roman" w:hAnsi="Arial" w:cs="Arial"/>
          <w:color w:val="000000"/>
          <w:sz w:val="20"/>
          <w:szCs w:val="20"/>
        </w:rPr>
        <w:t>40</w:t>
      </w:r>
    </w:p>
    <w:p w:rsidR="00000000" w:rsidRDefault="00EE1167">
      <w:pPr>
        <w:rPr>
          <w:rFonts w:eastAsia="Times New Roman"/>
        </w:rPr>
      </w:pPr>
      <w:r>
        <w:rPr>
          <w:rFonts w:eastAsia="Times New Roman"/>
        </w:rPr>
        <w:pict>
          <v:rect id="_x0000_i1065" style="width:0;height:1.5pt" o:hralign="center" o:hrstd="t" o:hr="t" fillcolor="#a0a0a0" stroked="f"/>
        </w:pict>
      </w:r>
    </w:p>
    <w:p w:rsidR="00000000" w:rsidRDefault="00EE1167">
      <w:pPr>
        <w:jc w:val="center"/>
        <w:divId w:val="1008631028"/>
        <w:rPr>
          <w:rFonts w:eastAsia="Times New Roman"/>
        </w:rPr>
      </w:pPr>
    </w:p>
    <w:p w:rsidR="00000000" w:rsidRDefault="00EE1167">
      <w:pPr>
        <w:divId w:val="1264730590"/>
        <w:rPr>
          <w:rFonts w:eastAsia="Times New Roman"/>
        </w:rPr>
      </w:pPr>
      <w:r>
        <w:rPr>
          <w:rFonts w:ascii="Arial" w:eastAsia="Times New Roman" w:hAnsi="Arial" w:cs="Arial"/>
          <w:color w:val="000000"/>
          <w:sz w:val="20"/>
          <w:szCs w:val="20"/>
        </w:rPr>
        <w:t>Through these financing activities, we have now completed our 2021 financing plan requirements. In</w:t>
      </w:r>
      <w:r>
        <w:rPr>
          <w:rFonts w:ascii="Arial" w:eastAsia="Times New Roman" w:hAnsi="Arial" w:cs="Arial"/>
          <w:color w:val="000000"/>
          <w:sz w:val="20"/>
          <w:szCs w:val="20"/>
        </w:rPr>
        <w:t xml:space="preserve"> combination with the financing activities executed in 2020, the 2021 financing activity is expected to provide significant liquidity and to enable us to fund our current portfolio of capital projects without requiring access to the capital markets for the</w:t>
      </w:r>
      <w:r>
        <w:rPr>
          <w:rFonts w:ascii="Arial" w:eastAsia="Times New Roman" w:hAnsi="Arial" w:cs="Arial"/>
          <w:color w:val="000000"/>
          <w:sz w:val="20"/>
          <w:szCs w:val="20"/>
        </w:rPr>
        <w:t xml:space="preserve"> next 12 months if market access is restricted or pricing is unattractive. Refer to </w:t>
      </w:r>
      <w:r>
        <w:rPr>
          <w:rFonts w:ascii="Arial" w:eastAsia="Times New Roman" w:hAnsi="Arial" w:cs="Arial"/>
          <w:i/>
          <w:iCs/>
          <w:color w:val="000000"/>
          <w:sz w:val="20"/>
          <w:szCs w:val="20"/>
        </w:rPr>
        <w:t>Liquidity and Capital Resources</w:t>
      </w:r>
      <w:r>
        <w:rPr>
          <w:rFonts w:ascii="Arial" w:eastAsia="Times New Roman" w:hAnsi="Arial" w:cs="Arial"/>
          <w:color w:val="000000"/>
          <w:sz w:val="20"/>
          <w:szCs w:val="20"/>
        </w:rPr>
        <w:t xml:space="preserve">. </w:t>
      </w:r>
    </w:p>
    <w:p w:rsidR="00000000" w:rsidRDefault="00EE1167">
      <w:pPr>
        <w:divId w:val="1829246884"/>
        <w:rPr>
          <w:rFonts w:eastAsia="Times New Roman"/>
        </w:rPr>
      </w:pPr>
    </w:p>
    <w:p w:rsidR="00000000" w:rsidRDefault="00EE1167">
      <w:pPr>
        <w:divId w:val="10184248"/>
        <w:rPr>
          <w:rFonts w:eastAsia="Times New Roman"/>
        </w:rPr>
      </w:pPr>
      <w:r>
        <w:rPr>
          <w:rFonts w:ascii="Arial" w:eastAsia="Times New Roman" w:hAnsi="Arial" w:cs="Arial"/>
          <w:b/>
          <w:bCs/>
          <w:color w:val="000000"/>
          <w:sz w:val="20"/>
          <w:szCs w:val="20"/>
        </w:rPr>
        <w:t>Credit Rating Action</w:t>
      </w:r>
    </w:p>
    <w:p w:rsidR="00000000" w:rsidRDefault="00EE1167">
      <w:pPr>
        <w:divId w:val="162598155"/>
        <w:rPr>
          <w:rFonts w:eastAsia="Times New Roman"/>
        </w:rPr>
      </w:pPr>
      <w:r>
        <w:rPr>
          <w:rFonts w:ascii="Arial" w:eastAsia="Times New Roman" w:hAnsi="Arial" w:cs="Arial"/>
          <w:color w:val="000000"/>
          <w:sz w:val="20"/>
          <w:szCs w:val="20"/>
        </w:rPr>
        <w:t>On June 1, 2021, Moody's Investors Service (Moody's) upgraded the credit ratings of Enbridge Inc. including our senior unsecured and issuer ratings to Baa1 from Baa2. Moody's also upgraded the credit ratings of our subsidiaries: Enbridge Energy Partners, L</w:t>
      </w:r>
      <w:r>
        <w:rPr>
          <w:rFonts w:ascii="Arial" w:eastAsia="Times New Roman" w:hAnsi="Arial" w:cs="Arial"/>
          <w:color w:val="000000"/>
          <w:sz w:val="20"/>
          <w:szCs w:val="20"/>
        </w:rPr>
        <w:t>.P. (EEP), Enbridge Energy Limited Partnership (EELP), Spectra Energy Partners, LP (SEP) and Texas Eastern. The outlooks of all five entities are stable.</w:t>
      </w:r>
    </w:p>
    <w:p w:rsidR="00000000" w:rsidRDefault="00EE1167">
      <w:pPr>
        <w:divId w:val="1989935458"/>
        <w:rPr>
          <w:rFonts w:eastAsia="Times New Roman"/>
        </w:rPr>
      </w:pPr>
    </w:p>
    <w:p w:rsidR="00000000" w:rsidRDefault="00EE1167">
      <w:pPr>
        <w:divId w:val="394620980"/>
        <w:rPr>
          <w:rFonts w:eastAsia="Times New Roman"/>
        </w:rPr>
      </w:pPr>
      <w:r>
        <w:rPr>
          <w:rFonts w:ascii="Arial" w:eastAsia="Times New Roman" w:hAnsi="Arial" w:cs="Arial"/>
          <w:b/>
          <w:bCs/>
          <w:color w:val="000000"/>
          <w:sz w:val="20"/>
          <w:szCs w:val="20"/>
        </w:rPr>
        <w:t xml:space="preserve">ASSET MONETIZATION </w:t>
      </w:r>
    </w:p>
    <w:p w:rsidR="00000000" w:rsidRDefault="00EE1167">
      <w:pPr>
        <w:divId w:val="330111442"/>
        <w:rPr>
          <w:rFonts w:eastAsia="Times New Roman"/>
        </w:rPr>
      </w:pPr>
    </w:p>
    <w:p w:rsidR="00000000" w:rsidRDefault="00EE1167">
      <w:pPr>
        <w:divId w:val="240454779"/>
        <w:rPr>
          <w:rFonts w:eastAsia="Times New Roman"/>
        </w:rPr>
      </w:pPr>
      <w:r>
        <w:rPr>
          <w:rFonts w:ascii="Arial" w:eastAsia="Times New Roman" w:hAnsi="Arial" w:cs="Arial"/>
          <w:b/>
          <w:bCs/>
          <w:color w:val="000000"/>
          <w:sz w:val="20"/>
          <w:szCs w:val="20"/>
        </w:rPr>
        <w:t>Éolien Maritime France SAS</w:t>
      </w:r>
    </w:p>
    <w:p w:rsidR="00000000" w:rsidRDefault="00EE1167">
      <w:pPr>
        <w:divId w:val="1571766955"/>
        <w:rPr>
          <w:rFonts w:eastAsia="Times New Roman"/>
        </w:rPr>
      </w:pPr>
      <w:r>
        <w:rPr>
          <w:rFonts w:ascii="Arial" w:eastAsia="Times New Roman" w:hAnsi="Arial" w:cs="Arial"/>
          <w:color w:val="000000"/>
          <w:sz w:val="20"/>
          <w:szCs w:val="20"/>
        </w:rPr>
        <w:t>On March 18, 2021, we sold 49% of an entity that ho</w:t>
      </w:r>
      <w:r>
        <w:rPr>
          <w:rFonts w:ascii="Arial" w:eastAsia="Times New Roman" w:hAnsi="Arial" w:cs="Arial"/>
          <w:color w:val="000000"/>
          <w:sz w:val="20"/>
          <w:szCs w:val="20"/>
        </w:rPr>
        <w:t>lds our 50% interest in Éolien Maritime France SAS (EMF) to the Canada Pension Plan Investment Board (CPP Investments). CPP Investments will fund their 49% share of all ongoing future development capital. Through our investment in EMF, we own equity intere</w:t>
      </w:r>
      <w:r>
        <w:rPr>
          <w:rFonts w:ascii="Arial" w:eastAsia="Times New Roman" w:hAnsi="Arial" w:cs="Arial"/>
          <w:color w:val="000000"/>
          <w:sz w:val="20"/>
          <w:szCs w:val="20"/>
        </w:rPr>
        <w:t>sts in three French offshore wind projects, including Saint-Nazaire (25.5%), Fécamp (17.9%) and Calvados (21.7%). The Calvados Offshore Wind Project reached a positive final investment decision in February 2021 and all three projects are now considered com</w:t>
      </w:r>
      <w:r>
        <w:rPr>
          <w:rFonts w:ascii="Arial" w:eastAsia="Times New Roman" w:hAnsi="Arial" w:cs="Arial"/>
          <w:color w:val="000000"/>
          <w:sz w:val="20"/>
          <w:szCs w:val="20"/>
        </w:rPr>
        <w:t xml:space="preserve">mercially secured and are under construction. </w:t>
      </w:r>
    </w:p>
    <w:p w:rsidR="00000000" w:rsidRDefault="00EE1167">
      <w:pPr>
        <w:divId w:val="793986313"/>
        <w:rPr>
          <w:rFonts w:eastAsia="Times New Roman"/>
        </w:rPr>
      </w:pPr>
    </w:p>
    <w:p w:rsidR="00000000" w:rsidRDefault="00EE1167">
      <w:pPr>
        <w:divId w:val="125128953"/>
        <w:rPr>
          <w:rFonts w:eastAsia="Times New Roman"/>
        </w:rPr>
      </w:pPr>
      <w:r>
        <w:rPr>
          <w:rFonts w:ascii="Arial" w:eastAsia="Times New Roman" w:hAnsi="Arial" w:cs="Arial"/>
          <w:b/>
          <w:bCs/>
          <w:color w:val="000000"/>
          <w:sz w:val="20"/>
          <w:szCs w:val="20"/>
        </w:rPr>
        <w:t>Noverco Inc.</w:t>
      </w:r>
    </w:p>
    <w:p w:rsidR="00000000" w:rsidRDefault="00EE1167">
      <w:pPr>
        <w:divId w:val="2117089473"/>
        <w:rPr>
          <w:rFonts w:eastAsia="Times New Roman"/>
        </w:rPr>
      </w:pPr>
      <w:r>
        <w:rPr>
          <w:rFonts w:ascii="Arial" w:eastAsia="Times New Roman" w:hAnsi="Arial" w:cs="Arial"/>
          <w:color w:val="000000"/>
          <w:sz w:val="20"/>
          <w:szCs w:val="20"/>
        </w:rPr>
        <w:t>On June 7, 2021, we entered into a definitive agreement to sell our 38.9% non-operating minority ownership interest in Noverco Inc. (Noverco) to Trencap L.P. for $1.1 billion in cash, subject to</w:t>
      </w:r>
      <w:r>
        <w:rPr>
          <w:rFonts w:ascii="Arial" w:eastAsia="Times New Roman" w:hAnsi="Arial" w:cs="Arial"/>
          <w:color w:val="000000"/>
          <w:sz w:val="20"/>
          <w:szCs w:val="20"/>
        </w:rPr>
        <w:t xml:space="preserve"> purchase price adjustments. Closing of the transaction is expected to occur by late 2021 or early 2022 and is subject to customary closing conditions.</w:t>
      </w:r>
    </w:p>
    <w:p w:rsidR="00000000" w:rsidRDefault="00EE1167">
      <w:pPr>
        <w:divId w:val="1425032488"/>
        <w:rPr>
          <w:rFonts w:eastAsia="Times New Roman"/>
        </w:rPr>
      </w:pPr>
    </w:p>
    <w:p w:rsidR="00000000" w:rsidRDefault="00EE1167">
      <w:pPr>
        <w:jc w:val="center"/>
        <w:divId w:val="494146942"/>
        <w:rPr>
          <w:rFonts w:eastAsia="Times New Roman"/>
        </w:rPr>
      </w:pPr>
      <w:r>
        <w:rPr>
          <w:rFonts w:ascii="Arial" w:eastAsia="Times New Roman" w:hAnsi="Arial" w:cs="Arial"/>
          <w:color w:val="000000"/>
          <w:sz w:val="20"/>
          <w:szCs w:val="20"/>
        </w:rPr>
        <w:t>41</w:t>
      </w:r>
    </w:p>
    <w:p w:rsidR="00000000" w:rsidRDefault="00EE1167">
      <w:pPr>
        <w:rPr>
          <w:rFonts w:eastAsia="Times New Roman"/>
        </w:rPr>
      </w:pPr>
      <w:r>
        <w:rPr>
          <w:rFonts w:eastAsia="Times New Roman"/>
        </w:rPr>
        <w:pict>
          <v:rect id="_x0000_i1066" style="width:0;height:1.5pt" o:hralign="center" o:hrstd="t" o:hr="t" fillcolor="#a0a0a0" stroked="f"/>
        </w:pict>
      </w:r>
    </w:p>
    <w:p w:rsidR="00000000" w:rsidRDefault="00EE1167">
      <w:pPr>
        <w:jc w:val="center"/>
        <w:divId w:val="618998177"/>
        <w:rPr>
          <w:rFonts w:eastAsia="Times New Roman"/>
        </w:rPr>
      </w:pPr>
    </w:p>
    <w:p w:rsidR="00000000" w:rsidRDefault="00EE1167">
      <w:pPr>
        <w:divId w:val="130294838"/>
        <w:rPr>
          <w:rFonts w:eastAsia="Times New Roman"/>
        </w:rPr>
      </w:pPr>
      <w:r>
        <w:rPr>
          <w:rFonts w:ascii="Arial" w:eastAsia="Times New Roman" w:hAnsi="Arial" w:cs="Arial"/>
          <w:b/>
          <w:bCs/>
          <w:color w:val="000000"/>
          <w:sz w:val="26"/>
          <w:szCs w:val="26"/>
        </w:rPr>
        <w:t>RESULTS OF OPERATIONS</w:t>
      </w:r>
    </w:p>
    <w:p w:rsidR="00000000" w:rsidRDefault="00EE1167">
      <w:pPr>
        <w:divId w:val="1254700434"/>
        <w:rPr>
          <w:rFonts w:eastAsia="Times New Roman"/>
        </w:rPr>
      </w:pPr>
      <w:r>
        <w:rPr>
          <w:rFonts w:ascii="Arial" w:eastAsia="Times New Roman" w:hAnsi="Arial" w:cs="Arial"/>
          <w:color w:val="000000"/>
          <w:sz w:val="4"/>
          <w:szCs w:val="4"/>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8"/>
        <w:gridCol w:w="65"/>
        <w:gridCol w:w="808"/>
        <w:gridCol w:w="37"/>
        <w:gridCol w:w="65"/>
        <w:gridCol w:w="808"/>
        <w:gridCol w:w="36"/>
        <w:gridCol w:w="36"/>
        <w:gridCol w:w="36"/>
        <w:gridCol w:w="36"/>
        <w:gridCol w:w="63"/>
        <w:gridCol w:w="806"/>
        <w:gridCol w:w="36"/>
        <w:gridCol w:w="66"/>
        <w:gridCol w:w="810"/>
        <w:gridCol w:w="36"/>
      </w:tblGrid>
      <w:tr w:rsidR="00000000">
        <w:trPr>
          <w:divId w:val="1193181036"/>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19318103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193181036"/>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ind w:hanging="180"/>
              <w:divId w:val="794249294"/>
              <w:rPr>
                <w:rFonts w:eastAsia="Times New Roman"/>
              </w:rPr>
            </w:pPr>
            <w:r>
              <w:rPr>
                <w:rFonts w:ascii="Arial" w:eastAsia="Times New Roman" w:hAnsi="Arial" w:cs="Arial"/>
                <w:b/>
                <w:bCs/>
                <w:color w:val="000000"/>
                <w:sz w:val="20"/>
                <w:szCs w:val="20"/>
              </w:rPr>
              <w:t>Segment earnings/(loss) before interest, income taxes and 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05201567"/>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1,673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2,090 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5,756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5,280 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120998023"/>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884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334 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2,725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230 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209611467"/>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282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298 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1,374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1,285 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468551878"/>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93 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362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376 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77749450"/>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(204)</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(34)</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(379)</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(12)</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313952201"/>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(121)</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207 </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(498)</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ind w:hanging="180"/>
              <w:divId w:val="1009256649"/>
              <w:rPr>
                <w:rFonts w:eastAsia="Times New Roman"/>
              </w:rPr>
            </w:pPr>
            <w:r>
              <w:rPr>
                <w:rFonts w:ascii="Arial" w:eastAsia="Times New Roman" w:hAnsi="Arial" w:cs="Arial"/>
                <w:b/>
                <w:bCs/>
                <w:color w:val="000000"/>
                <w:sz w:val="20"/>
                <w:szCs w:val="20"/>
              </w:rPr>
              <w:t>Earnings before interest, income taxes and depreciation and amortization</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2,605</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2,988 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10,029</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6,661 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237861982"/>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(944)</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(935)</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(2,805)</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(2,766)</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444037326"/>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(648)</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(718)</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(1,923)</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(2,105)</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(199)</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(231)</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(952)</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(273)</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(34)</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(93)</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(25)</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Mar>
              <w:top w:w="30" w:type="dxa"/>
              <w:left w:w="20" w:type="dxa"/>
              <w:bottom w:w="30" w:type="dxa"/>
              <w:right w:w="20" w:type="dxa"/>
            </w:tcMar>
            <w:hideMark/>
          </w:tcPr>
          <w:p w:rsidR="00000000" w:rsidRDefault="00EE1167">
            <w:pPr>
              <w:spacing w:after="100"/>
              <w:divId w:val="1681351101"/>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(98)</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(94)</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(280)</w:t>
            </w:r>
          </w:p>
        </w:tc>
        <w:tc>
          <w:tcPr>
            <w:tcW w:w="0" w:type="auto"/>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(284)</w:t>
            </w:r>
          </w:p>
        </w:tc>
        <w:tc>
          <w:tcPr>
            <w:tcW w:w="0" w:type="auto"/>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682</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990 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3,976</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1,208 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p>
        </w:tc>
      </w:tr>
      <w:tr w:rsidR="00000000">
        <w:trPr>
          <w:divId w:val="1193181036"/>
        </w:trPr>
        <w:tc>
          <w:tcPr>
            <w:tcW w:w="0" w:type="auto"/>
            <w:gridSpan w:val="3"/>
            <w:tcBorders>
              <w:top w:val="single" w:sz="4" w:space="0" w:color="000000"/>
            </w:tcBorders>
            <w:tcMar>
              <w:top w:w="30" w:type="dxa"/>
              <w:left w:w="38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0.49 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top w:val="single" w:sz="4"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1.97</w:t>
            </w:r>
            <w:r>
              <w:rPr>
                <w:rFonts w:ascii="Arial" w:eastAsia="Times New Roman" w:hAnsi="Arial" w:cs="Arial"/>
                <w:color w:val="000000"/>
                <w:sz w:val="20"/>
                <w:szCs w:val="20"/>
              </w:rPr>
              <w:t> </w:t>
            </w:r>
          </w:p>
        </w:tc>
        <w:tc>
          <w:tcPr>
            <w:tcW w:w="0" w:type="auto"/>
            <w:tcBorders>
              <w:top w:val="single" w:sz="4"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0.60 </w:t>
            </w:r>
          </w:p>
        </w:tc>
        <w:tc>
          <w:tcPr>
            <w:tcW w:w="0" w:type="auto"/>
            <w:tcBorders>
              <w:top w:val="single" w:sz="4"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193181036"/>
        </w:trPr>
        <w:tc>
          <w:tcPr>
            <w:tcW w:w="0" w:type="auto"/>
            <w:gridSpan w:val="3"/>
            <w:tcBorders>
              <w:bottom w:val="single" w:sz="18" w:space="0" w:color="000000"/>
            </w:tcBorders>
            <w:tcMar>
              <w:top w:w="30" w:type="dxa"/>
              <w:left w:w="38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0.34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0.49 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1.96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0.60 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2041781249"/>
        <w:rPr>
          <w:rFonts w:eastAsia="Times New Roman"/>
        </w:rPr>
      </w:pPr>
    </w:p>
    <w:p w:rsidR="00000000" w:rsidRDefault="00EE1167">
      <w:pPr>
        <w:divId w:val="1812558661"/>
        <w:rPr>
          <w:rFonts w:eastAsia="Times New Roman"/>
        </w:rPr>
      </w:pPr>
      <w:r>
        <w:rPr>
          <w:rFonts w:ascii="Arial" w:eastAsia="Times New Roman" w:hAnsi="Arial" w:cs="Arial"/>
          <w:b/>
          <w:bCs/>
          <w:color w:val="000000"/>
          <w:sz w:val="20"/>
          <w:szCs w:val="20"/>
        </w:rPr>
        <w:t>EARNINGS ATTRIBUTABLE TO COMMON SHAREHOLDERS</w:t>
      </w:r>
    </w:p>
    <w:p w:rsidR="00000000" w:rsidRDefault="00EE1167">
      <w:pPr>
        <w:divId w:val="1200899052"/>
        <w:rPr>
          <w:rFonts w:eastAsia="Times New Roman"/>
        </w:rPr>
      </w:pPr>
    </w:p>
    <w:p w:rsidR="00000000" w:rsidRDefault="00EE1167">
      <w:pPr>
        <w:divId w:val="1218973394"/>
        <w:rPr>
          <w:rFonts w:eastAsia="Times New Roman"/>
        </w:rPr>
      </w:pPr>
      <w:r>
        <w:rPr>
          <w:rFonts w:ascii="Arial" w:eastAsia="Times New Roman" w:hAnsi="Arial" w:cs="Arial"/>
          <w:b/>
          <w:bCs/>
          <w:color w:val="000000"/>
          <w:sz w:val="20"/>
          <w:szCs w:val="20"/>
        </w:rPr>
        <w:t>Three months ended September 30, 2021, compared with the three months ended September 30, 2020</w:t>
      </w:r>
    </w:p>
    <w:p w:rsidR="00000000" w:rsidRDefault="00EE1167">
      <w:pPr>
        <w:divId w:val="240793135"/>
        <w:rPr>
          <w:rFonts w:eastAsia="Times New Roman"/>
        </w:rPr>
      </w:pPr>
    </w:p>
    <w:p w:rsidR="00000000" w:rsidRDefault="00EE1167">
      <w:pPr>
        <w:divId w:val="1149252869"/>
        <w:rPr>
          <w:rFonts w:eastAsia="Times New Roman"/>
        </w:rPr>
      </w:pPr>
      <w:r>
        <w:rPr>
          <w:rFonts w:ascii="Arial" w:eastAsia="Times New Roman" w:hAnsi="Arial" w:cs="Arial"/>
          <w:color w:val="000000"/>
          <w:sz w:val="20"/>
          <w:szCs w:val="20"/>
        </w:rPr>
        <w:t>Earnings attributable to common shareholders were negatively impacted by $531 million due to certain unusual, i</w:t>
      </w:r>
      <w:r>
        <w:rPr>
          <w:rFonts w:ascii="Arial" w:eastAsia="Times New Roman" w:hAnsi="Arial" w:cs="Arial"/>
          <w:color w:val="000000"/>
          <w:sz w:val="20"/>
          <w:szCs w:val="20"/>
        </w:rPr>
        <w:t>nfrequent or other non-operating factors, primarily explained by the following:</w:t>
      </w:r>
    </w:p>
    <w:p w:rsidR="00000000" w:rsidRDefault="00EE1167">
      <w:pPr>
        <w:ind w:hanging="360"/>
        <w:divId w:val="497581350"/>
        <w:rPr>
          <w:rFonts w:eastAsia="Times New Roman"/>
        </w:rPr>
      </w:pPr>
      <w:r>
        <w:rPr>
          <w:rFonts w:ascii="Arial" w:eastAsia="Times New Roman" w:hAnsi="Arial" w:cs="Arial"/>
          <w:color w:val="000000"/>
          <w:sz w:val="20"/>
          <w:szCs w:val="20"/>
        </w:rPr>
        <w:t>•a non-cash, unrealized derivative fair value loss of $436 million ($332 million after-tax) in 2021, compared with a gain of $569 million ($427 million after-tax) in 2020, refl</w:t>
      </w:r>
      <w:r>
        <w:rPr>
          <w:rFonts w:ascii="Arial" w:eastAsia="Times New Roman" w:hAnsi="Arial" w:cs="Arial"/>
          <w:color w:val="000000"/>
          <w:sz w:val="20"/>
          <w:szCs w:val="20"/>
        </w:rPr>
        <w:t>ecting changes in the mark-to-market value of derivative financial instruments used to manage foreign exchange risks;</w:t>
      </w:r>
    </w:p>
    <w:p w:rsidR="00000000" w:rsidRDefault="00EE1167">
      <w:pPr>
        <w:ind w:hanging="360"/>
        <w:divId w:val="1224875665"/>
        <w:rPr>
          <w:rFonts w:eastAsia="Times New Roman"/>
        </w:rPr>
      </w:pPr>
      <w:r>
        <w:rPr>
          <w:rFonts w:ascii="Arial" w:eastAsia="Times New Roman" w:hAnsi="Arial" w:cs="Arial"/>
          <w:color w:val="000000"/>
          <w:sz w:val="20"/>
          <w:szCs w:val="20"/>
        </w:rPr>
        <w:t xml:space="preserve">•a non-cash, unrealized loss of $88 million ($67 million after-tax) in 2021, compared with an unrealized gain of $73 million ($55 million </w:t>
      </w:r>
      <w:r>
        <w:rPr>
          <w:rFonts w:ascii="Arial" w:eastAsia="Times New Roman" w:hAnsi="Arial" w:cs="Arial"/>
          <w:color w:val="000000"/>
          <w:sz w:val="20"/>
          <w:szCs w:val="20"/>
        </w:rPr>
        <w:t>after-tax) in 2020, reflecting the revaluation of derivatives used to manage the profitability of transportation and storage transactions, as well as manage the exposure to movements in commodity prices; and</w:t>
      </w:r>
    </w:p>
    <w:p w:rsidR="00000000" w:rsidRDefault="00EE1167">
      <w:pPr>
        <w:ind w:hanging="360"/>
        <w:divId w:val="965549651"/>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($83 million</w:t>
      </w:r>
      <w:r>
        <w:rPr>
          <w:rFonts w:ascii="Arial" w:eastAsia="Times New Roman" w:hAnsi="Arial" w:cs="Arial"/>
          <w:color w:val="000000"/>
          <w:sz w:val="20"/>
          <w:szCs w:val="20"/>
        </w:rPr>
        <w:t xml:space="preserve"> after-tax) in 2021 to our investment in the PennEast pipeline project after a decision by project partners to cease development, compared to a combined impairment loss of $615 million ($452 million after-tax) in 2020 to our investments in Southeast Supply</w:t>
      </w:r>
      <w:r>
        <w:rPr>
          <w:rFonts w:ascii="Arial" w:eastAsia="Times New Roman" w:hAnsi="Arial" w:cs="Arial"/>
          <w:color w:val="000000"/>
          <w:sz w:val="20"/>
          <w:szCs w:val="20"/>
        </w:rPr>
        <w:t xml:space="preserve"> Header, L.L.C. (SESH) and Steckman Ridge, LP (Steckman), which partially offset the factors above.</w:t>
      </w:r>
    </w:p>
    <w:p w:rsidR="00000000" w:rsidRDefault="00EE1167">
      <w:pPr>
        <w:divId w:val="1635598383"/>
        <w:rPr>
          <w:rFonts w:eastAsia="Times New Roman"/>
        </w:rPr>
      </w:pPr>
    </w:p>
    <w:p w:rsidR="00000000" w:rsidRDefault="00EE1167">
      <w:pPr>
        <w:jc w:val="center"/>
        <w:divId w:val="1491285439"/>
        <w:rPr>
          <w:rFonts w:eastAsia="Times New Roman"/>
        </w:rPr>
      </w:pPr>
      <w:r>
        <w:rPr>
          <w:rFonts w:ascii="Arial" w:eastAsia="Times New Roman" w:hAnsi="Arial" w:cs="Arial"/>
          <w:color w:val="000000"/>
          <w:sz w:val="20"/>
          <w:szCs w:val="20"/>
        </w:rPr>
        <w:t>42</w:t>
      </w:r>
    </w:p>
    <w:p w:rsidR="00000000" w:rsidRDefault="00EE1167">
      <w:pPr>
        <w:rPr>
          <w:rFonts w:eastAsia="Times New Roman"/>
        </w:rPr>
      </w:pPr>
      <w:r>
        <w:rPr>
          <w:rFonts w:eastAsia="Times New Roman"/>
        </w:rPr>
        <w:pict>
          <v:rect id="_x0000_i1067" style="width:0;height:1.5pt" o:hralign="center" o:hrstd="t" o:hr="t" fillcolor="#a0a0a0" stroked="f"/>
        </w:pict>
      </w:r>
    </w:p>
    <w:p w:rsidR="00000000" w:rsidRDefault="00EE1167">
      <w:pPr>
        <w:jc w:val="center"/>
        <w:divId w:val="788427369"/>
        <w:rPr>
          <w:rFonts w:eastAsia="Times New Roman"/>
        </w:rPr>
      </w:pPr>
    </w:p>
    <w:p w:rsidR="00000000" w:rsidRDefault="00EE1167">
      <w:pPr>
        <w:divId w:val="1364944109"/>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o</w:t>
      </w:r>
      <w:r>
        <w:rPr>
          <w:rFonts w:ascii="Arial" w:eastAsia="Times New Roman" w:hAnsi="Arial" w:cs="Arial"/>
          <w:color w:val="000000"/>
          <w:sz w:val="20"/>
          <w:szCs w:val="20"/>
        </w:rPr>
        <w:t>ur comprehensive long-term economic hedging program to mitigate foreign exchange and commodity price risks. This program creates volatility in reported short-term earnings through the recognition of unrealized non-cash gains and losses on financial derivat</w:t>
      </w:r>
      <w:r>
        <w:rPr>
          <w:rFonts w:ascii="Arial" w:eastAsia="Times New Roman" w:hAnsi="Arial" w:cs="Arial"/>
          <w:color w:val="000000"/>
          <w:sz w:val="20"/>
          <w:szCs w:val="20"/>
        </w:rPr>
        <w:t>ive instruments used to hedge these risks. Over the long-term, we believe our hedging program supports the reliable cash flows and dividend growth upon which our investor value proposition is based.</w:t>
      </w:r>
    </w:p>
    <w:p w:rsidR="00000000" w:rsidRDefault="00EE1167">
      <w:pPr>
        <w:divId w:val="1815561153"/>
        <w:rPr>
          <w:rFonts w:eastAsia="Times New Roman"/>
        </w:rPr>
      </w:pPr>
    </w:p>
    <w:p w:rsidR="00000000" w:rsidRDefault="00EE1167">
      <w:pPr>
        <w:divId w:val="1919172025"/>
        <w:rPr>
          <w:rFonts w:eastAsia="Times New Roman"/>
        </w:rPr>
      </w:pPr>
      <w:r>
        <w:rPr>
          <w:rFonts w:ascii="Arial" w:eastAsia="Times New Roman" w:hAnsi="Arial" w:cs="Arial"/>
          <w:color w:val="000000"/>
          <w:sz w:val="20"/>
          <w:szCs w:val="20"/>
        </w:rPr>
        <w:t xml:space="preserve">After taking into consideration the factors above, the </w:t>
      </w:r>
      <w:r>
        <w:rPr>
          <w:rFonts w:ascii="Arial" w:eastAsia="Times New Roman" w:hAnsi="Arial" w:cs="Arial"/>
          <w:color w:val="000000"/>
          <w:sz w:val="20"/>
          <w:szCs w:val="20"/>
        </w:rPr>
        <w:t>remaining $223 million increase in earnings attributable to common shareholders is primarily explained by the following significant business factors:</w:t>
      </w:r>
    </w:p>
    <w:p w:rsidR="00000000" w:rsidRDefault="00EE1167">
      <w:pPr>
        <w:ind w:hanging="360"/>
        <w:divId w:val="1904638399"/>
        <w:rPr>
          <w:rFonts w:eastAsia="Times New Roman"/>
        </w:rPr>
      </w:pPr>
      <w:r>
        <w:rPr>
          <w:rFonts w:ascii="Arial" w:eastAsia="Times New Roman" w:hAnsi="Arial" w:cs="Arial"/>
          <w:color w:val="000000"/>
          <w:sz w:val="20"/>
          <w:szCs w:val="20"/>
        </w:rPr>
        <w:t>•stronger contributions from our Liquids Pipeline segment this year as COVID-19 restrictions lift and dema</w:t>
      </w:r>
      <w:r>
        <w:rPr>
          <w:rFonts w:ascii="Arial" w:eastAsia="Times New Roman" w:hAnsi="Arial" w:cs="Arial"/>
          <w:color w:val="000000"/>
          <w:sz w:val="20"/>
          <w:szCs w:val="20"/>
        </w:rPr>
        <w:t xml:space="preserve">nd continues to recover; </w:t>
      </w:r>
    </w:p>
    <w:p w:rsidR="00000000" w:rsidRDefault="00EE1167">
      <w:pPr>
        <w:ind w:hanging="360"/>
        <w:divId w:val="961618769"/>
        <w:rPr>
          <w:rFonts w:eastAsia="Times New Roman"/>
        </w:rPr>
      </w:pPr>
      <w:r>
        <w:rPr>
          <w:rFonts w:ascii="Arial" w:eastAsia="Times New Roman" w:hAnsi="Arial" w:cs="Arial"/>
          <w:color w:val="000000"/>
          <w:sz w:val="20"/>
          <w:szCs w:val="20"/>
        </w:rPr>
        <w:t xml:space="preserve">•increased earnings from the Atlantic Bridge Phase III project in our Gas Transmission and Midstream segment which commenced service in January 2021; and </w:t>
      </w:r>
    </w:p>
    <w:p w:rsidR="00000000" w:rsidRDefault="00EE1167">
      <w:pPr>
        <w:ind w:hanging="360"/>
        <w:divId w:val="1596816655"/>
        <w:rPr>
          <w:rFonts w:eastAsia="Times New Roman"/>
        </w:rPr>
      </w:pPr>
      <w:r>
        <w:rPr>
          <w:rFonts w:ascii="Arial" w:eastAsia="Times New Roman" w:hAnsi="Arial" w:cs="Arial"/>
          <w:color w:val="000000"/>
          <w:sz w:val="20"/>
          <w:szCs w:val="20"/>
        </w:rPr>
        <w:t>•lower interest expense primarily due to lower rates.</w:t>
      </w:r>
    </w:p>
    <w:p w:rsidR="00000000" w:rsidRDefault="00EE1167">
      <w:pPr>
        <w:divId w:val="1760324664"/>
        <w:rPr>
          <w:rFonts w:eastAsia="Times New Roman"/>
        </w:rPr>
      </w:pPr>
    </w:p>
    <w:p w:rsidR="00000000" w:rsidRDefault="00EE1167">
      <w:pPr>
        <w:divId w:val="1317302045"/>
        <w:rPr>
          <w:rFonts w:eastAsia="Times New Roman"/>
        </w:rPr>
      </w:pPr>
      <w:r>
        <w:rPr>
          <w:rFonts w:ascii="Arial" w:eastAsia="Times New Roman" w:hAnsi="Arial" w:cs="Arial"/>
          <w:color w:val="000000"/>
          <w:sz w:val="20"/>
          <w:szCs w:val="20"/>
        </w:rPr>
        <w:t>The positive factor</w:t>
      </w:r>
      <w:r>
        <w:rPr>
          <w:rFonts w:ascii="Arial" w:eastAsia="Times New Roman" w:hAnsi="Arial" w:cs="Arial"/>
          <w:color w:val="000000"/>
          <w:sz w:val="20"/>
          <w:szCs w:val="20"/>
        </w:rPr>
        <w:t>s above were partially offset by the net unfavorable effect of translating US dollar EBITDA to Canadian dollars at a lower average exchange rate in 2021 compared to the same period in 2020.</w:t>
      </w:r>
    </w:p>
    <w:p w:rsidR="00000000" w:rsidRDefault="00EE1167">
      <w:pPr>
        <w:divId w:val="1220828378"/>
        <w:rPr>
          <w:rFonts w:eastAsia="Times New Roman"/>
        </w:rPr>
      </w:pPr>
    </w:p>
    <w:p w:rsidR="00000000" w:rsidRDefault="00EE1167">
      <w:pPr>
        <w:divId w:val="840853730"/>
        <w:rPr>
          <w:rFonts w:eastAsia="Times New Roman"/>
        </w:rPr>
      </w:pPr>
      <w:r>
        <w:rPr>
          <w:rFonts w:ascii="Arial" w:eastAsia="Times New Roman" w:hAnsi="Arial" w:cs="Arial"/>
          <w:b/>
          <w:bCs/>
          <w:color w:val="000000"/>
          <w:sz w:val="20"/>
          <w:szCs w:val="20"/>
        </w:rPr>
        <w:t>Nine months ended September 30, 2021, compared with the nine mon</w:t>
      </w:r>
      <w:r>
        <w:rPr>
          <w:rFonts w:ascii="Arial" w:eastAsia="Times New Roman" w:hAnsi="Arial" w:cs="Arial"/>
          <w:b/>
          <w:bCs/>
          <w:color w:val="000000"/>
          <w:sz w:val="20"/>
          <w:szCs w:val="20"/>
        </w:rPr>
        <w:t>ths ended September 30, 2020</w:t>
      </w:r>
    </w:p>
    <w:p w:rsidR="00000000" w:rsidRDefault="00EE1167">
      <w:pPr>
        <w:divId w:val="1436708667"/>
        <w:rPr>
          <w:rFonts w:eastAsia="Times New Roman"/>
        </w:rPr>
      </w:pPr>
    </w:p>
    <w:p w:rsidR="00000000" w:rsidRDefault="00EE1167">
      <w:pPr>
        <w:divId w:val="1551845391"/>
        <w:rPr>
          <w:rFonts w:eastAsia="Times New Roman"/>
        </w:rPr>
      </w:pPr>
      <w:r>
        <w:rPr>
          <w:rFonts w:ascii="Arial" w:eastAsia="Times New Roman" w:hAnsi="Arial" w:cs="Arial"/>
          <w:color w:val="000000"/>
          <w:sz w:val="20"/>
          <w:szCs w:val="20"/>
        </w:rPr>
        <w:t>Earnings attributable to common shareholders were positively impacted by $2.4 billion due to certain unusual, infrequent or other non-operating factors, primarily explained by the following factors:</w:t>
      </w:r>
    </w:p>
    <w:p w:rsidR="00000000" w:rsidRDefault="00EE1167">
      <w:pPr>
        <w:ind w:hanging="360"/>
        <w:divId w:val="26164407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non-cash, unrealized derivative fair value gain of $85 million ($65 million after-tax) in 2021, compared with a loss of $201 million ($151 million after-tax) in 2020, reflecting changes in the mark-to-market value of derivative financial instruments used</w:t>
      </w:r>
      <w:r>
        <w:rPr>
          <w:rFonts w:ascii="Arial" w:eastAsia="Times New Roman" w:hAnsi="Arial" w:cs="Arial"/>
          <w:color w:val="000000"/>
          <w:sz w:val="20"/>
          <w:szCs w:val="20"/>
        </w:rPr>
        <w:t xml:space="preserve"> to manage foreign exchange risks, partially offset by a non-cash, unrealized loss of $102 million ($78 million after-tax) in 2021, compared with an unrealized gain of $24 million ($18 million after-tax) in 2020 reflecting the revaluation of derivatives us</w:t>
      </w:r>
      <w:r>
        <w:rPr>
          <w:rFonts w:ascii="Arial" w:eastAsia="Times New Roman" w:hAnsi="Arial" w:cs="Arial"/>
          <w:color w:val="000000"/>
          <w:sz w:val="20"/>
          <w:szCs w:val="20"/>
        </w:rPr>
        <w:t xml:space="preserve">ed to manage the profitability of transportation and storage transactions and the exposure to movements in commodity prices; </w:t>
      </w:r>
    </w:p>
    <w:p w:rsidR="00000000" w:rsidRDefault="00EE1167">
      <w:pPr>
        <w:ind w:hanging="360"/>
        <w:divId w:val="1931766913"/>
        <w:rPr>
          <w:rFonts w:eastAsia="Times New Roman"/>
        </w:rPr>
      </w:pPr>
      <w:r>
        <w:rPr>
          <w:rFonts w:ascii="Arial" w:eastAsia="Times New Roman" w:hAnsi="Arial" w:cs="Arial"/>
          <w:color w:val="000000"/>
          <w:sz w:val="20"/>
          <w:szCs w:val="20"/>
        </w:rPr>
        <w:t>•employee severance, transition and transformation costs of $106 million ($82 million after-tax) in 2021, compared to $303 million</w:t>
      </w:r>
      <w:r>
        <w:rPr>
          <w:rFonts w:ascii="Arial" w:eastAsia="Times New Roman" w:hAnsi="Arial" w:cs="Arial"/>
          <w:color w:val="000000"/>
          <w:sz w:val="20"/>
          <w:szCs w:val="20"/>
        </w:rPr>
        <w:t xml:space="preserve"> ($229 million after-tax) in 2020 primarily related to our voluntary workforce reduction program offered in the second quarter of 2020;</w:t>
      </w:r>
    </w:p>
    <w:p w:rsidR="00000000" w:rsidRDefault="00EE1167">
      <w:pPr>
        <w:ind w:hanging="360"/>
        <w:divId w:val="721367955"/>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($83 million after-tax) in 2021 to our investment in the PennEast pipeline project a</w:t>
      </w:r>
      <w:r>
        <w:rPr>
          <w:rFonts w:ascii="Arial" w:eastAsia="Times New Roman" w:hAnsi="Arial" w:cs="Arial"/>
          <w:color w:val="000000"/>
          <w:sz w:val="20"/>
          <w:szCs w:val="20"/>
        </w:rPr>
        <w:t>fter a decision by project partners to cease development, compared to a combined impairment loss of $615 million ($452 million after-tax) in 2020 to our investments in SESH and Steckman;</w:t>
      </w:r>
    </w:p>
    <w:p w:rsidR="00000000" w:rsidRDefault="00EE1167">
      <w:pPr>
        <w:ind w:hanging="360"/>
        <w:divId w:val="558639341"/>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the absence in 2021 of a non-cash impairment to the carrying value o</w:t>
      </w:r>
      <w:r>
        <w:rPr>
          <w:rFonts w:ascii="Arial" w:eastAsia="Times New Roman" w:hAnsi="Arial" w:cs="Arial"/>
          <w:color w:val="000000"/>
          <w:sz w:val="20"/>
          <w:szCs w:val="20"/>
        </w:rPr>
        <w:t xml:space="preserve">f our investment in DCP Midstream, LLC (DCP Midstream) of $1.7 billion ($1.3 billion after-tax) </w:t>
      </w:r>
      <w:r>
        <w:rPr>
          <w:rFonts w:ascii="Arial" w:eastAsia="Times New Roman" w:hAnsi="Arial" w:cs="Arial"/>
          <w:color w:val="000000"/>
          <w:sz w:val="20"/>
          <w:szCs w:val="20"/>
          <w:shd w:val="clear" w:color="auto" w:fill="FFFFFF"/>
        </w:rPr>
        <w:t>recognized in 2020</w:t>
      </w:r>
      <w:r>
        <w:rPr>
          <w:rFonts w:ascii="Arial" w:eastAsia="Times New Roman" w:hAnsi="Arial" w:cs="Arial"/>
          <w:color w:val="000000"/>
          <w:sz w:val="20"/>
          <w:szCs w:val="20"/>
        </w:rPr>
        <w:t>;</w:t>
      </w:r>
    </w:p>
    <w:p w:rsidR="00000000" w:rsidRDefault="00EE1167">
      <w:pPr>
        <w:ind w:hanging="360"/>
        <w:divId w:val="386224850"/>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the absence in 2021 of a loss of $324 million ($244 million after-tax) resulting from asset and goodwill impairment losses within DCP Midst</w:t>
      </w:r>
      <w:r>
        <w:rPr>
          <w:rFonts w:ascii="Arial" w:eastAsia="Times New Roman" w:hAnsi="Arial" w:cs="Arial"/>
          <w:color w:val="000000"/>
          <w:sz w:val="20"/>
          <w:szCs w:val="20"/>
        </w:rPr>
        <w:t>ream recognized in 2020; and</w:t>
      </w:r>
    </w:p>
    <w:p w:rsidR="00000000" w:rsidRDefault="00EE1167">
      <w:pPr>
        <w:ind w:hanging="360"/>
        <w:divId w:val="1450079611"/>
        <w:rPr>
          <w:rFonts w:eastAsia="Times New Roman"/>
        </w:rPr>
      </w:pPr>
      <w:r>
        <w:rPr>
          <w:rFonts w:ascii="Arial" w:eastAsia="Times New Roman" w:hAnsi="Arial" w:cs="Arial"/>
          <w:color w:val="000000"/>
          <w:sz w:val="20"/>
          <w:szCs w:val="20"/>
        </w:rPr>
        <w:t>•the absence in 2021 of a loss of $159 million ($119 million after-tax) in 2020 resulting from the Texas Eastern rate case settlement that re-established the Excess Accumulated Deferred Income Tax (EDIT) regulated liability tha</w:t>
      </w:r>
      <w:r>
        <w:rPr>
          <w:rFonts w:ascii="Arial" w:eastAsia="Times New Roman" w:hAnsi="Arial" w:cs="Arial"/>
          <w:color w:val="000000"/>
          <w:sz w:val="20"/>
          <w:szCs w:val="20"/>
        </w:rPr>
        <w:t>t was previously eliminated in December 2018.</w:t>
      </w:r>
    </w:p>
    <w:p w:rsidR="00000000" w:rsidRDefault="00EE1167">
      <w:pPr>
        <w:divId w:val="220485403"/>
        <w:rPr>
          <w:rFonts w:eastAsia="Times New Roman"/>
        </w:rPr>
      </w:pPr>
    </w:p>
    <w:p w:rsidR="00000000" w:rsidRDefault="00EE1167">
      <w:pPr>
        <w:divId w:val="1379087200"/>
        <w:rPr>
          <w:rFonts w:eastAsia="Times New Roman"/>
        </w:rPr>
      </w:pPr>
      <w:r>
        <w:rPr>
          <w:rFonts w:ascii="Arial" w:eastAsia="Times New Roman" w:hAnsi="Arial" w:cs="Arial"/>
          <w:color w:val="000000"/>
          <w:sz w:val="20"/>
          <w:szCs w:val="20"/>
        </w:rPr>
        <w:t>After taking into consideration the factors above, the remaining $413 million increase in earnings attributable to common shareholders is primarily explained by the following significant business factors:</w:t>
      </w:r>
    </w:p>
    <w:p w:rsidR="00000000" w:rsidRDefault="00EE1167">
      <w:pPr>
        <w:ind w:hanging="360"/>
        <w:divId w:val="94833873"/>
        <w:rPr>
          <w:rFonts w:eastAsia="Times New Roman"/>
        </w:rPr>
      </w:pPr>
      <w:r>
        <w:rPr>
          <w:rFonts w:ascii="Arial" w:eastAsia="Times New Roman" w:hAnsi="Arial" w:cs="Arial"/>
          <w:color w:val="000000"/>
          <w:sz w:val="20"/>
          <w:szCs w:val="20"/>
        </w:rPr>
        <w:t>•st</w:t>
      </w:r>
      <w:r>
        <w:rPr>
          <w:rFonts w:ascii="Arial" w:eastAsia="Times New Roman" w:hAnsi="Arial" w:cs="Arial"/>
          <w:color w:val="000000"/>
          <w:sz w:val="20"/>
          <w:szCs w:val="20"/>
        </w:rPr>
        <w:t xml:space="preserve">ronger contributions from our Liquids Pipelines segment due to increased volumes and a higher International Joint Tariff (IJT) Benchmark Toll; </w:t>
      </w:r>
    </w:p>
    <w:p w:rsidR="00000000" w:rsidRDefault="00EE1167">
      <w:pPr>
        <w:ind w:hanging="360"/>
        <w:divId w:val="760100587"/>
        <w:rPr>
          <w:rFonts w:eastAsia="Times New Roman"/>
        </w:rPr>
      </w:pPr>
      <w:r>
        <w:rPr>
          <w:rFonts w:ascii="Arial" w:eastAsia="Times New Roman" w:hAnsi="Arial" w:cs="Arial"/>
          <w:color w:val="000000"/>
          <w:sz w:val="20"/>
          <w:szCs w:val="20"/>
        </w:rPr>
        <w:t xml:space="preserve">•increased earnings from our Gas Distribution and Storage segment due to increased rates and customer base; </w:t>
      </w:r>
    </w:p>
    <w:p w:rsidR="00000000" w:rsidRDefault="00EE1167">
      <w:pPr>
        <w:ind w:hanging="360"/>
        <w:divId w:val="2114474607"/>
        <w:rPr>
          <w:rFonts w:eastAsia="Times New Roman"/>
        </w:rPr>
      </w:pPr>
      <w:r>
        <w:rPr>
          <w:rFonts w:ascii="Arial" w:eastAsia="Times New Roman" w:hAnsi="Arial" w:cs="Arial"/>
          <w:color w:val="000000"/>
          <w:sz w:val="20"/>
          <w:szCs w:val="20"/>
        </w:rPr>
        <w:t>•in</w:t>
      </w:r>
      <w:r>
        <w:rPr>
          <w:rFonts w:ascii="Arial" w:eastAsia="Times New Roman" w:hAnsi="Arial" w:cs="Arial"/>
          <w:color w:val="000000"/>
          <w:sz w:val="20"/>
          <w:szCs w:val="20"/>
        </w:rPr>
        <w:t>creased earnings from the Atlantic Bridge Phase III project in our Gas Transmission and Midstream segment which commenced service in January 2021; and</w:t>
      </w:r>
    </w:p>
    <w:p w:rsidR="00000000" w:rsidRDefault="00EE1167">
      <w:pPr>
        <w:jc w:val="center"/>
        <w:divId w:val="1014782"/>
        <w:rPr>
          <w:rFonts w:eastAsia="Times New Roman"/>
        </w:rPr>
      </w:pPr>
      <w:r>
        <w:rPr>
          <w:rFonts w:ascii="Arial" w:eastAsia="Times New Roman" w:hAnsi="Arial" w:cs="Arial"/>
          <w:color w:val="000000"/>
          <w:sz w:val="20"/>
          <w:szCs w:val="20"/>
        </w:rPr>
        <w:t>43</w:t>
      </w:r>
    </w:p>
    <w:p w:rsidR="00000000" w:rsidRDefault="00EE1167">
      <w:pPr>
        <w:rPr>
          <w:rFonts w:eastAsia="Times New Roman"/>
        </w:rPr>
      </w:pPr>
      <w:r>
        <w:rPr>
          <w:rFonts w:eastAsia="Times New Roman"/>
        </w:rPr>
        <w:pict>
          <v:rect id="_x0000_i1068" style="width:0;height:1.5pt" o:hralign="center" o:hrstd="t" o:hr="t" fillcolor="#a0a0a0" stroked="f"/>
        </w:pict>
      </w:r>
    </w:p>
    <w:p w:rsidR="00000000" w:rsidRDefault="00EE1167">
      <w:pPr>
        <w:jc w:val="center"/>
        <w:divId w:val="492071025"/>
        <w:rPr>
          <w:rFonts w:eastAsia="Times New Roman"/>
        </w:rPr>
      </w:pPr>
    </w:p>
    <w:p w:rsidR="00000000" w:rsidRDefault="00EE1167">
      <w:pPr>
        <w:ind w:hanging="360"/>
        <w:divId w:val="1863208436"/>
        <w:rPr>
          <w:rFonts w:eastAsia="Times New Roman"/>
        </w:rPr>
      </w:pPr>
      <w:r>
        <w:rPr>
          <w:rFonts w:ascii="Arial" w:eastAsia="Times New Roman" w:hAnsi="Arial" w:cs="Arial"/>
          <w:color w:val="000000"/>
          <w:sz w:val="20"/>
          <w:szCs w:val="20"/>
        </w:rPr>
        <w:t>•lower interest expense primarily due to lower rates.</w:t>
      </w:r>
    </w:p>
    <w:p w:rsidR="00000000" w:rsidRDefault="00EE1167">
      <w:pPr>
        <w:ind w:hanging="720"/>
        <w:divId w:val="679552962"/>
        <w:rPr>
          <w:rFonts w:eastAsia="Times New Roman"/>
        </w:rPr>
      </w:pPr>
    </w:p>
    <w:p w:rsidR="00000000" w:rsidRDefault="00EE1167">
      <w:pPr>
        <w:divId w:val="1091969741"/>
        <w:rPr>
          <w:rFonts w:eastAsia="Times New Roman"/>
        </w:rPr>
      </w:pPr>
      <w:r>
        <w:rPr>
          <w:rFonts w:ascii="Arial" w:eastAsia="Times New Roman" w:hAnsi="Arial" w:cs="Arial"/>
          <w:color w:val="000000"/>
          <w:sz w:val="20"/>
          <w:szCs w:val="20"/>
        </w:rPr>
        <w:t>The posi</w:t>
      </w:r>
      <w:r>
        <w:rPr>
          <w:rFonts w:ascii="Arial" w:eastAsia="Times New Roman" w:hAnsi="Arial" w:cs="Arial"/>
          <w:color w:val="000000"/>
          <w:sz w:val="20"/>
          <w:szCs w:val="20"/>
        </w:rPr>
        <w:t>tive business factors above were partially offset by the following:</w:t>
      </w:r>
    </w:p>
    <w:p w:rsidR="00000000" w:rsidRDefault="00EE1167">
      <w:pPr>
        <w:ind w:hanging="360"/>
        <w:divId w:val="877621357"/>
        <w:rPr>
          <w:rFonts w:eastAsia="Times New Roman"/>
        </w:rPr>
      </w:pPr>
      <w:r>
        <w:rPr>
          <w:rFonts w:ascii="Arial" w:eastAsia="Times New Roman" w:hAnsi="Arial" w:cs="Arial"/>
          <w:color w:val="000000"/>
          <w:sz w:val="20"/>
          <w:szCs w:val="20"/>
        </w:rPr>
        <w:t xml:space="preserve">•decreased earnings from our Energy Services segment due to the significant compression of location and quality differentials in certain markets, fewer storage opportunities due to market </w:t>
      </w:r>
      <w:r>
        <w:rPr>
          <w:rFonts w:ascii="Arial" w:eastAsia="Times New Roman" w:hAnsi="Arial" w:cs="Arial"/>
          <w:color w:val="000000"/>
          <w:sz w:val="20"/>
          <w:szCs w:val="20"/>
        </w:rPr>
        <w:t>backwardation, adverse impacts from the major winter storm experienced across the US Midwest during February 2021 and fewer opportunities to achieve profitable transportation margins on facilities in which Energy Services holds capacity obligations;</w:t>
      </w:r>
    </w:p>
    <w:p w:rsidR="00000000" w:rsidRDefault="00EE1167">
      <w:pPr>
        <w:ind w:hanging="360"/>
        <w:divId w:val="778644417"/>
        <w:rPr>
          <w:rFonts w:eastAsia="Times New Roman"/>
        </w:rPr>
      </w:pPr>
      <w:r>
        <w:rPr>
          <w:rFonts w:ascii="Arial" w:eastAsia="Times New Roman" w:hAnsi="Arial" w:cs="Arial"/>
          <w:color w:val="000000"/>
          <w:sz w:val="20"/>
          <w:szCs w:val="20"/>
        </w:rPr>
        <w:t>•the n</w:t>
      </w:r>
      <w:r>
        <w:rPr>
          <w:rFonts w:ascii="Arial" w:eastAsia="Times New Roman" w:hAnsi="Arial" w:cs="Arial"/>
          <w:color w:val="000000"/>
          <w:sz w:val="20"/>
          <w:szCs w:val="20"/>
        </w:rPr>
        <w:t>et unfavorable effect of translating US dollar EBITDA to Canadian dollars at a lower average exchange rate in 2021 compared to the same period in 2020; and</w:t>
      </w:r>
    </w:p>
    <w:p w:rsidR="00000000" w:rsidRDefault="00EE1167">
      <w:pPr>
        <w:ind w:hanging="360"/>
        <w:divId w:val="837694455"/>
        <w:rPr>
          <w:rFonts w:eastAsia="Times New Roman"/>
        </w:rPr>
      </w:pPr>
      <w:r>
        <w:rPr>
          <w:rFonts w:ascii="Arial" w:eastAsia="Times New Roman" w:hAnsi="Arial" w:cs="Arial"/>
          <w:color w:val="000000"/>
          <w:sz w:val="20"/>
          <w:szCs w:val="20"/>
        </w:rPr>
        <w:t xml:space="preserve">•the absence in 2021 of the recognition of revenue in 2020 from a rate settlement on Texas Eastern, </w:t>
      </w:r>
      <w:r>
        <w:rPr>
          <w:rFonts w:ascii="Arial" w:eastAsia="Times New Roman" w:hAnsi="Arial" w:cs="Arial"/>
          <w:color w:val="000000"/>
          <w:sz w:val="20"/>
          <w:szCs w:val="20"/>
        </w:rPr>
        <w:t>partially offset by increased revenue due to the absence of pressure restrictions that existed on the Texas Eastern system in 2020.</w:t>
      </w:r>
    </w:p>
    <w:p w:rsidR="00000000" w:rsidRDefault="00EE1167">
      <w:pPr>
        <w:divId w:val="817186190"/>
        <w:rPr>
          <w:rFonts w:eastAsia="Times New Roman"/>
        </w:rPr>
      </w:pPr>
    </w:p>
    <w:p w:rsidR="00000000" w:rsidRDefault="00EE1167">
      <w:pPr>
        <w:divId w:val="66349450"/>
        <w:rPr>
          <w:rFonts w:eastAsia="Times New Roman"/>
        </w:rPr>
      </w:pPr>
      <w:r>
        <w:rPr>
          <w:rFonts w:ascii="Arial" w:eastAsia="Times New Roman" w:hAnsi="Arial" w:cs="Arial"/>
          <w:b/>
          <w:bCs/>
          <w:color w:val="000000"/>
          <w:sz w:val="20"/>
          <w:szCs w:val="20"/>
        </w:rPr>
        <w:t>BUSINESS SEGMENTS</w:t>
      </w:r>
    </w:p>
    <w:p w:rsidR="00000000" w:rsidRDefault="00EE1167">
      <w:pPr>
        <w:divId w:val="188613267"/>
        <w:rPr>
          <w:rFonts w:eastAsia="Times New Roman"/>
        </w:rPr>
      </w:pPr>
    </w:p>
    <w:p w:rsidR="00000000" w:rsidRDefault="00EE1167">
      <w:pPr>
        <w:divId w:val="1363819160"/>
        <w:rPr>
          <w:rFonts w:eastAsia="Times New Roman"/>
        </w:rPr>
      </w:pPr>
      <w:r>
        <w:rPr>
          <w:rFonts w:ascii="Arial" w:eastAsia="Times New Roman" w:hAnsi="Arial" w:cs="Arial"/>
          <w:b/>
          <w:bCs/>
          <w:color w:val="000000"/>
          <w:sz w:val="20"/>
          <w:szCs w:val="20"/>
        </w:rPr>
        <w:t>LIQUIDS PIPELINES</w:t>
      </w:r>
    </w:p>
    <w:p w:rsidR="00000000" w:rsidRDefault="00EE1167">
      <w:pPr>
        <w:divId w:val="203943088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808714940"/>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80871494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808714940"/>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80871494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808714940"/>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EE1167">
            <w:pPr>
              <w:spacing w:after="100"/>
              <w:ind w:hanging="180"/>
              <w:divId w:val="377632422"/>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1,673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2,090 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5,756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5,280 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1853449918"/>
        <w:rPr>
          <w:rFonts w:eastAsia="Times New Roman"/>
        </w:rPr>
      </w:pPr>
    </w:p>
    <w:p w:rsidR="00000000" w:rsidRDefault="00EE1167">
      <w:pPr>
        <w:divId w:val="761295672"/>
        <w:rPr>
          <w:rFonts w:eastAsia="Times New Roman"/>
        </w:rPr>
      </w:pPr>
      <w:r>
        <w:rPr>
          <w:rFonts w:ascii="Arial" w:eastAsia="Times New Roman" w:hAnsi="Arial" w:cs="Arial"/>
          <w:b/>
          <w:bCs/>
          <w:color w:val="000000"/>
          <w:sz w:val="20"/>
          <w:szCs w:val="20"/>
        </w:rPr>
        <w:t>Thr</w:t>
      </w:r>
      <w:r>
        <w:rPr>
          <w:rFonts w:ascii="Arial" w:eastAsia="Times New Roman" w:hAnsi="Arial" w:cs="Arial"/>
          <w:b/>
          <w:bCs/>
          <w:color w:val="000000"/>
          <w:sz w:val="20"/>
          <w:szCs w:val="20"/>
        </w:rPr>
        <w:t>ee months ended September 30, 2021, compared with the three months ended September 30, 2020</w:t>
      </w:r>
    </w:p>
    <w:p w:rsidR="00000000" w:rsidRDefault="00EE1167">
      <w:pPr>
        <w:divId w:val="1364676470"/>
        <w:rPr>
          <w:rFonts w:eastAsia="Times New Roman"/>
        </w:rPr>
      </w:pPr>
    </w:p>
    <w:p w:rsidR="00000000" w:rsidRDefault="00EE1167">
      <w:pPr>
        <w:divId w:val="330330360"/>
        <w:rPr>
          <w:rFonts w:eastAsia="Times New Roman"/>
        </w:rPr>
      </w:pPr>
      <w:r>
        <w:rPr>
          <w:rFonts w:ascii="Arial" w:eastAsia="Times New Roman" w:hAnsi="Arial" w:cs="Arial"/>
          <w:color w:val="000000"/>
          <w:sz w:val="20"/>
          <w:szCs w:val="20"/>
        </w:rPr>
        <w:t>EBITDA was negatively impacted by $583 million due to non-operating factors, primarily explained by non-cash, unrealized loss of $222 million in 2021, compared wi</w:t>
      </w:r>
      <w:r>
        <w:rPr>
          <w:rFonts w:ascii="Arial" w:eastAsia="Times New Roman" w:hAnsi="Arial" w:cs="Arial"/>
          <w:color w:val="000000"/>
          <w:sz w:val="20"/>
          <w:szCs w:val="20"/>
        </w:rPr>
        <w:t xml:space="preserve">th unrealized gains of $360 million in 2020, reflecting net fair value gains and losses arising from changes in the mark-to-market value of derivative financial instruments used to manage foreign exchange risks. </w:t>
      </w:r>
    </w:p>
    <w:p w:rsidR="00000000" w:rsidRDefault="00EE1167">
      <w:pPr>
        <w:divId w:val="2117940635"/>
        <w:rPr>
          <w:rFonts w:eastAsia="Times New Roman"/>
        </w:rPr>
      </w:pPr>
    </w:p>
    <w:p w:rsidR="00000000" w:rsidRDefault="00EE1167">
      <w:pPr>
        <w:divId w:val="499587524"/>
        <w:rPr>
          <w:rFonts w:eastAsia="Times New Roman"/>
        </w:rPr>
      </w:pPr>
      <w:r>
        <w:rPr>
          <w:rFonts w:ascii="Arial" w:eastAsia="Times New Roman" w:hAnsi="Arial" w:cs="Arial"/>
          <w:color w:val="000000"/>
          <w:sz w:val="20"/>
          <w:szCs w:val="20"/>
        </w:rPr>
        <w:t>After taking into consideration the facto</w:t>
      </w:r>
      <w:r>
        <w:rPr>
          <w:rFonts w:ascii="Arial" w:eastAsia="Times New Roman" w:hAnsi="Arial" w:cs="Arial"/>
          <w:color w:val="000000"/>
          <w:sz w:val="20"/>
          <w:szCs w:val="20"/>
        </w:rPr>
        <w:t>rs above, the remaining $166 million increase is primarily explained by the following significant business factors:</w:t>
      </w:r>
    </w:p>
    <w:p w:rsidR="00000000" w:rsidRDefault="00EE1167">
      <w:pPr>
        <w:ind w:hanging="360"/>
        <w:divId w:val="162014863"/>
        <w:rPr>
          <w:rFonts w:eastAsia="Times New Roman"/>
        </w:rPr>
      </w:pPr>
      <w:r>
        <w:rPr>
          <w:rFonts w:ascii="Arial" w:eastAsia="Times New Roman" w:hAnsi="Arial" w:cs="Arial"/>
          <w:color w:val="000000"/>
          <w:sz w:val="20"/>
          <w:szCs w:val="20"/>
        </w:rPr>
        <w:t>•higher Mainline System ex-Gretna throughput of 2.7 million barrels per day (mmbpd) in 2021 compared with 2.6 mmbpd in 2020 driven by the re</w:t>
      </w:r>
      <w:r>
        <w:rPr>
          <w:rFonts w:ascii="Arial" w:eastAsia="Times New Roman" w:hAnsi="Arial" w:cs="Arial"/>
          <w:color w:val="000000"/>
          <w:sz w:val="20"/>
          <w:szCs w:val="20"/>
        </w:rPr>
        <w:t xml:space="preserve">bounding demand for crude oil and related products as economies continue to recover from the impacts of the COVID-19 pandemic; </w:t>
      </w:r>
    </w:p>
    <w:p w:rsidR="00000000" w:rsidRDefault="00EE1167">
      <w:pPr>
        <w:ind w:hanging="360"/>
        <w:divId w:val="1503279827"/>
        <w:rPr>
          <w:rFonts w:eastAsia="Times New Roman"/>
        </w:rPr>
      </w:pPr>
      <w:r>
        <w:rPr>
          <w:rFonts w:ascii="Arial" w:eastAsia="Times New Roman" w:hAnsi="Arial" w:cs="Arial"/>
          <w:color w:val="000000"/>
          <w:sz w:val="20"/>
          <w:szCs w:val="20"/>
        </w:rPr>
        <w:t>•higher equity income from our investment in the Seaway Crude Pipeline System driven by increased volumes;</w:t>
      </w:r>
    </w:p>
    <w:p w:rsidR="00000000" w:rsidRDefault="00EE1167">
      <w:pPr>
        <w:ind w:hanging="360"/>
        <w:divId w:val="1034037661"/>
        <w:rPr>
          <w:rFonts w:eastAsia="Times New Roman"/>
        </w:rPr>
      </w:pPr>
      <w:r>
        <w:rPr>
          <w:rFonts w:ascii="Arial" w:eastAsia="Times New Roman" w:hAnsi="Arial" w:cs="Arial"/>
          <w:color w:val="000000"/>
          <w:sz w:val="20"/>
          <w:szCs w:val="20"/>
        </w:rPr>
        <w:t>•higher throughput on</w:t>
      </w:r>
      <w:r>
        <w:rPr>
          <w:rFonts w:ascii="Arial" w:eastAsia="Times New Roman" w:hAnsi="Arial" w:cs="Arial"/>
          <w:color w:val="000000"/>
          <w:sz w:val="20"/>
          <w:szCs w:val="20"/>
        </w:rPr>
        <w:t xml:space="preserve"> our Wood Buffalo Extension and Waupisoo Pipeline as production in the Athabasca Basin continues to recover; and</w:t>
      </w:r>
    </w:p>
    <w:p w:rsidR="00000000" w:rsidRDefault="00EE1167">
      <w:pPr>
        <w:ind w:hanging="360"/>
        <w:divId w:val="129397567"/>
        <w:rPr>
          <w:rFonts w:eastAsia="Times New Roman"/>
        </w:rPr>
      </w:pPr>
      <w:r>
        <w:rPr>
          <w:rFonts w:ascii="Arial" w:eastAsia="Times New Roman" w:hAnsi="Arial" w:cs="Arial"/>
          <w:color w:val="000000"/>
          <w:sz w:val="20"/>
          <w:szCs w:val="20"/>
        </w:rPr>
        <w:t>•a higher foreign exchange hedge rate used to lock-in US dollar denominated Canadian Mainline revenue.</w:t>
      </w:r>
    </w:p>
    <w:p w:rsidR="00000000" w:rsidRDefault="00EE1167">
      <w:pPr>
        <w:divId w:val="1800145236"/>
        <w:rPr>
          <w:rFonts w:eastAsia="Times New Roman"/>
        </w:rPr>
      </w:pPr>
    </w:p>
    <w:p w:rsidR="00000000" w:rsidRDefault="00EE1167">
      <w:pPr>
        <w:jc w:val="center"/>
        <w:divId w:val="1726444468"/>
        <w:rPr>
          <w:rFonts w:eastAsia="Times New Roman"/>
        </w:rPr>
      </w:pPr>
      <w:r>
        <w:rPr>
          <w:rFonts w:ascii="Arial" w:eastAsia="Times New Roman" w:hAnsi="Arial" w:cs="Arial"/>
          <w:color w:val="000000"/>
          <w:sz w:val="20"/>
          <w:szCs w:val="20"/>
        </w:rPr>
        <w:t>44</w:t>
      </w:r>
    </w:p>
    <w:p w:rsidR="00000000" w:rsidRDefault="00EE1167">
      <w:pPr>
        <w:rPr>
          <w:rFonts w:eastAsia="Times New Roman"/>
        </w:rPr>
      </w:pPr>
      <w:r>
        <w:rPr>
          <w:rFonts w:eastAsia="Times New Roman"/>
        </w:rPr>
        <w:pict>
          <v:rect id="_x0000_i1069" style="width:0;height:1.5pt" o:hralign="center" o:hrstd="t" o:hr="t" fillcolor="#a0a0a0" stroked="f"/>
        </w:pict>
      </w:r>
    </w:p>
    <w:p w:rsidR="00000000" w:rsidRDefault="00EE1167">
      <w:pPr>
        <w:jc w:val="center"/>
        <w:divId w:val="1197351650"/>
        <w:rPr>
          <w:rFonts w:eastAsia="Times New Roman"/>
        </w:rPr>
      </w:pPr>
    </w:p>
    <w:p w:rsidR="00000000" w:rsidRDefault="00EE1167">
      <w:pPr>
        <w:ind w:hanging="720"/>
        <w:divId w:val="1403914091"/>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EE1167">
      <w:pPr>
        <w:ind w:hanging="360"/>
        <w:divId w:val="286543374"/>
        <w:rPr>
          <w:rFonts w:eastAsia="Times New Roman"/>
        </w:rPr>
      </w:pPr>
      <w:r>
        <w:rPr>
          <w:rFonts w:ascii="Arial" w:eastAsia="Times New Roman" w:hAnsi="Arial" w:cs="Arial"/>
          <w:color w:val="000000"/>
          <w:sz w:val="20"/>
          <w:szCs w:val="20"/>
        </w:rPr>
        <w:t>•lower throughput on our Flanagan South Pipeline (Flanagan South) driven by robust PADD II refinery demand resulting in less volumes available</w:t>
      </w:r>
      <w:r>
        <w:rPr>
          <w:rFonts w:ascii="Arial" w:eastAsia="Times New Roman" w:hAnsi="Arial" w:cs="Arial"/>
          <w:color w:val="000000"/>
          <w:sz w:val="20"/>
          <w:szCs w:val="20"/>
        </w:rPr>
        <w:t xml:space="preserve"> to move towards the US Gulf Coast; and</w:t>
      </w:r>
    </w:p>
    <w:p w:rsidR="00000000" w:rsidRDefault="00EE1167">
      <w:pPr>
        <w:ind w:hanging="360"/>
        <w:divId w:val="516819389"/>
        <w:rPr>
          <w:rFonts w:eastAsia="Times New Roman"/>
        </w:rPr>
      </w:pPr>
      <w:r>
        <w:rPr>
          <w:rFonts w:ascii="Arial" w:eastAsia="Times New Roman" w:hAnsi="Arial" w:cs="Arial"/>
          <w:color w:val="000000"/>
          <w:sz w:val="20"/>
          <w:szCs w:val="20"/>
        </w:rPr>
        <w:t>•the net unfavorable effect of translating US dollar EBITDA to Canadian dollars at a lower average exchange rate in 2021 compared with 2020.</w:t>
      </w:r>
    </w:p>
    <w:p w:rsidR="00000000" w:rsidRDefault="00EE1167">
      <w:pPr>
        <w:divId w:val="763038313"/>
        <w:rPr>
          <w:rFonts w:eastAsia="Times New Roman"/>
        </w:rPr>
      </w:pPr>
    </w:p>
    <w:p w:rsidR="00000000" w:rsidRDefault="00EE1167">
      <w:pPr>
        <w:divId w:val="2072195485"/>
        <w:rPr>
          <w:rFonts w:eastAsia="Times New Roman"/>
        </w:rPr>
      </w:pPr>
      <w:r>
        <w:rPr>
          <w:rFonts w:ascii="Arial" w:eastAsia="Times New Roman" w:hAnsi="Arial" w:cs="Arial"/>
          <w:b/>
          <w:bCs/>
          <w:color w:val="000000"/>
          <w:sz w:val="20"/>
          <w:szCs w:val="20"/>
        </w:rPr>
        <w:t>Nine months ended September 30, 2021, compared with the nine months ended</w:t>
      </w:r>
      <w:r>
        <w:rPr>
          <w:rFonts w:ascii="Arial" w:eastAsia="Times New Roman" w:hAnsi="Arial" w:cs="Arial"/>
          <w:b/>
          <w:bCs/>
          <w:color w:val="000000"/>
          <w:sz w:val="20"/>
          <w:szCs w:val="20"/>
        </w:rPr>
        <w:t xml:space="preserve"> September 30, 2020</w:t>
      </w:r>
    </w:p>
    <w:p w:rsidR="00000000" w:rsidRDefault="00EE1167">
      <w:pPr>
        <w:divId w:val="1750731858"/>
        <w:rPr>
          <w:rFonts w:eastAsia="Times New Roman"/>
        </w:rPr>
      </w:pPr>
    </w:p>
    <w:p w:rsidR="00000000" w:rsidRDefault="00EE1167">
      <w:pPr>
        <w:divId w:val="909773820"/>
        <w:rPr>
          <w:rFonts w:eastAsia="Times New Roman"/>
        </w:rPr>
      </w:pPr>
      <w:r>
        <w:rPr>
          <w:rFonts w:ascii="Arial" w:eastAsia="Times New Roman" w:hAnsi="Arial" w:cs="Arial"/>
          <w:color w:val="000000"/>
          <w:sz w:val="20"/>
          <w:szCs w:val="20"/>
        </w:rPr>
        <w:t>EBITDA was positively impacted by $248 million due to certain infrequent or other non-operating factors, primarily explained by the following:</w:t>
      </w:r>
    </w:p>
    <w:p w:rsidR="00000000" w:rsidRDefault="00EE1167">
      <w:pPr>
        <w:ind w:hanging="360"/>
        <w:divId w:val="148570197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non-cash, unrealized gains of $84 million in 2021, compared with unrealized losses of $90 million in 2020, reflecting net fair value gains and losses arising from changes in the mark-to-market value of derivative financial instruments used to manage foreig</w:t>
      </w:r>
      <w:r>
        <w:rPr>
          <w:rFonts w:ascii="Arial" w:eastAsia="Times New Roman" w:hAnsi="Arial" w:cs="Arial"/>
          <w:color w:val="000000"/>
          <w:sz w:val="20"/>
          <w:szCs w:val="20"/>
        </w:rPr>
        <w:t>n exchange risks; and</w:t>
      </w:r>
    </w:p>
    <w:p w:rsidR="00000000" w:rsidRDefault="00EE1167">
      <w:pPr>
        <w:ind w:hanging="360"/>
        <w:divId w:val="167140807"/>
        <w:rPr>
          <w:rFonts w:eastAsia="Times New Roman"/>
        </w:rPr>
      </w:pPr>
      <w:r>
        <w:rPr>
          <w:rFonts w:ascii="Arial" w:eastAsia="Times New Roman" w:hAnsi="Arial" w:cs="Arial"/>
          <w:color w:val="000000"/>
          <w:sz w:val="20"/>
          <w:szCs w:val="20"/>
        </w:rPr>
        <w:t>•a receipt of a property tax settlement of $57 million related to the resolution of Minnesota property tax appeals for 2012-2018.</w:t>
      </w:r>
    </w:p>
    <w:p w:rsidR="00000000" w:rsidRDefault="00EE1167">
      <w:pPr>
        <w:divId w:val="1300956977"/>
        <w:rPr>
          <w:rFonts w:eastAsia="Times New Roman"/>
        </w:rPr>
      </w:pPr>
    </w:p>
    <w:p w:rsidR="00000000" w:rsidRDefault="00EE1167">
      <w:pPr>
        <w:divId w:val="2142260444"/>
        <w:rPr>
          <w:rFonts w:eastAsia="Times New Roman"/>
        </w:rPr>
      </w:pPr>
      <w:r>
        <w:rPr>
          <w:rFonts w:ascii="Arial" w:eastAsia="Times New Roman" w:hAnsi="Arial" w:cs="Arial"/>
          <w:color w:val="000000"/>
          <w:sz w:val="20"/>
          <w:szCs w:val="20"/>
        </w:rPr>
        <w:t>After taking into consideration the factors above, the remaining $228 million increase is primarily ex</w:t>
      </w:r>
      <w:r>
        <w:rPr>
          <w:rFonts w:ascii="Arial" w:eastAsia="Times New Roman" w:hAnsi="Arial" w:cs="Arial"/>
          <w:color w:val="000000"/>
          <w:sz w:val="20"/>
          <w:szCs w:val="20"/>
        </w:rPr>
        <w:t>plained by the following significant business factors:</w:t>
      </w:r>
    </w:p>
    <w:p w:rsidR="00000000" w:rsidRDefault="00EE1167">
      <w:pPr>
        <w:ind w:hanging="360"/>
        <w:divId w:val="1133138884"/>
        <w:rPr>
          <w:rFonts w:eastAsia="Times New Roman"/>
        </w:rPr>
      </w:pPr>
      <w:r>
        <w:rPr>
          <w:rFonts w:ascii="Arial" w:eastAsia="Times New Roman" w:hAnsi="Arial" w:cs="Arial"/>
          <w:color w:val="000000"/>
          <w:sz w:val="20"/>
          <w:szCs w:val="20"/>
        </w:rPr>
        <w:t>•higher Mainline system ex-Gretna average throughput of 2.7 mmbpd in 2021 as compared to 2.6 mmbpd in 2020 driven by the rebounding demand for crude oil and related products as economies continue to re</w:t>
      </w:r>
      <w:r>
        <w:rPr>
          <w:rFonts w:ascii="Arial" w:eastAsia="Times New Roman" w:hAnsi="Arial" w:cs="Arial"/>
          <w:color w:val="000000"/>
          <w:sz w:val="20"/>
          <w:szCs w:val="20"/>
        </w:rPr>
        <w:t>cover from the impacts of the COVID-19 pandemic;</w:t>
      </w:r>
    </w:p>
    <w:p w:rsidR="00000000" w:rsidRDefault="00EE1167">
      <w:pPr>
        <w:ind w:hanging="360"/>
        <w:divId w:val="510799188"/>
        <w:rPr>
          <w:rFonts w:eastAsia="Times New Roman"/>
        </w:rPr>
      </w:pPr>
      <w:r>
        <w:rPr>
          <w:rFonts w:ascii="Arial" w:eastAsia="Times New Roman" w:hAnsi="Arial" w:cs="Arial"/>
          <w:color w:val="000000"/>
          <w:sz w:val="20"/>
          <w:szCs w:val="20"/>
        </w:rPr>
        <w:t>•a higher average IJT Benchmark Toll on our Mainline System of US$4.27 in 2021, compared with US$4.23 in 2020;</w:t>
      </w:r>
    </w:p>
    <w:p w:rsidR="00000000" w:rsidRDefault="00EE1167">
      <w:pPr>
        <w:ind w:hanging="360"/>
        <w:divId w:val="386271583"/>
        <w:rPr>
          <w:rFonts w:eastAsia="Times New Roman"/>
        </w:rPr>
      </w:pPr>
      <w:r>
        <w:rPr>
          <w:rFonts w:ascii="Arial" w:eastAsia="Times New Roman" w:hAnsi="Arial" w:cs="Arial"/>
          <w:color w:val="000000"/>
          <w:sz w:val="20"/>
          <w:szCs w:val="20"/>
        </w:rPr>
        <w:t>•a higher foreign exchange hedge rate used to lock-in US dollar denominated Canadian Mainline re</w:t>
      </w:r>
      <w:r>
        <w:rPr>
          <w:rFonts w:ascii="Arial" w:eastAsia="Times New Roman" w:hAnsi="Arial" w:cs="Arial"/>
          <w:color w:val="000000"/>
          <w:sz w:val="20"/>
          <w:szCs w:val="20"/>
        </w:rPr>
        <w:t>venue;</w:t>
      </w:r>
    </w:p>
    <w:p w:rsidR="00000000" w:rsidRDefault="00EE1167">
      <w:pPr>
        <w:ind w:hanging="360"/>
        <w:divId w:val="403837584"/>
        <w:rPr>
          <w:rFonts w:eastAsia="Times New Roman"/>
        </w:rPr>
      </w:pPr>
      <w:r>
        <w:rPr>
          <w:rFonts w:ascii="Arial" w:eastAsia="Times New Roman" w:hAnsi="Arial" w:cs="Arial"/>
          <w:color w:val="000000"/>
          <w:sz w:val="20"/>
          <w:szCs w:val="20"/>
        </w:rPr>
        <w:t>•an increased CTS surcharge of US$0.11 per barrel in 2021, compared to US$0.07 per barrel in 2020;</w:t>
      </w:r>
    </w:p>
    <w:p w:rsidR="00000000" w:rsidRDefault="00EE1167">
      <w:pPr>
        <w:ind w:hanging="360"/>
        <w:divId w:val="430708842"/>
        <w:rPr>
          <w:rFonts w:eastAsia="Times New Roman"/>
        </w:rPr>
      </w:pPr>
      <w:r>
        <w:rPr>
          <w:rFonts w:ascii="Arial" w:eastAsia="Times New Roman" w:hAnsi="Arial" w:cs="Arial"/>
          <w:color w:val="000000"/>
          <w:sz w:val="20"/>
          <w:szCs w:val="20"/>
        </w:rPr>
        <w:t>•higher equity income from our investment in the Seaway Crude Pipeline System driven by increased volumes; and</w:t>
      </w:r>
    </w:p>
    <w:p w:rsidR="00000000" w:rsidRDefault="00EE1167">
      <w:pPr>
        <w:ind w:hanging="360"/>
        <w:divId w:val="955596363"/>
        <w:rPr>
          <w:rFonts w:eastAsia="Times New Roman"/>
        </w:rPr>
      </w:pPr>
      <w:r>
        <w:rPr>
          <w:rFonts w:ascii="Arial" w:eastAsia="Times New Roman" w:hAnsi="Arial" w:cs="Arial"/>
          <w:color w:val="000000"/>
          <w:sz w:val="20"/>
          <w:szCs w:val="20"/>
        </w:rPr>
        <w:t xml:space="preserve">•higher throughput on our Wood Buffalo </w:t>
      </w:r>
      <w:r>
        <w:rPr>
          <w:rFonts w:ascii="Arial" w:eastAsia="Times New Roman" w:hAnsi="Arial" w:cs="Arial"/>
          <w:color w:val="000000"/>
          <w:sz w:val="20"/>
          <w:szCs w:val="20"/>
        </w:rPr>
        <w:t>Expansion and Waupisoo Pipeline as production in the Athabasca Basin continues to recover.</w:t>
      </w:r>
    </w:p>
    <w:p w:rsidR="00000000" w:rsidRDefault="00EE1167">
      <w:pPr>
        <w:divId w:val="1476752627"/>
        <w:rPr>
          <w:rFonts w:eastAsia="Times New Roman"/>
        </w:rPr>
      </w:pPr>
    </w:p>
    <w:p w:rsidR="00000000" w:rsidRDefault="00EE1167">
      <w:pPr>
        <w:divId w:val="856773689"/>
        <w:rPr>
          <w:rFonts w:eastAsia="Times New Roman"/>
        </w:rPr>
      </w:pPr>
      <w:r>
        <w:rPr>
          <w:rFonts w:ascii="Arial" w:eastAsia="Times New Roman" w:hAnsi="Arial" w:cs="Arial"/>
          <w:color w:val="000000"/>
          <w:sz w:val="20"/>
          <w:szCs w:val="20"/>
        </w:rPr>
        <w:t>The positive business factors above were partially offset by the following factors:</w:t>
      </w:r>
    </w:p>
    <w:p w:rsidR="00000000" w:rsidRDefault="00EE1167">
      <w:pPr>
        <w:ind w:hanging="360"/>
        <w:divId w:val="859707860"/>
        <w:rPr>
          <w:rFonts w:eastAsia="Times New Roman"/>
        </w:rPr>
      </w:pPr>
      <w:r>
        <w:rPr>
          <w:rFonts w:ascii="Arial" w:eastAsia="Times New Roman" w:hAnsi="Arial" w:cs="Arial"/>
          <w:color w:val="000000"/>
          <w:sz w:val="20"/>
          <w:szCs w:val="20"/>
        </w:rPr>
        <w:t>•lower throughput on Flanagan South as a result of robust refinery demand in PA</w:t>
      </w:r>
      <w:r>
        <w:rPr>
          <w:rFonts w:ascii="Arial" w:eastAsia="Times New Roman" w:hAnsi="Arial" w:cs="Arial"/>
          <w:color w:val="000000"/>
          <w:sz w:val="20"/>
          <w:szCs w:val="20"/>
        </w:rPr>
        <w:t>DD II resulting in less volumes available to move towards the US Gulf Coast; and</w:t>
      </w:r>
    </w:p>
    <w:p w:rsidR="00000000" w:rsidRDefault="00EE1167">
      <w:pPr>
        <w:ind w:hanging="360"/>
        <w:divId w:val="1471896009"/>
        <w:rPr>
          <w:rFonts w:eastAsia="Times New Roman"/>
        </w:rPr>
      </w:pPr>
      <w:r>
        <w:rPr>
          <w:rFonts w:ascii="Arial" w:eastAsia="Times New Roman" w:hAnsi="Arial" w:cs="Arial"/>
          <w:color w:val="000000"/>
          <w:sz w:val="20"/>
          <w:szCs w:val="20"/>
        </w:rPr>
        <w:t>•the net unfavorable effect of translating US dollar EBITDA to Canadian dollars at a lower average exchange rate in 2021, compared with the same period in 2020.</w:t>
      </w:r>
    </w:p>
    <w:p w:rsidR="00000000" w:rsidRDefault="00EE1167">
      <w:pPr>
        <w:divId w:val="653030328"/>
        <w:rPr>
          <w:rFonts w:eastAsia="Times New Roman"/>
        </w:rPr>
      </w:pPr>
    </w:p>
    <w:p w:rsidR="00000000" w:rsidRDefault="00EE1167">
      <w:pPr>
        <w:divId w:val="160434637"/>
        <w:rPr>
          <w:rFonts w:eastAsia="Times New Roman"/>
        </w:rPr>
      </w:pPr>
    </w:p>
    <w:p w:rsidR="00000000" w:rsidRDefault="00EE1167">
      <w:pPr>
        <w:jc w:val="center"/>
        <w:divId w:val="432480463"/>
        <w:rPr>
          <w:rFonts w:eastAsia="Times New Roman"/>
        </w:rPr>
      </w:pPr>
      <w:r>
        <w:rPr>
          <w:rFonts w:ascii="Arial" w:eastAsia="Times New Roman" w:hAnsi="Arial" w:cs="Arial"/>
          <w:color w:val="000000"/>
          <w:sz w:val="20"/>
          <w:szCs w:val="20"/>
        </w:rPr>
        <w:t>45</w:t>
      </w:r>
    </w:p>
    <w:p w:rsidR="00000000" w:rsidRDefault="00EE1167">
      <w:pPr>
        <w:rPr>
          <w:rFonts w:eastAsia="Times New Roman"/>
        </w:rPr>
      </w:pPr>
      <w:r>
        <w:rPr>
          <w:rFonts w:eastAsia="Times New Roman"/>
        </w:rPr>
        <w:pict>
          <v:rect id="_x0000_i1070" style="width:0;height:1.5pt" o:hralign="center" o:hrstd="t" o:hr="t" fillcolor="#a0a0a0" stroked="f"/>
        </w:pict>
      </w:r>
    </w:p>
    <w:p w:rsidR="00000000" w:rsidRDefault="00EE1167">
      <w:pPr>
        <w:jc w:val="center"/>
        <w:divId w:val="1958483217"/>
        <w:rPr>
          <w:rFonts w:eastAsia="Times New Roman"/>
        </w:rPr>
      </w:pPr>
    </w:p>
    <w:p w:rsidR="00000000" w:rsidRDefault="00EE1167">
      <w:pPr>
        <w:divId w:val="777872188"/>
        <w:rPr>
          <w:rFonts w:eastAsia="Times New Roman"/>
        </w:rPr>
      </w:pPr>
      <w:r>
        <w:rPr>
          <w:rFonts w:ascii="Arial" w:eastAsia="Times New Roman" w:hAnsi="Arial" w:cs="Arial"/>
          <w:b/>
          <w:bCs/>
          <w:color w:val="000000"/>
          <w:sz w:val="20"/>
          <w:szCs w:val="20"/>
        </w:rPr>
        <w:t>GAS TRANSMISSION AND MIDSTREAM</w:t>
      </w:r>
    </w:p>
    <w:p w:rsidR="00000000" w:rsidRDefault="00EE1167">
      <w:pPr>
        <w:divId w:val="349651766"/>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221411236"/>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2141123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221411236"/>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221411236"/>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r>
      <w:tr w:rsidR="00000000">
        <w:trPr>
          <w:divId w:val="221411236"/>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884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334 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2,725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230 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1737167359"/>
        <w:rPr>
          <w:rFonts w:eastAsia="Times New Roman"/>
        </w:rPr>
      </w:pPr>
    </w:p>
    <w:p w:rsidR="00000000" w:rsidRDefault="00EE1167">
      <w:pPr>
        <w:divId w:val="2077313916"/>
        <w:rPr>
          <w:rFonts w:eastAsia="Times New Roman"/>
        </w:rPr>
      </w:pPr>
      <w:r>
        <w:rPr>
          <w:rFonts w:ascii="Arial" w:eastAsia="Times New Roman" w:hAnsi="Arial" w:cs="Arial"/>
          <w:color w:val="000000"/>
          <w:sz w:val="2"/>
          <w:szCs w:val="2"/>
        </w:rPr>
        <w:t> </w:t>
      </w:r>
    </w:p>
    <w:p w:rsidR="00000000" w:rsidRDefault="00EE1167">
      <w:pPr>
        <w:divId w:val="1675302402"/>
        <w:rPr>
          <w:rFonts w:eastAsia="Times New Roman"/>
        </w:rPr>
      </w:pPr>
      <w:r>
        <w:rPr>
          <w:rFonts w:ascii="Arial" w:eastAsia="Times New Roman" w:hAnsi="Arial" w:cs="Arial"/>
          <w:b/>
          <w:bCs/>
          <w:color w:val="000000"/>
          <w:sz w:val="20"/>
          <w:szCs w:val="20"/>
        </w:rPr>
        <w:t>Three months ended September 30, 2021, compared with the three months ended September 30, 2020</w:t>
      </w:r>
    </w:p>
    <w:p w:rsidR="00000000" w:rsidRDefault="00EE1167">
      <w:pPr>
        <w:divId w:val="1713848739"/>
        <w:rPr>
          <w:rFonts w:eastAsia="Times New Roman"/>
        </w:rPr>
      </w:pPr>
    </w:p>
    <w:p w:rsidR="00000000" w:rsidRDefault="00EE1167">
      <w:pPr>
        <w:divId w:val="637493759"/>
        <w:rPr>
          <w:rFonts w:eastAsia="Times New Roman"/>
        </w:rPr>
      </w:pPr>
      <w:r>
        <w:rPr>
          <w:rFonts w:ascii="Arial" w:eastAsia="Times New Roman" w:hAnsi="Arial" w:cs="Arial"/>
          <w:color w:val="000000"/>
          <w:sz w:val="20"/>
          <w:szCs w:val="20"/>
        </w:rPr>
        <w:t>EBITDA was positively impacted by $509 million due to certain unusual, infrequent or other non-operating factors, primarily explained by the following factors:</w:t>
      </w:r>
    </w:p>
    <w:p w:rsidR="00000000" w:rsidRDefault="00EE1167">
      <w:pPr>
        <w:ind w:hanging="360"/>
        <w:divId w:val="370692234"/>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in 2021 to our investment in the PennEast pipeline project a</w:t>
      </w:r>
      <w:r>
        <w:rPr>
          <w:rFonts w:ascii="Arial" w:eastAsia="Times New Roman" w:hAnsi="Arial" w:cs="Arial"/>
          <w:color w:val="000000"/>
          <w:sz w:val="20"/>
          <w:szCs w:val="20"/>
        </w:rPr>
        <w:t>fter a decision by project partners to cease development, compared to a combined impairment loss of $615 million in 2020 to our investments in SESH and Steckman; and</w:t>
      </w:r>
    </w:p>
    <w:p w:rsidR="00000000" w:rsidRDefault="00EE1167">
      <w:pPr>
        <w:ind w:hanging="360"/>
        <w:divId w:val="1651522886"/>
        <w:rPr>
          <w:rFonts w:eastAsia="Times New Roman"/>
        </w:rPr>
      </w:pPr>
      <w:r>
        <w:rPr>
          <w:rFonts w:ascii="Arial" w:eastAsia="Times New Roman" w:hAnsi="Arial" w:cs="Arial"/>
          <w:color w:val="000000"/>
          <w:sz w:val="20"/>
          <w:szCs w:val="20"/>
        </w:rPr>
        <w:t>•a non-cash, equity earnings decline of $38 million in 2021, compared with a decline of $5</w:t>
      </w:r>
      <w:r>
        <w:rPr>
          <w:rFonts w:ascii="Arial" w:eastAsia="Times New Roman" w:hAnsi="Arial" w:cs="Arial"/>
          <w:color w:val="000000"/>
          <w:sz w:val="20"/>
          <w:szCs w:val="20"/>
        </w:rPr>
        <w:t xml:space="preserve"> million in 2020 relating to changes in the mark-to-market value of derivative financial instruments of our equity method investee, DCP Midstream, which partially offset the positive factors above.</w:t>
      </w:r>
    </w:p>
    <w:p w:rsidR="00000000" w:rsidRDefault="00EE1167">
      <w:pPr>
        <w:divId w:val="1176726723"/>
        <w:rPr>
          <w:rFonts w:eastAsia="Times New Roman"/>
        </w:rPr>
      </w:pPr>
    </w:p>
    <w:p w:rsidR="00000000" w:rsidRDefault="00EE1167">
      <w:pPr>
        <w:divId w:val="628240262"/>
        <w:rPr>
          <w:rFonts w:eastAsia="Times New Roman"/>
        </w:rPr>
      </w:pPr>
      <w:r>
        <w:rPr>
          <w:rFonts w:ascii="Arial" w:eastAsia="Times New Roman" w:hAnsi="Arial" w:cs="Arial"/>
          <w:color w:val="000000"/>
          <w:sz w:val="20"/>
          <w:szCs w:val="20"/>
        </w:rPr>
        <w:t>After taking into consideration the factors above, the r</w:t>
      </w:r>
      <w:r>
        <w:rPr>
          <w:rFonts w:ascii="Arial" w:eastAsia="Times New Roman" w:hAnsi="Arial" w:cs="Arial"/>
          <w:color w:val="000000"/>
          <w:sz w:val="20"/>
          <w:szCs w:val="20"/>
        </w:rPr>
        <w:t>emaining $41 million increase is primarily explained by the following significant business factors:</w:t>
      </w:r>
    </w:p>
    <w:p w:rsidR="00000000" w:rsidRDefault="00EE1167">
      <w:pPr>
        <w:ind w:hanging="360"/>
        <w:divId w:val="919094924"/>
        <w:rPr>
          <w:rFonts w:eastAsia="Times New Roman"/>
        </w:rPr>
      </w:pPr>
      <w:r>
        <w:rPr>
          <w:rFonts w:ascii="Arial" w:eastAsia="Times New Roman" w:hAnsi="Arial" w:cs="Arial"/>
          <w:color w:val="000000"/>
          <w:sz w:val="20"/>
          <w:szCs w:val="20"/>
        </w:rPr>
        <w:t>•higher commodity prices benefiting our Aux Sable and DCP joint ventures;</w:t>
      </w:r>
    </w:p>
    <w:p w:rsidR="00000000" w:rsidRDefault="00EE1167">
      <w:pPr>
        <w:ind w:hanging="360"/>
        <w:divId w:val="303628908"/>
        <w:rPr>
          <w:rFonts w:eastAsia="Times New Roman"/>
        </w:rPr>
      </w:pPr>
      <w:r>
        <w:rPr>
          <w:rFonts w:ascii="Arial" w:eastAsia="Times New Roman" w:hAnsi="Arial" w:cs="Arial"/>
          <w:color w:val="000000"/>
          <w:sz w:val="20"/>
          <w:szCs w:val="20"/>
        </w:rPr>
        <w:t>•increased revenue due to the absence of pressure restrictions that existed on the</w:t>
      </w:r>
      <w:r>
        <w:rPr>
          <w:rFonts w:ascii="Arial" w:eastAsia="Times New Roman" w:hAnsi="Arial" w:cs="Arial"/>
          <w:color w:val="000000"/>
          <w:sz w:val="20"/>
          <w:szCs w:val="20"/>
        </w:rPr>
        <w:t xml:space="preserve"> Texas Eastern system in 2020; </w:t>
      </w:r>
    </w:p>
    <w:p w:rsidR="00000000" w:rsidRDefault="00EE1167">
      <w:pPr>
        <w:ind w:hanging="360"/>
        <w:divId w:val="1614483590"/>
        <w:rPr>
          <w:rFonts w:eastAsia="Times New Roman"/>
        </w:rPr>
      </w:pPr>
      <w:r>
        <w:rPr>
          <w:rFonts w:ascii="Arial" w:eastAsia="Times New Roman" w:hAnsi="Arial" w:cs="Arial"/>
          <w:color w:val="000000"/>
          <w:sz w:val="20"/>
          <w:szCs w:val="20"/>
        </w:rPr>
        <w:t>•contributions from the Atlantic Bridge Phase III project after service commenced in January 2021; and</w:t>
      </w:r>
    </w:p>
    <w:p w:rsidR="00000000" w:rsidRDefault="00EE1167">
      <w:pPr>
        <w:ind w:hanging="360"/>
        <w:divId w:val="1585263545"/>
        <w:rPr>
          <w:rFonts w:eastAsia="Times New Roman"/>
        </w:rPr>
      </w:pPr>
      <w:r>
        <w:rPr>
          <w:rFonts w:ascii="Arial" w:eastAsia="Times New Roman" w:hAnsi="Arial" w:cs="Arial"/>
          <w:color w:val="000000"/>
          <w:sz w:val="20"/>
          <w:szCs w:val="20"/>
        </w:rPr>
        <w:t>•the net unfavorable effect of translating US dollar EBITDA to Canadian dollars at a lower average exchange rate in 2021,</w:t>
      </w:r>
      <w:r>
        <w:rPr>
          <w:rFonts w:ascii="Arial" w:eastAsia="Times New Roman" w:hAnsi="Arial" w:cs="Arial"/>
          <w:color w:val="000000"/>
          <w:sz w:val="20"/>
          <w:szCs w:val="20"/>
        </w:rPr>
        <w:t xml:space="preserve"> compared to the same period in 2020, which partially offset the positive factors above.</w:t>
      </w:r>
    </w:p>
    <w:p w:rsidR="00000000" w:rsidRDefault="00EE1167">
      <w:pPr>
        <w:divId w:val="1593274747"/>
        <w:rPr>
          <w:rFonts w:eastAsia="Times New Roman"/>
        </w:rPr>
      </w:pPr>
    </w:p>
    <w:p w:rsidR="00000000" w:rsidRDefault="00EE1167">
      <w:pPr>
        <w:divId w:val="466513190"/>
        <w:rPr>
          <w:rFonts w:eastAsia="Times New Roman"/>
        </w:rPr>
      </w:pPr>
      <w:r>
        <w:rPr>
          <w:rFonts w:ascii="Arial" w:eastAsia="Times New Roman" w:hAnsi="Arial" w:cs="Arial"/>
          <w:b/>
          <w:bCs/>
          <w:color w:val="000000"/>
          <w:sz w:val="20"/>
          <w:szCs w:val="20"/>
        </w:rPr>
        <w:t>Nine months ended September 30, 2021, compared with the nine months ended September 30, 2020</w:t>
      </w:r>
    </w:p>
    <w:p w:rsidR="00000000" w:rsidRDefault="00EE1167">
      <w:pPr>
        <w:divId w:val="1637907930"/>
        <w:rPr>
          <w:rFonts w:eastAsia="Times New Roman"/>
        </w:rPr>
      </w:pPr>
    </w:p>
    <w:p w:rsidR="00000000" w:rsidRDefault="00EE1167">
      <w:pPr>
        <w:divId w:val="970094994"/>
        <w:rPr>
          <w:rFonts w:eastAsia="Times New Roman"/>
        </w:rPr>
      </w:pPr>
      <w:r>
        <w:rPr>
          <w:rFonts w:ascii="Arial" w:eastAsia="Times New Roman" w:hAnsi="Arial" w:cs="Arial"/>
          <w:color w:val="000000"/>
          <w:sz w:val="20"/>
          <w:szCs w:val="20"/>
        </w:rPr>
        <w:t>EBITDA was positively impacted by $2.6 billion due to certain unusual,</w:t>
      </w:r>
      <w:r>
        <w:rPr>
          <w:rFonts w:ascii="Arial" w:eastAsia="Times New Roman" w:hAnsi="Arial" w:cs="Arial"/>
          <w:color w:val="000000"/>
          <w:sz w:val="20"/>
          <w:szCs w:val="20"/>
        </w:rPr>
        <w:t xml:space="preserve"> infrequent or other non-operating factors, primarily explained by the following:</w:t>
      </w:r>
    </w:p>
    <w:p w:rsidR="00000000" w:rsidRDefault="00EE1167">
      <w:pPr>
        <w:ind w:hanging="360"/>
        <w:divId w:val="2060859038"/>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an impairment loss of $111 million in 2021 to our investment in the PennEast pipeline project after a decision by project partners to cease development, compared to a combin</w:t>
      </w:r>
      <w:r>
        <w:rPr>
          <w:rFonts w:ascii="Arial" w:eastAsia="Times New Roman" w:hAnsi="Arial" w:cs="Arial"/>
          <w:color w:val="000000"/>
          <w:sz w:val="20"/>
          <w:szCs w:val="20"/>
        </w:rPr>
        <w:t>ed impairment loss of $615 million in 2020 to our investments in SESH and Steckman;</w:t>
      </w:r>
    </w:p>
    <w:p w:rsidR="00000000" w:rsidRDefault="00EE1167">
      <w:pPr>
        <w:ind w:hanging="360"/>
        <w:divId w:val="1955939382"/>
        <w:rPr>
          <w:rFonts w:eastAsia="Times New Roman"/>
        </w:rPr>
      </w:pPr>
      <w:r>
        <w:rPr>
          <w:rFonts w:ascii="Arial" w:eastAsia="Times New Roman" w:hAnsi="Arial" w:cs="Arial"/>
          <w:color w:val="000000"/>
          <w:sz w:val="20"/>
          <w:szCs w:val="20"/>
          <w:shd w:val="clear" w:color="auto" w:fill="FFFFFF"/>
        </w:rPr>
        <w:t>•the absence in 2021 of a non-cash impairment to the carrying value of our investment in DCP Midstream of $1.7 billion recognized in 2020;</w:t>
      </w:r>
    </w:p>
    <w:p w:rsidR="00000000" w:rsidRDefault="00EE1167">
      <w:pPr>
        <w:ind w:hanging="360"/>
        <w:divId w:val="1565332251"/>
        <w:rPr>
          <w:rFonts w:eastAsia="Times New Roman"/>
        </w:rPr>
      </w:pPr>
      <w:r>
        <w:rPr>
          <w:rFonts w:ascii="Arial" w:eastAsia="Times New Roman" w:hAnsi="Arial" w:cs="Arial"/>
          <w:color w:val="000000"/>
          <w:sz w:val="20"/>
          <w:szCs w:val="20"/>
          <w:shd w:val="clear" w:color="auto" w:fill="FFFFFF"/>
        </w:rPr>
        <w:t>•the absence in 2021 of a loss of</w:t>
      </w:r>
      <w:r>
        <w:rPr>
          <w:rFonts w:ascii="Arial" w:eastAsia="Times New Roman" w:hAnsi="Arial" w:cs="Arial"/>
          <w:color w:val="000000"/>
          <w:sz w:val="20"/>
          <w:szCs w:val="20"/>
          <w:shd w:val="clear" w:color="auto" w:fill="FFFFFF"/>
        </w:rPr>
        <w:t xml:space="preserve"> $324 million resulting from asset and goodwill impairment losses within DCP Midstream recognized in 2020;</w:t>
      </w:r>
    </w:p>
    <w:p w:rsidR="00000000" w:rsidRDefault="00EE1167">
      <w:pPr>
        <w:ind w:hanging="360"/>
        <w:divId w:val="1981835374"/>
        <w:rPr>
          <w:rFonts w:eastAsia="Times New Roman"/>
        </w:rPr>
      </w:pPr>
      <w:r>
        <w:rPr>
          <w:rFonts w:ascii="Arial" w:eastAsia="Times New Roman" w:hAnsi="Arial" w:cs="Arial"/>
          <w:color w:val="000000"/>
          <w:sz w:val="20"/>
          <w:szCs w:val="20"/>
        </w:rPr>
        <w:t>•the absence in 2021 of a loss of $159 million in 2020 resulting from the Texas Eastern rate case settlement that re-established the EDIT regulated l</w:t>
      </w:r>
      <w:r>
        <w:rPr>
          <w:rFonts w:ascii="Arial" w:eastAsia="Times New Roman" w:hAnsi="Arial" w:cs="Arial"/>
          <w:color w:val="000000"/>
          <w:sz w:val="20"/>
          <w:szCs w:val="20"/>
        </w:rPr>
        <w:t>iability that was previously eliminated in December 2018; and</w:t>
      </w:r>
    </w:p>
    <w:p w:rsidR="00000000" w:rsidRDefault="00EE1167">
      <w:pPr>
        <w:ind w:hanging="360"/>
        <w:divId w:val="1852530026"/>
        <w:rPr>
          <w:rFonts w:eastAsia="Times New Roman"/>
        </w:rPr>
      </w:pPr>
      <w:r>
        <w:rPr>
          <w:rFonts w:ascii="Arial" w:eastAsia="Times New Roman" w:hAnsi="Arial" w:cs="Arial"/>
          <w:color w:val="000000"/>
          <w:sz w:val="20"/>
          <w:szCs w:val="20"/>
        </w:rPr>
        <w:t xml:space="preserve">•a decline in equity earnings of $104 million in 2021, compared with a positive impact of $26 million in 2020 relating to changes in the mark-to-market value of derivative financial instruments </w:t>
      </w:r>
      <w:r>
        <w:rPr>
          <w:rFonts w:ascii="Arial" w:eastAsia="Times New Roman" w:hAnsi="Arial" w:cs="Arial"/>
          <w:color w:val="000000"/>
          <w:sz w:val="20"/>
          <w:szCs w:val="20"/>
        </w:rPr>
        <w:t>of our equity method investee, DCP Midstream, which partially offset the positive factors above.</w:t>
      </w:r>
    </w:p>
    <w:p w:rsidR="00000000" w:rsidRDefault="00EE1167">
      <w:pPr>
        <w:divId w:val="1345131010"/>
        <w:rPr>
          <w:rFonts w:eastAsia="Times New Roman"/>
        </w:rPr>
      </w:pPr>
    </w:p>
    <w:p w:rsidR="00000000" w:rsidRDefault="00EE1167">
      <w:pPr>
        <w:jc w:val="center"/>
        <w:divId w:val="1835028486"/>
        <w:rPr>
          <w:rFonts w:eastAsia="Times New Roman"/>
        </w:rPr>
      </w:pPr>
      <w:r>
        <w:rPr>
          <w:rFonts w:ascii="Arial" w:eastAsia="Times New Roman" w:hAnsi="Arial" w:cs="Arial"/>
          <w:color w:val="000000"/>
          <w:sz w:val="20"/>
          <w:szCs w:val="20"/>
        </w:rPr>
        <w:t>46</w:t>
      </w:r>
    </w:p>
    <w:p w:rsidR="00000000" w:rsidRDefault="00EE1167">
      <w:pPr>
        <w:rPr>
          <w:rFonts w:eastAsia="Times New Roman"/>
        </w:rPr>
      </w:pPr>
      <w:r>
        <w:rPr>
          <w:rFonts w:eastAsia="Times New Roman"/>
        </w:rPr>
        <w:pict>
          <v:rect id="_x0000_i1071" style="width:0;height:1.5pt" o:hralign="center" o:hrstd="t" o:hr="t" fillcolor="#a0a0a0" stroked="f"/>
        </w:pict>
      </w:r>
    </w:p>
    <w:p w:rsidR="00000000" w:rsidRDefault="00EE1167">
      <w:pPr>
        <w:jc w:val="center"/>
        <w:divId w:val="1292125779"/>
        <w:rPr>
          <w:rFonts w:eastAsia="Times New Roman"/>
        </w:rPr>
      </w:pPr>
    </w:p>
    <w:p w:rsidR="00000000" w:rsidRDefault="00EE1167">
      <w:pPr>
        <w:divId w:val="1787893726"/>
        <w:rPr>
          <w:rFonts w:eastAsia="Times New Roman"/>
        </w:rPr>
      </w:pPr>
      <w:r>
        <w:rPr>
          <w:rFonts w:ascii="Arial" w:eastAsia="Times New Roman" w:hAnsi="Arial" w:cs="Arial"/>
          <w:color w:val="000000"/>
          <w:sz w:val="20"/>
          <w:szCs w:val="20"/>
        </w:rPr>
        <w:t>After taking into consideration the factors above, the remaining $89 million decrease is primarily explained by the following significant business factors:</w:t>
      </w:r>
    </w:p>
    <w:p w:rsidR="00000000" w:rsidRDefault="00EE1167">
      <w:pPr>
        <w:ind w:hanging="360"/>
        <w:divId w:val="683361269"/>
        <w:rPr>
          <w:rFonts w:eastAsia="Times New Roman"/>
        </w:rPr>
      </w:pPr>
      <w:r>
        <w:rPr>
          <w:rFonts w:ascii="Arial" w:eastAsia="Times New Roman" w:hAnsi="Arial" w:cs="Arial"/>
          <w:color w:val="000000"/>
          <w:sz w:val="20"/>
          <w:szCs w:val="20"/>
        </w:rPr>
        <w:t>•the net unfavorable effect of translating US dollar EBITDA at a lower Canadian to US dollar average</w:t>
      </w:r>
      <w:r>
        <w:rPr>
          <w:rFonts w:ascii="Arial" w:eastAsia="Times New Roman" w:hAnsi="Arial" w:cs="Arial"/>
          <w:color w:val="000000"/>
          <w:sz w:val="20"/>
          <w:szCs w:val="20"/>
        </w:rPr>
        <w:t xml:space="preserve"> exchange rate in 2021, compared to the same period in 2020; and</w:t>
      </w:r>
    </w:p>
    <w:p w:rsidR="00000000" w:rsidRDefault="00EE1167">
      <w:pPr>
        <w:ind w:hanging="360"/>
        <w:divId w:val="835344261"/>
        <w:rPr>
          <w:rFonts w:eastAsia="Times New Roman"/>
        </w:rPr>
      </w:pPr>
      <w:r>
        <w:rPr>
          <w:rFonts w:ascii="Arial" w:eastAsia="Times New Roman" w:hAnsi="Arial" w:cs="Arial"/>
          <w:color w:val="000000"/>
          <w:sz w:val="20"/>
          <w:szCs w:val="20"/>
        </w:rPr>
        <w:t>•the absence in 2021 of the recognition of revenue in 2020 that related to the settlement of interim rates collected from shippers on Texas Eastern, retroactive to June 1, 2019.</w:t>
      </w:r>
    </w:p>
    <w:p w:rsidR="00000000" w:rsidRDefault="00EE1167">
      <w:pPr>
        <w:divId w:val="863592006"/>
        <w:rPr>
          <w:rFonts w:eastAsia="Times New Roman"/>
        </w:rPr>
      </w:pPr>
    </w:p>
    <w:p w:rsidR="00000000" w:rsidRDefault="00EE1167">
      <w:pPr>
        <w:divId w:val="892038376"/>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EE1167">
      <w:pPr>
        <w:ind w:hanging="360"/>
        <w:divId w:val="767698725"/>
        <w:rPr>
          <w:rFonts w:eastAsia="Times New Roman"/>
        </w:rPr>
      </w:pPr>
      <w:r>
        <w:rPr>
          <w:rFonts w:ascii="Arial" w:eastAsia="Times New Roman" w:hAnsi="Arial" w:cs="Arial"/>
          <w:color w:val="000000"/>
          <w:sz w:val="20"/>
          <w:szCs w:val="20"/>
        </w:rPr>
        <w:t>•higher commodity prices benefiting our Aux Sable and DCP Midstream joint ventures;</w:t>
      </w:r>
    </w:p>
    <w:p w:rsidR="00000000" w:rsidRDefault="00EE1167">
      <w:pPr>
        <w:ind w:hanging="360"/>
        <w:divId w:val="1287203438"/>
        <w:rPr>
          <w:rFonts w:eastAsia="Times New Roman"/>
        </w:rPr>
      </w:pPr>
      <w:r>
        <w:rPr>
          <w:rFonts w:ascii="Arial" w:eastAsia="Times New Roman" w:hAnsi="Arial" w:cs="Arial"/>
          <w:color w:val="000000"/>
          <w:sz w:val="20"/>
          <w:szCs w:val="20"/>
        </w:rPr>
        <w:t>•increased revenue due to the absence of pressure restrictions that existed on the Texas</w:t>
      </w:r>
      <w:r>
        <w:rPr>
          <w:rFonts w:ascii="Arial" w:eastAsia="Times New Roman" w:hAnsi="Arial" w:cs="Arial"/>
          <w:color w:val="000000"/>
          <w:sz w:val="20"/>
          <w:szCs w:val="20"/>
        </w:rPr>
        <w:t xml:space="preserve"> Eastern system in 2020; and</w:t>
      </w:r>
    </w:p>
    <w:p w:rsidR="00000000" w:rsidRDefault="00EE1167">
      <w:pPr>
        <w:ind w:hanging="360"/>
        <w:divId w:val="1371684275"/>
        <w:rPr>
          <w:rFonts w:eastAsia="Times New Roman"/>
        </w:rPr>
      </w:pPr>
      <w:r>
        <w:rPr>
          <w:rFonts w:ascii="Arial" w:eastAsia="Times New Roman" w:hAnsi="Arial" w:cs="Arial"/>
          <w:color w:val="000000"/>
          <w:sz w:val="20"/>
          <w:szCs w:val="20"/>
        </w:rPr>
        <w:t>•contributions from the Atlantic Bridge Phase III project after service commenced in January 2021.</w:t>
      </w:r>
    </w:p>
    <w:p w:rsidR="00000000" w:rsidRDefault="00EE1167">
      <w:pPr>
        <w:divId w:val="598753952"/>
        <w:rPr>
          <w:rFonts w:eastAsia="Times New Roman"/>
        </w:rPr>
      </w:pPr>
    </w:p>
    <w:p w:rsidR="00000000" w:rsidRDefault="00EE1167">
      <w:pPr>
        <w:divId w:val="400366673"/>
        <w:rPr>
          <w:rFonts w:eastAsia="Times New Roman"/>
        </w:rPr>
      </w:pPr>
      <w:r>
        <w:rPr>
          <w:rFonts w:ascii="Arial" w:eastAsia="Times New Roman" w:hAnsi="Arial" w:cs="Arial"/>
          <w:b/>
          <w:bCs/>
          <w:color w:val="000000"/>
          <w:sz w:val="20"/>
          <w:szCs w:val="20"/>
        </w:rPr>
        <w:t>GAS DISTRIBUTION AND STORAGE</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1473250772"/>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473250772"/>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r>
      <w:tr w:rsidR="00000000">
        <w:trPr>
          <w:divId w:val="1473250772"/>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473250772"/>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473250772"/>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EE1167">
            <w:pPr>
              <w:spacing w:after="100"/>
              <w:ind w:hanging="180"/>
              <w:divId w:val="1313488512"/>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282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298 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1,374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1,285 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786775889"/>
        <w:rPr>
          <w:rFonts w:eastAsia="Times New Roman"/>
        </w:rPr>
      </w:pPr>
      <w:r>
        <w:rPr>
          <w:rFonts w:ascii="Arial" w:eastAsia="Times New Roman" w:hAnsi="Arial" w:cs="Arial"/>
          <w:color w:val="000000"/>
          <w:sz w:val="2"/>
          <w:szCs w:val="2"/>
        </w:rPr>
        <w:t> </w:t>
      </w:r>
    </w:p>
    <w:p w:rsidR="00000000" w:rsidRDefault="00EE1167">
      <w:pPr>
        <w:divId w:val="776024906"/>
        <w:rPr>
          <w:rFonts w:eastAsia="Times New Roman"/>
        </w:rPr>
      </w:pPr>
      <w:r>
        <w:rPr>
          <w:rFonts w:ascii="Arial" w:eastAsia="Times New Roman" w:hAnsi="Arial" w:cs="Arial"/>
          <w:b/>
          <w:bCs/>
          <w:color w:val="000000"/>
          <w:sz w:val="20"/>
          <w:szCs w:val="20"/>
        </w:rPr>
        <w:t>Three months ended September 30, 2021, compared with the three months ended September 30, 2020</w:t>
      </w:r>
    </w:p>
    <w:p w:rsidR="00000000" w:rsidRDefault="00EE1167">
      <w:pPr>
        <w:divId w:val="1186408399"/>
        <w:rPr>
          <w:rFonts w:eastAsia="Times New Roman"/>
        </w:rPr>
      </w:pPr>
    </w:p>
    <w:p w:rsidR="00000000" w:rsidRDefault="00EE1167">
      <w:pPr>
        <w:divId w:val="1207335936"/>
        <w:rPr>
          <w:rFonts w:eastAsia="Times New Roman"/>
        </w:rPr>
      </w:pPr>
      <w:r>
        <w:rPr>
          <w:rFonts w:ascii="Arial" w:eastAsia="Times New Roman" w:hAnsi="Arial" w:cs="Arial"/>
          <w:color w:val="000000"/>
          <w:sz w:val="20"/>
          <w:szCs w:val="20"/>
        </w:rPr>
        <w:t>EBITDA was negatively impacted by $16 million primarily explained by higher operating and administrative expense largely driven by the timing in spend, partial</w:t>
      </w:r>
      <w:r>
        <w:rPr>
          <w:rFonts w:ascii="Arial" w:eastAsia="Times New Roman" w:hAnsi="Arial" w:cs="Arial"/>
          <w:color w:val="000000"/>
          <w:sz w:val="20"/>
          <w:szCs w:val="20"/>
        </w:rPr>
        <w:t>ly offset by higher distribution charges resulting from increases in rates and customer base.</w:t>
      </w:r>
    </w:p>
    <w:p w:rsidR="00000000" w:rsidRDefault="00EE1167">
      <w:pPr>
        <w:divId w:val="642462696"/>
        <w:rPr>
          <w:rFonts w:eastAsia="Times New Roman"/>
        </w:rPr>
      </w:pPr>
    </w:p>
    <w:p w:rsidR="00000000" w:rsidRDefault="00EE1167">
      <w:pPr>
        <w:divId w:val="1857499650"/>
        <w:rPr>
          <w:rFonts w:eastAsia="Times New Roman"/>
        </w:rPr>
      </w:pPr>
      <w:r>
        <w:rPr>
          <w:rFonts w:ascii="Arial" w:eastAsia="Times New Roman" w:hAnsi="Arial" w:cs="Arial"/>
          <w:b/>
          <w:bCs/>
          <w:color w:val="000000"/>
          <w:sz w:val="20"/>
          <w:szCs w:val="20"/>
        </w:rPr>
        <w:t>Nine months ended September 30, 2021, compared with the nine months ended September 30, 2020</w:t>
      </w:r>
    </w:p>
    <w:p w:rsidR="00000000" w:rsidRDefault="00EE1167">
      <w:pPr>
        <w:divId w:val="2053730770"/>
        <w:rPr>
          <w:rFonts w:eastAsia="Times New Roman"/>
        </w:rPr>
      </w:pPr>
    </w:p>
    <w:p w:rsidR="00000000" w:rsidRDefault="00EE1167">
      <w:pPr>
        <w:divId w:val="542206303"/>
        <w:rPr>
          <w:rFonts w:eastAsia="Times New Roman"/>
        </w:rPr>
      </w:pPr>
      <w:r>
        <w:rPr>
          <w:rFonts w:ascii="Arial" w:eastAsia="Times New Roman" w:hAnsi="Arial" w:cs="Arial"/>
          <w:color w:val="000000"/>
          <w:sz w:val="20"/>
          <w:szCs w:val="20"/>
        </w:rPr>
        <w:t>EBITDA was positively impacted by $16 million due to certain unusual, infrequent and other non-operating factors, primarily explained by a non-cash, unrealized gain of $12 million in 2021, compared with an unrealized gain of $2 million in 2020 arising from</w:t>
      </w:r>
      <w:r>
        <w:rPr>
          <w:rFonts w:ascii="Arial" w:eastAsia="Times New Roman" w:hAnsi="Arial" w:cs="Arial"/>
          <w:color w:val="000000"/>
          <w:sz w:val="20"/>
          <w:szCs w:val="20"/>
        </w:rPr>
        <w:t xml:space="preserve"> the change in the mark-to-market value of Noverco's derivative financial instruments and COVID-19 costs of $3 million in 2021 compared with $8 million in 2020.</w:t>
      </w:r>
    </w:p>
    <w:p w:rsidR="00000000" w:rsidRDefault="00EE1167">
      <w:pPr>
        <w:divId w:val="2076202676"/>
        <w:rPr>
          <w:rFonts w:eastAsia="Times New Roman"/>
        </w:rPr>
      </w:pPr>
    </w:p>
    <w:p w:rsidR="00000000" w:rsidRDefault="00EE1167">
      <w:pPr>
        <w:divId w:val="1418474960"/>
        <w:rPr>
          <w:rFonts w:eastAsia="Times New Roman"/>
        </w:rPr>
      </w:pPr>
      <w:r>
        <w:rPr>
          <w:rFonts w:ascii="Arial" w:eastAsia="Times New Roman" w:hAnsi="Arial" w:cs="Arial"/>
          <w:color w:val="000000"/>
          <w:sz w:val="20"/>
          <w:szCs w:val="20"/>
        </w:rPr>
        <w:t>After taking into consideration the factors above, the remaining $73 million increase is prim</w:t>
      </w:r>
      <w:r>
        <w:rPr>
          <w:rFonts w:ascii="Arial" w:eastAsia="Times New Roman" w:hAnsi="Arial" w:cs="Arial"/>
          <w:color w:val="000000"/>
          <w:sz w:val="20"/>
          <w:szCs w:val="20"/>
        </w:rPr>
        <w:t>arily explained by the following business factors:</w:t>
      </w:r>
    </w:p>
    <w:p w:rsidR="00000000" w:rsidRDefault="00EE1167">
      <w:pPr>
        <w:ind w:hanging="360"/>
        <w:divId w:val="318264967"/>
        <w:rPr>
          <w:rFonts w:eastAsia="Times New Roman"/>
        </w:rPr>
      </w:pPr>
      <w:r>
        <w:rPr>
          <w:rFonts w:ascii="Arial" w:eastAsia="Times New Roman" w:hAnsi="Arial" w:cs="Arial"/>
          <w:color w:val="000000"/>
          <w:sz w:val="20"/>
          <w:szCs w:val="20"/>
        </w:rPr>
        <w:t>•higher distribution charges resulting from increases in rates and customer base growth; and</w:t>
      </w:r>
    </w:p>
    <w:p w:rsidR="00000000" w:rsidRDefault="00EE1167">
      <w:pPr>
        <w:ind w:hanging="360"/>
        <w:divId w:val="216357058"/>
        <w:rPr>
          <w:rFonts w:eastAsia="Times New Roman"/>
        </w:rPr>
      </w:pPr>
      <w:r>
        <w:rPr>
          <w:rFonts w:ascii="Arial" w:eastAsia="Times New Roman" w:hAnsi="Arial" w:cs="Arial"/>
          <w:color w:val="000000"/>
          <w:sz w:val="20"/>
          <w:szCs w:val="20"/>
        </w:rPr>
        <w:t>•higher storage revenue, mainly relating to storage optimization activities.</w:t>
      </w:r>
    </w:p>
    <w:p w:rsidR="00000000" w:rsidRDefault="00EE1167">
      <w:pPr>
        <w:divId w:val="1034430094"/>
        <w:rPr>
          <w:rFonts w:eastAsia="Times New Roman"/>
        </w:rPr>
      </w:pPr>
    </w:p>
    <w:p w:rsidR="00000000" w:rsidRDefault="00EE1167">
      <w:pPr>
        <w:divId w:val="966549030"/>
        <w:rPr>
          <w:rFonts w:eastAsia="Times New Roman"/>
        </w:rPr>
      </w:pPr>
      <w:r>
        <w:rPr>
          <w:rFonts w:ascii="Arial" w:eastAsia="Times New Roman" w:hAnsi="Arial" w:cs="Arial"/>
          <w:color w:val="000000"/>
          <w:sz w:val="20"/>
          <w:szCs w:val="20"/>
        </w:rPr>
        <w:t>The positive business factors abo</w:t>
      </w:r>
      <w:r>
        <w:rPr>
          <w:rFonts w:ascii="Arial" w:eastAsia="Times New Roman" w:hAnsi="Arial" w:cs="Arial"/>
          <w:color w:val="000000"/>
          <w:sz w:val="20"/>
          <w:szCs w:val="20"/>
        </w:rPr>
        <w:t>ve were partially offset by the following factors:</w:t>
      </w:r>
    </w:p>
    <w:p w:rsidR="00000000" w:rsidRDefault="00EE1167">
      <w:pPr>
        <w:ind w:hanging="360"/>
        <w:divId w:val="2060666466"/>
        <w:rPr>
          <w:rFonts w:eastAsia="Times New Roman"/>
        </w:rPr>
      </w:pPr>
      <w:r>
        <w:rPr>
          <w:rFonts w:ascii="Arial" w:eastAsia="Times New Roman" w:hAnsi="Arial" w:cs="Arial"/>
          <w:color w:val="000000"/>
          <w:sz w:val="20"/>
          <w:szCs w:val="20"/>
        </w:rPr>
        <w:t>•higher operating and administrative costs largely related to operational, pipeline integrity and safety costs; and</w:t>
      </w:r>
    </w:p>
    <w:p w:rsidR="00000000" w:rsidRDefault="00EE1167">
      <w:pPr>
        <w:ind w:hanging="360"/>
        <w:divId w:val="913389782"/>
        <w:rPr>
          <w:rFonts w:eastAsia="Times New Roman"/>
        </w:rPr>
      </w:pPr>
      <w:r>
        <w:rPr>
          <w:rFonts w:ascii="Arial" w:eastAsia="Times New Roman" w:hAnsi="Arial" w:cs="Arial"/>
          <w:color w:val="000000"/>
          <w:sz w:val="20"/>
          <w:szCs w:val="20"/>
        </w:rPr>
        <w:t xml:space="preserve">•when compared with the normal weather forecast embedded in rates, weather was warmer in </w:t>
      </w:r>
      <w:r>
        <w:rPr>
          <w:rFonts w:ascii="Arial" w:eastAsia="Times New Roman" w:hAnsi="Arial" w:cs="Arial"/>
          <w:color w:val="000000"/>
          <w:sz w:val="20"/>
          <w:szCs w:val="20"/>
        </w:rPr>
        <w:t>both 2021 and 2020, negatively impacting EBITDA in both years. Warmer than normal weather in 2021 negatively impacted 2021 EBITDA by approximately $24 million while the warmer than normal weather in 2020 negatively impacted 2020 EBITDA by approximately $18</w:t>
      </w:r>
      <w:r>
        <w:rPr>
          <w:rFonts w:ascii="Arial" w:eastAsia="Times New Roman" w:hAnsi="Arial" w:cs="Arial"/>
          <w:color w:val="000000"/>
          <w:sz w:val="20"/>
          <w:szCs w:val="20"/>
        </w:rPr>
        <w:t xml:space="preserve"> million.</w:t>
      </w:r>
    </w:p>
    <w:p w:rsidR="00000000" w:rsidRDefault="00EE1167">
      <w:pPr>
        <w:divId w:val="256259524"/>
        <w:rPr>
          <w:rFonts w:eastAsia="Times New Roman"/>
        </w:rPr>
      </w:pPr>
    </w:p>
    <w:p w:rsidR="00000000" w:rsidRDefault="00EE1167">
      <w:pPr>
        <w:jc w:val="center"/>
        <w:divId w:val="1068041927"/>
        <w:rPr>
          <w:rFonts w:eastAsia="Times New Roman"/>
        </w:rPr>
      </w:pPr>
      <w:r>
        <w:rPr>
          <w:rFonts w:ascii="Arial" w:eastAsia="Times New Roman" w:hAnsi="Arial" w:cs="Arial"/>
          <w:color w:val="000000"/>
          <w:sz w:val="20"/>
          <w:szCs w:val="20"/>
        </w:rPr>
        <w:t>47</w:t>
      </w:r>
    </w:p>
    <w:p w:rsidR="00000000" w:rsidRDefault="00EE1167">
      <w:pPr>
        <w:rPr>
          <w:rFonts w:eastAsia="Times New Roman"/>
        </w:rPr>
      </w:pPr>
      <w:r>
        <w:rPr>
          <w:rFonts w:eastAsia="Times New Roman"/>
        </w:rPr>
        <w:pict>
          <v:rect id="_x0000_i1072" style="width:0;height:1.5pt" o:hralign="center" o:hrstd="t" o:hr="t" fillcolor="#a0a0a0" stroked="f"/>
        </w:pict>
      </w:r>
    </w:p>
    <w:p w:rsidR="00000000" w:rsidRDefault="00EE1167">
      <w:pPr>
        <w:jc w:val="center"/>
        <w:divId w:val="1721585412"/>
        <w:rPr>
          <w:rFonts w:eastAsia="Times New Roman"/>
        </w:rPr>
      </w:pPr>
    </w:p>
    <w:p w:rsidR="00000000" w:rsidRDefault="00EE1167">
      <w:pPr>
        <w:divId w:val="1729108470"/>
        <w:rPr>
          <w:rFonts w:eastAsia="Times New Roman"/>
        </w:rPr>
      </w:pPr>
      <w:r>
        <w:rPr>
          <w:rFonts w:ascii="Arial" w:eastAsia="Times New Roman" w:hAnsi="Arial" w:cs="Arial"/>
          <w:b/>
          <w:bCs/>
          <w:color w:val="000000"/>
          <w:sz w:val="20"/>
          <w:szCs w:val="20"/>
        </w:rPr>
        <w:t>RENEWABLE POWER GENERATION</w:t>
      </w:r>
    </w:p>
    <w:p w:rsidR="00000000" w:rsidRDefault="00EE1167">
      <w:pPr>
        <w:divId w:val="354694662"/>
        <w:rPr>
          <w:rFonts w:eastAsia="Times New Roman"/>
        </w:rPr>
      </w:pPr>
      <w:r>
        <w:rPr>
          <w:rFonts w:ascii="Arial" w:eastAsia="Times New Roman" w:hAnsi="Arial" w:cs="Arial"/>
          <w:color w:val="000000"/>
          <w:sz w:val="2"/>
          <w:szCs w:val="2"/>
        </w:rPr>
        <w:t> </w:t>
      </w:r>
    </w:p>
    <w:p w:rsidR="00000000" w:rsidRDefault="00EE1167">
      <w:pPr>
        <w:divId w:val="366367987"/>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510147869"/>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51014786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510147869"/>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510147869"/>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510147869"/>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EE1167">
            <w:pPr>
              <w:spacing w:after="100"/>
              <w:ind w:hanging="180"/>
              <w:divId w:val="436146299"/>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93 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362</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376 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546842082"/>
        <w:rPr>
          <w:rFonts w:eastAsia="Times New Roman"/>
        </w:rPr>
      </w:pPr>
      <w:r>
        <w:rPr>
          <w:rFonts w:ascii="Arial" w:eastAsia="Times New Roman" w:hAnsi="Arial" w:cs="Arial"/>
          <w:color w:val="000000"/>
          <w:sz w:val="20"/>
          <w:szCs w:val="20"/>
        </w:rPr>
        <w:t> </w:t>
      </w:r>
    </w:p>
    <w:p w:rsidR="00000000" w:rsidRDefault="00EE1167">
      <w:pPr>
        <w:divId w:val="1790128349"/>
        <w:rPr>
          <w:rFonts w:eastAsia="Times New Roman"/>
        </w:rPr>
      </w:pPr>
      <w:r>
        <w:rPr>
          <w:rFonts w:ascii="Arial" w:eastAsia="Times New Roman" w:hAnsi="Arial" w:cs="Arial"/>
          <w:b/>
          <w:bCs/>
          <w:color w:val="000000"/>
          <w:sz w:val="20"/>
          <w:szCs w:val="20"/>
        </w:rPr>
        <w:t>Thr</w:t>
      </w:r>
      <w:r>
        <w:rPr>
          <w:rFonts w:ascii="Arial" w:eastAsia="Times New Roman" w:hAnsi="Arial" w:cs="Arial"/>
          <w:b/>
          <w:bCs/>
          <w:color w:val="000000"/>
          <w:sz w:val="20"/>
          <w:szCs w:val="20"/>
        </w:rPr>
        <w:t>ee months ended September 30, 2021, compared with the three months ended September 30, 2020</w:t>
      </w:r>
    </w:p>
    <w:p w:rsidR="00000000" w:rsidRDefault="00EE1167">
      <w:pPr>
        <w:divId w:val="490020839"/>
        <w:rPr>
          <w:rFonts w:eastAsia="Times New Roman"/>
        </w:rPr>
      </w:pPr>
    </w:p>
    <w:p w:rsidR="00000000" w:rsidRDefault="00EE1167">
      <w:pPr>
        <w:divId w:val="1903826222"/>
        <w:rPr>
          <w:rFonts w:eastAsia="Times New Roman"/>
        </w:rPr>
      </w:pPr>
      <w:r>
        <w:rPr>
          <w:rFonts w:ascii="Arial" w:eastAsia="Times New Roman" w:hAnsi="Arial" w:cs="Arial"/>
          <w:color w:val="000000"/>
          <w:sz w:val="20"/>
          <w:szCs w:val="20"/>
        </w:rPr>
        <w:t>EBITDA was lower by $2 million primarily due to lower wind resources at Canadian wind facilities, which was partially offset by lower mechanical repair costs at c</w:t>
      </w:r>
      <w:r>
        <w:rPr>
          <w:rFonts w:ascii="Arial" w:eastAsia="Times New Roman" w:hAnsi="Arial" w:cs="Arial"/>
          <w:color w:val="000000"/>
          <w:sz w:val="20"/>
          <w:szCs w:val="20"/>
        </w:rPr>
        <w:t>ertain US wind facilities.</w:t>
      </w:r>
    </w:p>
    <w:p w:rsidR="00000000" w:rsidRDefault="00EE1167">
      <w:pPr>
        <w:divId w:val="617371965"/>
        <w:rPr>
          <w:rFonts w:eastAsia="Times New Roman"/>
        </w:rPr>
      </w:pPr>
    </w:p>
    <w:p w:rsidR="00000000" w:rsidRDefault="00EE1167">
      <w:pPr>
        <w:divId w:val="549146605"/>
        <w:rPr>
          <w:rFonts w:eastAsia="Times New Roman"/>
        </w:rPr>
      </w:pPr>
      <w:r>
        <w:rPr>
          <w:rFonts w:ascii="Arial" w:eastAsia="Times New Roman" w:hAnsi="Arial" w:cs="Arial"/>
          <w:b/>
          <w:bCs/>
          <w:color w:val="000000"/>
          <w:sz w:val="20"/>
          <w:szCs w:val="20"/>
        </w:rPr>
        <w:t>Nine months ended September 30, 2021, compared with the nine months ended September 30, 2020</w:t>
      </w:r>
    </w:p>
    <w:p w:rsidR="00000000" w:rsidRDefault="00EE1167">
      <w:pPr>
        <w:divId w:val="1137264836"/>
        <w:rPr>
          <w:rFonts w:eastAsia="Times New Roman"/>
        </w:rPr>
      </w:pPr>
    </w:p>
    <w:p w:rsidR="00000000" w:rsidRDefault="00EE1167">
      <w:pPr>
        <w:divId w:val="472910956"/>
        <w:rPr>
          <w:rFonts w:eastAsia="Times New Roman"/>
        </w:rPr>
      </w:pPr>
      <w:r>
        <w:rPr>
          <w:rFonts w:ascii="Arial" w:eastAsia="Times New Roman" w:hAnsi="Arial" w:cs="Arial"/>
          <w:color w:val="000000"/>
          <w:sz w:val="20"/>
          <w:szCs w:val="20"/>
        </w:rPr>
        <w:t>EBITDA was negatively impacted by $9 million due to certain unusual, infrequent and other non-operating factors, primarily explained</w:t>
      </w:r>
      <w:r>
        <w:rPr>
          <w:rFonts w:ascii="Arial" w:eastAsia="Times New Roman" w:hAnsi="Arial" w:cs="Arial"/>
          <w:color w:val="000000"/>
          <w:sz w:val="20"/>
          <w:szCs w:val="20"/>
        </w:rPr>
        <w:t xml:space="preserve"> by an absence in 2021 of a gain of $13 million related to the sale of the Montana Alberta Tie Line transmission net assets in 2020. </w:t>
      </w:r>
    </w:p>
    <w:p w:rsidR="00000000" w:rsidRDefault="00EE1167">
      <w:pPr>
        <w:divId w:val="118962801"/>
        <w:rPr>
          <w:rFonts w:eastAsia="Times New Roman"/>
        </w:rPr>
      </w:pPr>
    </w:p>
    <w:p w:rsidR="00000000" w:rsidRDefault="00EE1167">
      <w:pPr>
        <w:divId w:val="233442440"/>
        <w:rPr>
          <w:rFonts w:eastAsia="Times New Roman"/>
        </w:rPr>
      </w:pPr>
      <w:r>
        <w:rPr>
          <w:rFonts w:ascii="Arial" w:eastAsia="Times New Roman" w:hAnsi="Arial" w:cs="Arial"/>
          <w:color w:val="000000"/>
          <w:sz w:val="20"/>
          <w:szCs w:val="20"/>
        </w:rPr>
        <w:t>After taking into consideration the factor above, the remaining $5 million decrease is primarily explained by the follow</w:t>
      </w:r>
      <w:r>
        <w:rPr>
          <w:rFonts w:ascii="Arial" w:eastAsia="Times New Roman" w:hAnsi="Arial" w:cs="Arial"/>
          <w:color w:val="000000"/>
          <w:sz w:val="20"/>
          <w:szCs w:val="20"/>
        </w:rPr>
        <w:t>ing business factors:</w:t>
      </w:r>
    </w:p>
    <w:p w:rsidR="00000000" w:rsidRDefault="00EE1167">
      <w:pPr>
        <w:ind w:hanging="360"/>
        <w:divId w:val="938295610"/>
        <w:rPr>
          <w:rFonts w:eastAsia="Times New Roman"/>
        </w:rPr>
      </w:pPr>
      <w:r>
        <w:rPr>
          <w:rFonts w:ascii="Arial" w:eastAsia="Times New Roman" w:hAnsi="Arial" w:cs="Arial"/>
          <w:color w:val="000000"/>
          <w:sz w:val="20"/>
          <w:szCs w:val="20"/>
        </w:rPr>
        <w:t>•    weaker wind resources at Canadian wind facilities and the effects from the winter storm in Texas during February 2021; and</w:t>
      </w:r>
    </w:p>
    <w:p w:rsidR="00000000" w:rsidRDefault="00EE1167">
      <w:pPr>
        <w:ind w:hanging="360"/>
        <w:divId w:val="1888253861"/>
        <w:rPr>
          <w:rFonts w:eastAsia="Times New Roman"/>
        </w:rPr>
      </w:pPr>
      <w:r>
        <w:rPr>
          <w:rFonts w:ascii="Arial" w:eastAsia="Times New Roman" w:hAnsi="Arial" w:cs="Arial"/>
          <w:color w:val="000000"/>
          <w:sz w:val="20"/>
          <w:szCs w:val="20"/>
        </w:rPr>
        <w:t xml:space="preserve">•    the absence in 2021 of reimbursements received in 2020 at certain Canadian wind facilities resulting </w:t>
      </w:r>
      <w:r>
        <w:rPr>
          <w:rFonts w:ascii="Arial" w:eastAsia="Times New Roman" w:hAnsi="Arial" w:cs="Arial"/>
          <w:color w:val="000000"/>
          <w:sz w:val="20"/>
          <w:szCs w:val="20"/>
        </w:rPr>
        <w:t>from a change in operator.</w:t>
      </w:r>
    </w:p>
    <w:p w:rsidR="00000000" w:rsidRDefault="00EE1167">
      <w:pPr>
        <w:ind w:hanging="360"/>
        <w:divId w:val="434442592"/>
        <w:rPr>
          <w:rFonts w:eastAsia="Times New Roman"/>
        </w:rPr>
      </w:pPr>
    </w:p>
    <w:p w:rsidR="00000000" w:rsidRDefault="00EE1167">
      <w:pPr>
        <w:divId w:val="713165064"/>
        <w:rPr>
          <w:rFonts w:eastAsia="Times New Roman"/>
        </w:rPr>
      </w:pPr>
      <w:r>
        <w:rPr>
          <w:rFonts w:ascii="Arial" w:eastAsia="Times New Roman" w:hAnsi="Arial" w:cs="Arial"/>
          <w:color w:val="000000"/>
          <w:sz w:val="20"/>
          <w:szCs w:val="20"/>
        </w:rPr>
        <w:t>The business factors above were partially offset by the sale of a 49% interest of an entity that holds our 50% interest in EMF.</w:t>
      </w:r>
    </w:p>
    <w:p w:rsidR="00000000" w:rsidRDefault="00EE1167">
      <w:pPr>
        <w:divId w:val="141626499"/>
        <w:rPr>
          <w:rFonts w:eastAsia="Times New Roman"/>
        </w:rPr>
      </w:pPr>
    </w:p>
    <w:p w:rsidR="00000000" w:rsidRDefault="00EE1167">
      <w:pPr>
        <w:divId w:val="2032560923"/>
        <w:rPr>
          <w:rFonts w:eastAsia="Times New Roman"/>
        </w:rPr>
      </w:pPr>
      <w:r>
        <w:rPr>
          <w:rFonts w:ascii="Arial" w:eastAsia="Times New Roman" w:hAnsi="Arial" w:cs="Arial"/>
          <w:b/>
          <w:bCs/>
          <w:color w:val="000000"/>
          <w:sz w:val="20"/>
          <w:szCs w:val="20"/>
        </w:rPr>
        <w:t>ENERGY SERVICES</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260185280"/>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26018528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260185280"/>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260185280"/>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shd w:val="clear" w:color="auto" w:fill="D9D9D9"/>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260185280"/>
        </w:trPr>
        <w:tc>
          <w:tcPr>
            <w:tcW w:w="0" w:type="auto"/>
            <w:gridSpan w:val="3"/>
            <w:tcBorders>
              <w:bottom w:val="single" w:sz="18" w:space="0" w:color="000000"/>
            </w:tcBorders>
            <w:tcMar>
              <w:top w:w="30" w:type="dxa"/>
              <w:left w:w="200" w:type="dxa"/>
              <w:bottom w:w="30" w:type="dxa"/>
              <w:right w:w="20" w:type="dxa"/>
            </w:tcMar>
            <w:vAlign w:val="bottom"/>
            <w:hideMark/>
          </w:tcPr>
          <w:p w:rsidR="00000000" w:rsidRDefault="00EE1167">
            <w:pPr>
              <w:spacing w:after="100"/>
              <w:ind w:hanging="180"/>
              <w:rPr>
                <w:rFonts w:eastAsia="Times New Roman"/>
              </w:rPr>
            </w:pPr>
            <w:r>
              <w:rPr>
                <w:rFonts w:ascii="Arial" w:eastAsia="Times New Roman" w:hAnsi="Arial" w:cs="Arial"/>
                <w:color w:val="000000"/>
                <w:sz w:val="20"/>
                <w:szCs w:val="20"/>
              </w:rPr>
              <w:t>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(204)</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(34)</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(379)</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(12)</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243952531"/>
        <w:rPr>
          <w:rFonts w:eastAsia="Times New Roman"/>
        </w:rPr>
      </w:pPr>
    </w:p>
    <w:p w:rsidR="00000000" w:rsidRDefault="00EE1167">
      <w:pPr>
        <w:divId w:val="16349937"/>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EE1167">
      <w:pPr>
        <w:divId w:val="156115992"/>
        <w:rPr>
          <w:rFonts w:eastAsia="Times New Roman"/>
        </w:rPr>
      </w:pPr>
    </w:p>
    <w:p w:rsidR="00000000" w:rsidRDefault="00EE1167">
      <w:pPr>
        <w:jc w:val="center"/>
        <w:divId w:val="996036886"/>
        <w:rPr>
          <w:rFonts w:eastAsia="Times New Roman"/>
        </w:rPr>
      </w:pPr>
      <w:r>
        <w:rPr>
          <w:rFonts w:ascii="Arial" w:eastAsia="Times New Roman" w:hAnsi="Arial" w:cs="Arial"/>
          <w:color w:val="000000"/>
          <w:sz w:val="20"/>
          <w:szCs w:val="20"/>
        </w:rPr>
        <w:t>48</w:t>
      </w:r>
    </w:p>
    <w:p w:rsidR="00000000" w:rsidRDefault="00EE1167">
      <w:pPr>
        <w:rPr>
          <w:rFonts w:eastAsia="Times New Roman"/>
        </w:rPr>
      </w:pPr>
      <w:r>
        <w:rPr>
          <w:rFonts w:eastAsia="Times New Roman"/>
        </w:rPr>
        <w:pict>
          <v:rect id="_x0000_i1073" style="width:0;height:1.5pt" o:hralign="center" o:hrstd="t" o:hr="t" fillcolor="#a0a0a0" stroked="f"/>
        </w:pict>
      </w:r>
    </w:p>
    <w:p w:rsidR="00000000" w:rsidRDefault="00EE1167">
      <w:pPr>
        <w:jc w:val="center"/>
        <w:divId w:val="514616543"/>
        <w:rPr>
          <w:rFonts w:eastAsia="Times New Roman"/>
        </w:rPr>
      </w:pPr>
    </w:p>
    <w:p w:rsidR="00000000" w:rsidRDefault="00EE1167">
      <w:pPr>
        <w:divId w:val="1039085845"/>
        <w:rPr>
          <w:rFonts w:eastAsia="Times New Roman"/>
        </w:rPr>
      </w:pPr>
      <w:r>
        <w:rPr>
          <w:rFonts w:ascii="Arial" w:eastAsia="Times New Roman" w:hAnsi="Arial" w:cs="Arial"/>
          <w:b/>
          <w:bCs/>
          <w:color w:val="000000"/>
          <w:sz w:val="20"/>
          <w:szCs w:val="20"/>
        </w:rPr>
        <w:t xml:space="preserve">Three months ended September 30, 2021, compared </w:t>
      </w:r>
      <w:r>
        <w:rPr>
          <w:rFonts w:ascii="Arial" w:eastAsia="Times New Roman" w:hAnsi="Arial" w:cs="Arial"/>
          <w:b/>
          <w:bCs/>
          <w:color w:val="000000"/>
          <w:sz w:val="20"/>
          <w:szCs w:val="20"/>
        </w:rPr>
        <w:t>with the three months ended September 30, 2020</w:t>
      </w:r>
    </w:p>
    <w:p w:rsidR="00000000" w:rsidRDefault="00EE1167">
      <w:pPr>
        <w:divId w:val="452410135"/>
        <w:rPr>
          <w:rFonts w:eastAsia="Times New Roman"/>
        </w:rPr>
      </w:pPr>
    </w:p>
    <w:p w:rsidR="00000000" w:rsidRDefault="00EE1167">
      <w:pPr>
        <w:divId w:val="1909724833"/>
        <w:rPr>
          <w:rFonts w:eastAsia="Times New Roman"/>
        </w:rPr>
      </w:pPr>
      <w:r>
        <w:rPr>
          <w:rFonts w:ascii="Arial" w:eastAsia="Times New Roman" w:hAnsi="Arial" w:cs="Arial"/>
          <w:color w:val="000000"/>
          <w:sz w:val="20"/>
          <w:szCs w:val="20"/>
        </w:rPr>
        <w:t>EBITDA was negatively impacted by $164 million due to certain non-operating factors, primarily explained by a non-cash, unrealized loss of $88 million in 2021, compared with an unrealized gain of $73 million</w:t>
      </w:r>
      <w:r>
        <w:rPr>
          <w:rFonts w:ascii="Arial" w:eastAsia="Times New Roman" w:hAnsi="Arial" w:cs="Arial"/>
          <w:color w:val="000000"/>
          <w:sz w:val="20"/>
          <w:szCs w:val="20"/>
        </w:rPr>
        <w:t xml:space="preserve"> in 2020, reflecting the revaluation of derivatives used to manage the profitability of transportation and storage transactions, as well as manage the exposure to movements in commodity prices. </w:t>
      </w:r>
    </w:p>
    <w:p w:rsidR="00000000" w:rsidRDefault="00EE1167">
      <w:pPr>
        <w:divId w:val="716468461"/>
        <w:rPr>
          <w:rFonts w:eastAsia="Times New Roman"/>
        </w:rPr>
      </w:pPr>
    </w:p>
    <w:p w:rsidR="00000000" w:rsidRDefault="00EE1167">
      <w:pPr>
        <w:divId w:val="1489708875"/>
        <w:rPr>
          <w:rFonts w:eastAsia="Times New Roman"/>
        </w:rPr>
      </w:pPr>
      <w:r>
        <w:rPr>
          <w:rFonts w:ascii="Arial" w:eastAsia="Times New Roman" w:hAnsi="Arial" w:cs="Arial"/>
          <w:color w:val="000000"/>
          <w:sz w:val="20"/>
          <w:szCs w:val="20"/>
        </w:rPr>
        <w:t>After taking into consideration the factors above, the rema</w:t>
      </w:r>
      <w:r>
        <w:rPr>
          <w:rFonts w:ascii="Arial" w:eastAsia="Times New Roman" w:hAnsi="Arial" w:cs="Arial"/>
          <w:color w:val="000000"/>
          <w:sz w:val="20"/>
          <w:szCs w:val="20"/>
        </w:rPr>
        <w:t>ining $6 million decrease is primarily explained by the significant compression of location and quality differentials in certain markets and limited storage opportunities in 2021 due to market backwardation compared to favorable storage opportunities in 20</w:t>
      </w:r>
      <w:r>
        <w:rPr>
          <w:rFonts w:ascii="Arial" w:eastAsia="Times New Roman" w:hAnsi="Arial" w:cs="Arial"/>
          <w:color w:val="000000"/>
          <w:sz w:val="20"/>
          <w:szCs w:val="20"/>
        </w:rPr>
        <w:t>20.</w:t>
      </w:r>
    </w:p>
    <w:p w:rsidR="00000000" w:rsidRDefault="00EE1167">
      <w:pPr>
        <w:divId w:val="1918786969"/>
        <w:rPr>
          <w:rFonts w:eastAsia="Times New Roman"/>
        </w:rPr>
      </w:pPr>
    </w:p>
    <w:p w:rsidR="00000000" w:rsidRDefault="00EE1167">
      <w:pPr>
        <w:divId w:val="1668315930"/>
        <w:rPr>
          <w:rFonts w:eastAsia="Times New Roman"/>
        </w:rPr>
      </w:pPr>
      <w:r>
        <w:rPr>
          <w:rFonts w:ascii="Arial" w:eastAsia="Times New Roman" w:hAnsi="Arial" w:cs="Arial"/>
          <w:b/>
          <w:bCs/>
          <w:color w:val="000000"/>
          <w:sz w:val="20"/>
          <w:szCs w:val="20"/>
        </w:rPr>
        <w:t>Nine months ended September 30, 2021, compared with the nine months ended September 30, 2020</w:t>
      </w:r>
    </w:p>
    <w:p w:rsidR="00000000" w:rsidRDefault="00EE1167">
      <w:pPr>
        <w:divId w:val="841973736"/>
        <w:rPr>
          <w:rFonts w:eastAsia="Times New Roman"/>
        </w:rPr>
      </w:pPr>
    </w:p>
    <w:p w:rsidR="00000000" w:rsidRDefault="00EE1167">
      <w:pPr>
        <w:divId w:val="507991054"/>
        <w:rPr>
          <w:rFonts w:eastAsia="Times New Roman"/>
        </w:rPr>
      </w:pPr>
      <w:r>
        <w:rPr>
          <w:rFonts w:ascii="Arial" w:eastAsia="Times New Roman" w:hAnsi="Arial" w:cs="Arial"/>
          <w:color w:val="000000"/>
          <w:sz w:val="20"/>
          <w:szCs w:val="20"/>
        </w:rPr>
        <w:t xml:space="preserve">EBITDA was negatively impacted by $127 million due to certain non-operating factors, explained primarily by a non-cash, unrealized loss of $102 million in </w:t>
      </w:r>
      <w:r>
        <w:rPr>
          <w:rFonts w:ascii="Arial" w:eastAsia="Times New Roman" w:hAnsi="Arial" w:cs="Arial"/>
          <w:color w:val="000000"/>
          <w:sz w:val="20"/>
          <w:szCs w:val="20"/>
        </w:rPr>
        <w:t>2021, compared with an unrealized gain of $24 million in 2020, reflecting the revaluation of derivatives used to manage the profitability of transportation and storage transactions, as well as manage the exposure to movements in commodity prices.</w:t>
      </w:r>
    </w:p>
    <w:p w:rsidR="00000000" w:rsidRDefault="00EE1167">
      <w:pPr>
        <w:divId w:val="1323584072"/>
        <w:rPr>
          <w:rFonts w:eastAsia="Times New Roman"/>
        </w:rPr>
      </w:pPr>
    </w:p>
    <w:p w:rsidR="00000000" w:rsidRDefault="00EE1167">
      <w:pPr>
        <w:divId w:val="1341004279"/>
        <w:rPr>
          <w:rFonts w:eastAsia="Times New Roman"/>
        </w:rPr>
      </w:pPr>
      <w:r>
        <w:rPr>
          <w:rFonts w:ascii="Arial" w:eastAsia="Times New Roman" w:hAnsi="Arial" w:cs="Arial"/>
          <w:color w:val="000000"/>
          <w:sz w:val="20"/>
          <w:szCs w:val="20"/>
        </w:rPr>
        <w:t>After t</w:t>
      </w:r>
      <w:r>
        <w:rPr>
          <w:rFonts w:ascii="Arial" w:eastAsia="Times New Roman" w:hAnsi="Arial" w:cs="Arial"/>
          <w:color w:val="000000"/>
          <w:sz w:val="20"/>
          <w:szCs w:val="20"/>
        </w:rPr>
        <w:t>aking into consideration the factors above, the remaining $240 million decrease is primarily explained by the following significant factors:</w:t>
      </w:r>
    </w:p>
    <w:p w:rsidR="00000000" w:rsidRDefault="00EE1167">
      <w:pPr>
        <w:ind w:hanging="360"/>
        <w:divId w:val="440956744"/>
        <w:rPr>
          <w:rFonts w:eastAsia="Times New Roman"/>
        </w:rPr>
      </w:pPr>
      <w:r>
        <w:rPr>
          <w:rFonts w:ascii="Arial" w:eastAsia="Times New Roman" w:hAnsi="Arial" w:cs="Arial"/>
          <w:color w:val="000000"/>
          <w:sz w:val="20"/>
          <w:szCs w:val="20"/>
        </w:rPr>
        <w:t xml:space="preserve">•significant compression of location and quality differentials in certain markets; </w:t>
      </w:r>
    </w:p>
    <w:p w:rsidR="00000000" w:rsidRDefault="00EE1167">
      <w:pPr>
        <w:ind w:hanging="360"/>
        <w:divId w:val="921448802"/>
        <w:rPr>
          <w:rFonts w:eastAsia="Times New Roman"/>
        </w:rPr>
      </w:pPr>
      <w:r>
        <w:rPr>
          <w:rFonts w:ascii="Arial" w:eastAsia="Times New Roman" w:hAnsi="Arial" w:cs="Arial"/>
          <w:color w:val="000000"/>
          <w:sz w:val="20"/>
          <w:szCs w:val="20"/>
        </w:rPr>
        <w:t xml:space="preserve">•limited storage opportunities </w:t>
      </w:r>
      <w:r>
        <w:rPr>
          <w:rFonts w:ascii="Arial" w:eastAsia="Times New Roman" w:hAnsi="Arial" w:cs="Arial"/>
          <w:color w:val="000000"/>
          <w:sz w:val="20"/>
          <w:szCs w:val="20"/>
        </w:rPr>
        <w:t>in 2021 due to market backwardation compared to favorable storage opportunities in 2020;</w:t>
      </w:r>
    </w:p>
    <w:p w:rsidR="00000000" w:rsidRDefault="00EE1167">
      <w:pPr>
        <w:ind w:hanging="360"/>
        <w:divId w:val="157699488"/>
        <w:rPr>
          <w:rFonts w:eastAsia="Times New Roman"/>
        </w:rPr>
      </w:pPr>
      <w:r>
        <w:rPr>
          <w:rFonts w:ascii="Arial" w:eastAsia="Times New Roman" w:hAnsi="Arial" w:cs="Arial"/>
          <w:color w:val="000000"/>
          <w:sz w:val="20"/>
          <w:szCs w:val="20"/>
        </w:rPr>
        <w:t xml:space="preserve">•adverse impacts from the major winter storm experienced across the US Midwest during February 2021; and </w:t>
      </w:r>
    </w:p>
    <w:p w:rsidR="00000000" w:rsidRDefault="00EE1167">
      <w:pPr>
        <w:ind w:hanging="360"/>
        <w:divId w:val="78063464"/>
        <w:rPr>
          <w:rFonts w:eastAsia="Times New Roman"/>
        </w:rPr>
      </w:pPr>
      <w:r>
        <w:rPr>
          <w:rFonts w:ascii="Arial" w:eastAsia="Times New Roman" w:hAnsi="Arial" w:cs="Arial"/>
          <w:color w:val="000000"/>
          <w:sz w:val="20"/>
          <w:szCs w:val="20"/>
        </w:rPr>
        <w:t>•fewer opportunities to achieve profitable transportation mar</w:t>
      </w:r>
      <w:r>
        <w:rPr>
          <w:rFonts w:ascii="Arial" w:eastAsia="Times New Roman" w:hAnsi="Arial" w:cs="Arial"/>
          <w:color w:val="000000"/>
          <w:sz w:val="20"/>
          <w:szCs w:val="20"/>
        </w:rPr>
        <w:t>gins on facilities in which Energy Services holds capacity obligations.</w:t>
      </w:r>
    </w:p>
    <w:p w:rsidR="00000000" w:rsidRDefault="00EE1167">
      <w:pPr>
        <w:divId w:val="1649169095"/>
        <w:rPr>
          <w:rFonts w:eastAsia="Times New Roman"/>
        </w:rPr>
      </w:pPr>
    </w:p>
    <w:p w:rsidR="00000000" w:rsidRDefault="00EE1167">
      <w:pPr>
        <w:divId w:val="1315143505"/>
        <w:rPr>
          <w:rFonts w:eastAsia="Times New Roman"/>
        </w:rPr>
      </w:pPr>
      <w:r>
        <w:rPr>
          <w:rFonts w:ascii="Arial" w:eastAsia="Times New Roman" w:hAnsi="Arial" w:cs="Arial"/>
          <w:b/>
          <w:bCs/>
          <w:color w:val="000000"/>
          <w:sz w:val="20"/>
          <w:szCs w:val="20"/>
        </w:rPr>
        <w:t>ELIMINATIONS AND OTHER</w:t>
      </w:r>
    </w:p>
    <w:p w:rsidR="00000000" w:rsidRDefault="00EE1167">
      <w:pPr>
        <w:divId w:val="1833834149"/>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5"/>
        <w:gridCol w:w="4459"/>
        <w:gridCol w:w="37"/>
        <w:gridCol w:w="65"/>
        <w:gridCol w:w="808"/>
        <w:gridCol w:w="37"/>
        <w:gridCol w:w="65"/>
        <w:gridCol w:w="808"/>
        <w:gridCol w:w="36"/>
        <w:gridCol w:w="36"/>
        <w:gridCol w:w="36"/>
        <w:gridCol w:w="36"/>
        <w:gridCol w:w="61"/>
        <w:gridCol w:w="809"/>
        <w:gridCol w:w="36"/>
        <w:gridCol w:w="66"/>
        <w:gridCol w:w="810"/>
        <w:gridCol w:w="36"/>
      </w:tblGrid>
      <w:tr w:rsidR="00000000">
        <w:trPr>
          <w:divId w:val="590821787"/>
        </w:trPr>
        <w:tc>
          <w:tcPr>
            <w:tcW w:w="50" w:type="pct"/>
            <w:vAlign w:val="center"/>
            <w:hideMark/>
          </w:tcPr>
          <w:p w:rsidR="00000000" w:rsidRDefault="00EE1167">
            <w:pPr>
              <w:rPr>
                <w:rFonts w:eastAsia="Times New Roman"/>
              </w:rPr>
            </w:pPr>
          </w:p>
        </w:tc>
        <w:tc>
          <w:tcPr>
            <w:tcW w:w="269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590821787"/>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590821787"/>
        </w:trPr>
        <w:tc>
          <w:tcPr>
            <w:tcW w:w="0" w:type="auto"/>
            <w:gridSpan w:val="3"/>
            <w:tcMar>
              <w:top w:w="0" w:type="dxa"/>
              <w:left w:w="20" w:type="dxa"/>
              <w:bottom w:w="0" w:type="dxa"/>
              <w:right w:w="20" w:type="dxa"/>
            </w:tcMar>
            <w:vAlign w:val="center"/>
            <w:hideMark/>
          </w:tcPr>
          <w:p w:rsidR="00000000" w:rsidRDefault="00EE1167">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590821787"/>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59082178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EE1167">
            <w:pPr>
              <w:spacing w:after="100"/>
              <w:ind w:hanging="180"/>
              <w:divId w:val="1175803521"/>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(121)</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207 </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191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(498)</w:t>
            </w:r>
          </w:p>
        </w:tc>
        <w:tc>
          <w:tcPr>
            <w:tcW w:w="0" w:type="auto"/>
            <w:tcBorders>
              <w:bottom w:val="single" w:sz="18" w:space="0" w:color="000000"/>
            </w:tcBorders>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20861222"/>
        <w:rPr>
          <w:rFonts w:eastAsia="Times New Roman"/>
        </w:rPr>
      </w:pPr>
      <w:r>
        <w:rPr>
          <w:rFonts w:ascii="Arial" w:eastAsia="Times New Roman" w:hAnsi="Arial" w:cs="Arial"/>
          <w:color w:val="000000"/>
          <w:sz w:val="20"/>
          <w:szCs w:val="20"/>
        </w:rPr>
        <w:t> </w:t>
      </w:r>
    </w:p>
    <w:p w:rsidR="00000000" w:rsidRDefault="00EE1167">
      <w:pPr>
        <w:divId w:val="764813921"/>
        <w:rPr>
          <w:rFonts w:eastAsia="Times New Roman"/>
        </w:rPr>
      </w:pPr>
      <w:r>
        <w:rPr>
          <w:rFonts w:ascii="Arial" w:eastAsia="Times New Roman" w:hAnsi="Arial" w:cs="Arial"/>
          <w:color w:val="000000"/>
          <w:sz w:val="20"/>
          <w:szCs w:val="20"/>
        </w:rPr>
        <w:t>Eli</w:t>
      </w:r>
      <w:r>
        <w:rPr>
          <w:rFonts w:ascii="Arial" w:eastAsia="Times New Roman" w:hAnsi="Arial" w:cs="Arial"/>
          <w:color w:val="000000"/>
          <w:sz w:val="20"/>
          <w:szCs w:val="20"/>
        </w:rPr>
        <w:t>minations and Other includes operating and administrative costs and the impact of foreign exchange hedge settlements, which are not allocated to business segments. Eliminations and Other also includes the impact of new business development activities and c</w:t>
      </w:r>
      <w:r>
        <w:rPr>
          <w:rFonts w:ascii="Arial" w:eastAsia="Times New Roman" w:hAnsi="Arial" w:cs="Arial"/>
          <w:color w:val="000000"/>
          <w:sz w:val="20"/>
          <w:szCs w:val="20"/>
        </w:rPr>
        <w:t>orporate investments.</w:t>
      </w:r>
    </w:p>
    <w:p w:rsidR="00000000" w:rsidRDefault="00EE1167">
      <w:pPr>
        <w:divId w:val="1910730296"/>
        <w:rPr>
          <w:rFonts w:eastAsia="Times New Roman"/>
        </w:rPr>
      </w:pPr>
    </w:p>
    <w:p w:rsidR="00000000" w:rsidRDefault="00EE1167">
      <w:pPr>
        <w:divId w:val="347827487"/>
        <w:rPr>
          <w:rFonts w:eastAsia="Times New Roman"/>
        </w:rPr>
      </w:pPr>
      <w:r>
        <w:rPr>
          <w:rFonts w:ascii="Arial" w:eastAsia="Times New Roman" w:hAnsi="Arial" w:cs="Arial"/>
          <w:b/>
          <w:bCs/>
          <w:color w:val="000000"/>
          <w:sz w:val="20"/>
          <w:szCs w:val="20"/>
        </w:rPr>
        <w:t>Three months ended September 30, 2021, compared with the three months ended September 30, 2020</w:t>
      </w:r>
    </w:p>
    <w:p w:rsidR="00000000" w:rsidRDefault="00EE1167">
      <w:pPr>
        <w:divId w:val="1538664950"/>
        <w:rPr>
          <w:rFonts w:eastAsia="Times New Roman"/>
        </w:rPr>
      </w:pPr>
    </w:p>
    <w:p w:rsidR="00000000" w:rsidRDefault="00EE1167">
      <w:pPr>
        <w:divId w:val="1648704959"/>
        <w:rPr>
          <w:rFonts w:eastAsia="Times New Roman"/>
        </w:rPr>
      </w:pPr>
      <w:r>
        <w:rPr>
          <w:rFonts w:ascii="Arial" w:eastAsia="Times New Roman" w:hAnsi="Arial" w:cs="Arial"/>
          <w:color w:val="000000"/>
          <w:sz w:val="20"/>
          <w:szCs w:val="20"/>
        </w:rPr>
        <w:t xml:space="preserve">EBITDA was negatively impacted by $422 million due to certain non-operating factors, primarily explained by an unrealized loss of $214 </w:t>
      </w:r>
      <w:r>
        <w:rPr>
          <w:rFonts w:ascii="Arial" w:eastAsia="Times New Roman" w:hAnsi="Arial" w:cs="Arial"/>
          <w:color w:val="000000"/>
          <w:sz w:val="20"/>
          <w:szCs w:val="20"/>
        </w:rPr>
        <w:t>million in 2021, compared with an unrealized gain of $198 million in 2020, reflecting the change in the mark-to-market value of derivative financial instruments used to manage foreign exchange risk.</w:t>
      </w:r>
    </w:p>
    <w:p w:rsidR="00000000" w:rsidRDefault="00EE1167">
      <w:pPr>
        <w:divId w:val="1873416138"/>
        <w:rPr>
          <w:rFonts w:eastAsia="Times New Roman"/>
        </w:rPr>
      </w:pPr>
    </w:p>
    <w:p w:rsidR="00000000" w:rsidRDefault="00EE1167">
      <w:pPr>
        <w:jc w:val="center"/>
        <w:divId w:val="1286348376"/>
        <w:rPr>
          <w:rFonts w:eastAsia="Times New Roman"/>
        </w:rPr>
      </w:pPr>
      <w:r>
        <w:rPr>
          <w:rFonts w:ascii="Arial" w:eastAsia="Times New Roman" w:hAnsi="Arial" w:cs="Arial"/>
          <w:color w:val="000000"/>
          <w:sz w:val="20"/>
          <w:szCs w:val="20"/>
        </w:rPr>
        <w:t>49</w:t>
      </w:r>
    </w:p>
    <w:p w:rsidR="00000000" w:rsidRDefault="00EE1167">
      <w:pPr>
        <w:rPr>
          <w:rFonts w:eastAsia="Times New Roman"/>
        </w:rPr>
      </w:pPr>
      <w:r>
        <w:rPr>
          <w:rFonts w:eastAsia="Times New Roman"/>
        </w:rPr>
        <w:pict>
          <v:rect id="_x0000_i1074" style="width:0;height:1.5pt" o:hralign="center" o:hrstd="t" o:hr="t" fillcolor="#a0a0a0" stroked="f"/>
        </w:pict>
      </w:r>
    </w:p>
    <w:p w:rsidR="00000000" w:rsidRDefault="00EE1167">
      <w:pPr>
        <w:jc w:val="center"/>
        <w:divId w:val="934097322"/>
        <w:rPr>
          <w:rFonts w:eastAsia="Times New Roman"/>
        </w:rPr>
      </w:pPr>
    </w:p>
    <w:p w:rsidR="00000000" w:rsidRDefault="00EE1167">
      <w:pPr>
        <w:divId w:val="1395153344"/>
        <w:rPr>
          <w:rFonts w:eastAsia="Times New Roman"/>
        </w:rPr>
      </w:pPr>
      <w:r>
        <w:rPr>
          <w:rFonts w:ascii="Arial" w:eastAsia="Times New Roman" w:hAnsi="Arial" w:cs="Arial"/>
          <w:color w:val="000000"/>
          <w:sz w:val="20"/>
          <w:szCs w:val="20"/>
        </w:rPr>
        <w:t>After taking i</w:t>
      </w:r>
      <w:r>
        <w:rPr>
          <w:rFonts w:ascii="Arial" w:eastAsia="Times New Roman" w:hAnsi="Arial" w:cs="Arial"/>
          <w:color w:val="000000"/>
          <w:sz w:val="20"/>
          <w:szCs w:val="20"/>
        </w:rPr>
        <w:t xml:space="preserve">nto consideration the non-operating factors above, the remaining $94 million increase is primarily explained by realized gains related to settlements under our enterprise-wide foreign exchange risk management program which substantially offset the foreign </w:t>
      </w:r>
      <w:r>
        <w:rPr>
          <w:rFonts w:ascii="Arial" w:eastAsia="Times New Roman" w:hAnsi="Arial" w:cs="Arial"/>
          <w:color w:val="000000"/>
          <w:sz w:val="20"/>
          <w:szCs w:val="20"/>
        </w:rPr>
        <w:t xml:space="preserve">currency exposures realized within our business segments' results. </w:t>
      </w:r>
    </w:p>
    <w:p w:rsidR="00000000" w:rsidRDefault="00EE1167">
      <w:pPr>
        <w:divId w:val="1104617336"/>
        <w:rPr>
          <w:rFonts w:eastAsia="Times New Roman"/>
        </w:rPr>
      </w:pPr>
    </w:p>
    <w:p w:rsidR="00000000" w:rsidRDefault="00EE1167">
      <w:pPr>
        <w:divId w:val="1080327551"/>
        <w:rPr>
          <w:rFonts w:eastAsia="Times New Roman"/>
        </w:rPr>
      </w:pPr>
      <w:r>
        <w:rPr>
          <w:rFonts w:ascii="Arial" w:eastAsia="Times New Roman" w:hAnsi="Arial" w:cs="Arial"/>
          <w:b/>
          <w:bCs/>
          <w:color w:val="000000"/>
          <w:sz w:val="20"/>
          <w:szCs w:val="20"/>
        </w:rPr>
        <w:t>Nine months ended September 30, 2021, compared with the nine months ended September 30, 2020</w:t>
      </w:r>
    </w:p>
    <w:p w:rsidR="00000000" w:rsidRDefault="00EE1167">
      <w:pPr>
        <w:divId w:val="579408806"/>
        <w:rPr>
          <w:rFonts w:eastAsia="Times New Roman"/>
        </w:rPr>
      </w:pPr>
    </w:p>
    <w:p w:rsidR="00000000" w:rsidRDefault="00EE1167">
      <w:pPr>
        <w:divId w:val="1676876789"/>
        <w:rPr>
          <w:rFonts w:eastAsia="Times New Roman"/>
        </w:rPr>
      </w:pPr>
      <w:r>
        <w:rPr>
          <w:rFonts w:ascii="Arial" w:eastAsia="Times New Roman" w:hAnsi="Arial" w:cs="Arial"/>
          <w:color w:val="000000"/>
          <w:sz w:val="20"/>
          <w:szCs w:val="20"/>
        </w:rPr>
        <w:t>EBITDA was positively impacted by $414 million due to certain unusual, infrequent and other non-operating factors, primarily explained by the following:</w:t>
      </w:r>
    </w:p>
    <w:p w:rsidR="00000000" w:rsidRDefault="00EE1167">
      <w:pPr>
        <w:ind w:hanging="360"/>
        <w:divId w:val="302779008"/>
        <w:rPr>
          <w:rFonts w:eastAsia="Times New Roman"/>
        </w:rPr>
      </w:pPr>
      <w:r>
        <w:rPr>
          <w:rFonts w:ascii="Arial" w:eastAsia="Times New Roman" w:hAnsi="Arial" w:cs="Arial"/>
          <w:color w:val="000000"/>
          <w:sz w:val="20"/>
          <w:szCs w:val="20"/>
        </w:rPr>
        <w:t>•a non-cash, unrealized loss of $17 million in 2021, compared with an unrealized loss of $115 million i</w:t>
      </w:r>
      <w:r>
        <w:rPr>
          <w:rFonts w:ascii="Arial" w:eastAsia="Times New Roman" w:hAnsi="Arial" w:cs="Arial"/>
          <w:color w:val="000000"/>
          <w:sz w:val="20"/>
          <w:szCs w:val="20"/>
        </w:rPr>
        <w:t>n 2020, reflecting the change in the mark-to-market value of derivative financial instruments used to manage foreign exchange risk;</w:t>
      </w:r>
    </w:p>
    <w:p w:rsidR="00000000" w:rsidRDefault="00EE1167">
      <w:pPr>
        <w:ind w:hanging="360"/>
        <w:divId w:val="1246459242"/>
        <w:rPr>
          <w:rFonts w:eastAsia="Times New Roman"/>
        </w:rPr>
      </w:pPr>
      <w:r>
        <w:rPr>
          <w:rFonts w:ascii="Arial" w:eastAsia="Times New Roman" w:hAnsi="Arial" w:cs="Arial"/>
          <w:color w:val="000000"/>
          <w:sz w:val="20"/>
          <w:szCs w:val="20"/>
        </w:rPr>
        <w:t>•employee severance, transition and transformation costs of $60 million in 2021, compared to $259 million in 2020;</w:t>
      </w:r>
    </w:p>
    <w:p w:rsidR="00000000" w:rsidRDefault="00EE1167">
      <w:pPr>
        <w:ind w:hanging="360"/>
        <w:divId w:val="106002435"/>
        <w:rPr>
          <w:rFonts w:eastAsia="Times New Roman"/>
        </w:rPr>
      </w:pPr>
      <w:r>
        <w:rPr>
          <w:rFonts w:ascii="Arial" w:eastAsia="Times New Roman" w:hAnsi="Arial" w:cs="Arial"/>
          <w:color w:val="000000"/>
          <w:sz w:val="20"/>
          <w:szCs w:val="20"/>
        </w:rPr>
        <w:t>•the abse</w:t>
      </w:r>
      <w:r>
        <w:rPr>
          <w:rFonts w:ascii="Arial" w:eastAsia="Times New Roman" w:hAnsi="Arial" w:cs="Arial"/>
          <w:color w:val="000000"/>
          <w:sz w:val="20"/>
          <w:szCs w:val="20"/>
        </w:rPr>
        <w:t>nce in 2021 of a loss of $74 million in 2020 relating to the recognition of a corporate guarantee obligation; and</w:t>
      </w:r>
    </w:p>
    <w:p w:rsidR="00000000" w:rsidRDefault="00EE1167">
      <w:pPr>
        <w:ind w:hanging="360"/>
        <w:divId w:val="731387028"/>
        <w:rPr>
          <w:rFonts w:eastAsia="Times New Roman"/>
        </w:rPr>
      </w:pPr>
      <w:r>
        <w:rPr>
          <w:rFonts w:ascii="Arial" w:eastAsia="Times New Roman" w:hAnsi="Arial" w:cs="Arial"/>
          <w:color w:val="000000"/>
          <w:sz w:val="20"/>
          <w:szCs w:val="20"/>
        </w:rPr>
        <w:t>•the absence in 2021 of a loss of $43 million in 2020 relating to the write-down of certain investments in emerging energy and other technolog</w:t>
      </w:r>
      <w:r>
        <w:rPr>
          <w:rFonts w:ascii="Arial" w:eastAsia="Times New Roman" w:hAnsi="Arial" w:cs="Arial"/>
          <w:color w:val="000000"/>
          <w:sz w:val="20"/>
          <w:szCs w:val="20"/>
        </w:rPr>
        <w:t>ies.</w:t>
      </w:r>
    </w:p>
    <w:p w:rsidR="00000000" w:rsidRDefault="00EE1167">
      <w:pPr>
        <w:divId w:val="137963918"/>
        <w:rPr>
          <w:rFonts w:eastAsia="Times New Roman"/>
        </w:rPr>
      </w:pPr>
    </w:p>
    <w:p w:rsidR="00000000" w:rsidRDefault="00EE1167">
      <w:pPr>
        <w:divId w:val="1367680451"/>
        <w:rPr>
          <w:rFonts w:eastAsia="Times New Roman"/>
        </w:rPr>
      </w:pPr>
      <w:r>
        <w:rPr>
          <w:rFonts w:ascii="Arial" w:eastAsia="Times New Roman" w:hAnsi="Arial" w:cs="Arial"/>
          <w:color w:val="000000"/>
          <w:sz w:val="20"/>
          <w:szCs w:val="20"/>
        </w:rPr>
        <w:t>After taking into consideration the non-operating factors above, the remaining $275 million increase is primarily explained by realized gains related to settlements under our enterprise-wide foreign exchange risk management program which substantial</w:t>
      </w:r>
      <w:r>
        <w:rPr>
          <w:rFonts w:ascii="Arial" w:eastAsia="Times New Roman" w:hAnsi="Arial" w:cs="Arial"/>
          <w:color w:val="000000"/>
          <w:sz w:val="20"/>
          <w:szCs w:val="20"/>
        </w:rPr>
        <w:t xml:space="preserve">ly offset the foreign currency exposures realized within our business segments' results. </w:t>
      </w:r>
    </w:p>
    <w:p w:rsidR="00000000" w:rsidRDefault="00EE1167">
      <w:pPr>
        <w:divId w:val="890265974"/>
        <w:rPr>
          <w:rFonts w:eastAsia="Times New Roman"/>
        </w:rPr>
      </w:pPr>
    </w:p>
    <w:p w:rsidR="00000000" w:rsidRDefault="00EE1167">
      <w:pPr>
        <w:jc w:val="center"/>
        <w:divId w:val="469519815"/>
        <w:rPr>
          <w:rFonts w:eastAsia="Times New Roman"/>
        </w:rPr>
      </w:pPr>
      <w:r>
        <w:rPr>
          <w:rFonts w:ascii="Arial" w:eastAsia="Times New Roman" w:hAnsi="Arial" w:cs="Arial"/>
          <w:color w:val="000000"/>
          <w:sz w:val="20"/>
          <w:szCs w:val="20"/>
        </w:rPr>
        <w:t>50</w:t>
      </w:r>
    </w:p>
    <w:p w:rsidR="00000000" w:rsidRDefault="00EE1167">
      <w:pPr>
        <w:rPr>
          <w:rFonts w:eastAsia="Times New Roman"/>
        </w:rPr>
      </w:pPr>
      <w:r>
        <w:rPr>
          <w:rFonts w:eastAsia="Times New Roman"/>
        </w:rPr>
        <w:pict>
          <v:rect id="_x0000_i1075" style="width:0;height:1.5pt" o:hralign="center" o:hrstd="t" o:hr="t" fillcolor="#a0a0a0" stroked="f"/>
        </w:pict>
      </w:r>
    </w:p>
    <w:p w:rsidR="00000000" w:rsidRDefault="00EE1167">
      <w:pPr>
        <w:jc w:val="center"/>
        <w:divId w:val="523634511"/>
        <w:rPr>
          <w:rFonts w:eastAsia="Times New Roman"/>
        </w:rPr>
      </w:pPr>
    </w:p>
    <w:p w:rsidR="00000000" w:rsidRDefault="00EE1167">
      <w:pPr>
        <w:divId w:val="1747876437"/>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EE1167">
      <w:pPr>
        <w:divId w:val="1301231535"/>
        <w:rPr>
          <w:rFonts w:eastAsia="Times New Roman"/>
        </w:rPr>
      </w:pPr>
      <w:r>
        <w:rPr>
          <w:rFonts w:ascii="Arial" w:eastAsia="Times New Roman" w:hAnsi="Arial" w:cs="Arial"/>
          <w:b/>
          <w:bCs/>
          <w:color w:val="000000"/>
          <w:sz w:val="20"/>
          <w:szCs w:val="20"/>
        </w:rPr>
        <w:t> </w:t>
      </w:r>
    </w:p>
    <w:p w:rsidR="00000000" w:rsidRDefault="00EE1167">
      <w:pPr>
        <w:divId w:val="1107189812"/>
        <w:rPr>
          <w:rFonts w:eastAsia="Times New Roman"/>
        </w:rPr>
      </w:pPr>
      <w:r>
        <w:rPr>
          <w:rFonts w:ascii="Arial" w:eastAsia="Times New Roman" w:hAnsi="Arial" w:cs="Arial"/>
          <w:color w:val="000000"/>
          <w:sz w:val="20"/>
          <w:szCs w:val="20"/>
        </w:rPr>
        <w:t>The following table summarizes the status of our significant commercial</w:t>
      </w:r>
      <w:r>
        <w:rPr>
          <w:rFonts w:ascii="Arial" w:eastAsia="Times New Roman" w:hAnsi="Arial" w:cs="Arial"/>
          <w:color w:val="000000"/>
          <w:sz w:val="20"/>
          <w:szCs w:val="20"/>
        </w:rPr>
        <w:t>ly secured projects, organized by business segment:</w:t>
      </w:r>
    </w:p>
    <w:tbl>
      <w:tblPr>
        <w:tblW w:w="5000" w:type="pct"/>
        <w:tblCellMar>
          <w:top w:w="15" w:type="dxa"/>
          <w:left w:w="15" w:type="dxa"/>
          <w:bottom w:w="15" w:type="dxa"/>
          <w:right w:w="15" w:type="dxa"/>
        </w:tblCellMar>
        <w:tblLook w:val="04A0" w:firstRow="1" w:lastRow="0" w:firstColumn="1" w:lastColumn="0" w:noHBand="0" w:noVBand="1"/>
      </w:tblPr>
      <w:tblGrid>
        <w:gridCol w:w="74"/>
        <w:gridCol w:w="238"/>
        <w:gridCol w:w="36"/>
        <w:gridCol w:w="61"/>
        <w:gridCol w:w="1489"/>
        <w:gridCol w:w="38"/>
        <w:gridCol w:w="88"/>
        <w:gridCol w:w="978"/>
        <w:gridCol w:w="198"/>
        <w:gridCol w:w="63"/>
        <w:gridCol w:w="927"/>
        <w:gridCol w:w="36"/>
        <w:gridCol w:w="85"/>
        <w:gridCol w:w="1214"/>
        <w:gridCol w:w="36"/>
        <w:gridCol w:w="84"/>
        <w:gridCol w:w="1027"/>
        <w:gridCol w:w="36"/>
        <w:gridCol w:w="73"/>
        <w:gridCol w:w="85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316349635"/>
        </w:trPr>
        <w:tc>
          <w:tcPr>
            <w:tcW w:w="50" w:type="pct"/>
            <w:vAlign w:val="center"/>
            <w:hideMark/>
          </w:tcPr>
          <w:p w:rsidR="00000000" w:rsidRDefault="00EE1167">
            <w:pPr>
              <w:rPr>
                <w:rFonts w:eastAsia="Times New Roman"/>
              </w:rPr>
            </w:pPr>
          </w:p>
        </w:tc>
        <w:tc>
          <w:tcPr>
            <w:tcW w:w="1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123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3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71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61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86"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EE1167">
            <w:pPr>
              <w:spacing w:after="100"/>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Statu</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gridAfter w:val="21"/>
          <w:divId w:val="316349635"/>
        </w:trPr>
        <w:tc>
          <w:tcPr>
            <w:tcW w:w="0" w:type="auto"/>
            <w:gridSpan w:val="9"/>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9"/>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1.</w:t>
            </w:r>
          </w:p>
        </w:tc>
        <w:tc>
          <w:tcPr>
            <w:tcW w:w="0" w:type="auto"/>
            <w:gridSpan w:val="3"/>
            <w:tcBorders>
              <w:top w:val="single" w:sz="4"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 xml:space="preserve">US Line 3 Replacement Program </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US$4.0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In-service</w:t>
            </w: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2.</w:t>
            </w:r>
          </w:p>
        </w:tc>
        <w:tc>
          <w:tcPr>
            <w:tcW w:w="0" w:type="auto"/>
            <w:gridSpan w:val="3"/>
            <w:tcBorders>
              <w:top w:val="single" w:sz="4"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Southern Access Expansion</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In-service</w:t>
            </w: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3.</w:t>
            </w:r>
          </w:p>
        </w:tc>
        <w:tc>
          <w:tcPr>
            <w:tcW w:w="0" w:type="auto"/>
            <w:gridSpan w:val="3"/>
            <w:tcBorders>
              <w:top w:val="single" w:sz="4" w:space="0" w:color="000000"/>
              <w:bottom w:val="single" w:sz="4"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Other - US</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Complete</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In-service</w:t>
            </w:r>
          </w:p>
        </w:tc>
      </w:tr>
      <w:tr w:rsidR="00000000">
        <w:trPr>
          <w:gridAfter w:val="21"/>
          <w:divId w:val="316349635"/>
        </w:trPr>
        <w:tc>
          <w:tcPr>
            <w:tcW w:w="0" w:type="auto"/>
            <w:gridSpan w:val="9"/>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4.</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ind w:hanging="180"/>
              <w:divId w:val="1583444173"/>
              <w:rPr>
                <w:rFonts w:eastAsia="Times New Roman"/>
              </w:rPr>
            </w:pPr>
            <w:r>
              <w:rPr>
                <w:rFonts w:ascii="Arial" w:eastAsia="Times New Roman" w:hAnsi="Arial" w:cs="Arial"/>
                <w:color w:val="000000"/>
                <w:sz w:val="20"/>
                <w:szCs w:val="20"/>
              </w:rPr>
              <w:t>T-South Reliability &amp; Expansion Progra</w:t>
            </w:r>
            <w:r>
              <w:rPr>
                <w:rFonts w:ascii="Arial" w:eastAsia="Times New Roman" w:hAnsi="Arial" w:cs="Arial"/>
                <w:color w:val="000000"/>
                <w:sz w:val="20"/>
                <w:szCs w:val="20"/>
              </w:rPr>
              <w:t>m</w:t>
            </w:r>
            <w:r>
              <w:rPr>
                <w:rFonts w:ascii="Arial" w:eastAsia="Times New Roman" w:hAnsi="Arial" w:cs="Arial"/>
                <w:color w:val="000000"/>
                <w:sz w:val="10"/>
                <w:szCs w:val="10"/>
              </w:rPr>
              <w:t>3</w:t>
            </w:r>
            <w:r>
              <w:rPr>
                <w:rFonts w:ascii="Arial" w:eastAsia="Times New Roman" w:hAnsi="Arial" w:cs="Arial"/>
                <w:color w:val="000000"/>
                <w:sz w:val="10"/>
                <w:szCs w:val="10"/>
              </w:rPr>
              <w:t xml:space="preserve"> </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5.</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ind w:hanging="180"/>
              <w:divId w:val="173963339"/>
              <w:rPr>
                <w:rFonts w:eastAsia="Times New Roman"/>
              </w:rPr>
            </w:pPr>
            <w:r>
              <w:rPr>
                <w:rFonts w:ascii="Arial" w:eastAsia="Times New Roman" w:hAnsi="Arial" w:cs="Arial"/>
                <w:color w:val="000000"/>
                <w:sz w:val="20"/>
                <w:szCs w:val="20"/>
              </w:rPr>
              <w:t>Spruce Ridge Projec</w:t>
            </w:r>
            <w:r>
              <w:rPr>
                <w:rFonts w:ascii="Arial" w:eastAsia="Times New Roman" w:hAnsi="Arial" w:cs="Arial"/>
                <w:color w:val="000000"/>
                <w:sz w:val="20"/>
                <w:szCs w:val="20"/>
              </w:rPr>
              <w:t>t</w:t>
            </w:r>
            <w:r>
              <w:rPr>
                <w:rFonts w:ascii="Arial" w:eastAsia="Times New Roman" w:hAnsi="Arial" w:cs="Arial"/>
                <w:color w:val="000000"/>
                <w:sz w:val="10"/>
                <w:szCs w:val="10"/>
              </w:rPr>
              <w:t>3</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$0.5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$0.4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Q4 - 2021</w:t>
            </w:r>
          </w:p>
        </w:tc>
      </w:tr>
      <w:tr w:rsidR="00000000">
        <w:trPr>
          <w:gridAfter w:val="21"/>
          <w:divId w:val="316349635"/>
        </w:trPr>
        <w:tc>
          <w:tcPr>
            <w:tcW w:w="0" w:type="auto"/>
            <w:gridSpan w:val="3"/>
            <w:vAlign w:val="center"/>
            <w:hideMark/>
          </w:tcPr>
          <w:p w:rsidR="00000000" w:rsidRDefault="00EE1167">
            <w:pPr>
              <w:spacing w:after="100"/>
              <w:jc w:val="right"/>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6.</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EE1167">
            <w:pPr>
              <w:spacing w:after="100"/>
              <w:ind w:hanging="180"/>
              <w:divId w:val="299699880"/>
              <w:rPr>
                <w:rFonts w:eastAsia="Times New Roman"/>
              </w:rPr>
            </w:pPr>
            <w:r>
              <w:rPr>
                <w:rFonts w:ascii="Arial" w:eastAsia="Times New Roman" w:hAnsi="Arial" w:cs="Arial"/>
                <w:color w:val="000000"/>
                <w:sz w:val="20"/>
                <w:szCs w:val="20"/>
              </w:rPr>
              <w:t>Other - U</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US$0.6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US$0.4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2021 - 2023</w:t>
            </w:r>
          </w:p>
        </w:tc>
      </w:tr>
      <w:tr w:rsidR="00000000">
        <w:trPr>
          <w:gridAfter w:val="21"/>
          <w:divId w:val="316349635"/>
        </w:trPr>
        <w:tc>
          <w:tcPr>
            <w:tcW w:w="0" w:type="auto"/>
            <w:gridSpan w:val="9"/>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7.</w:t>
            </w:r>
          </w:p>
        </w:tc>
        <w:tc>
          <w:tcPr>
            <w:tcW w:w="0" w:type="auto"/>
            <w:gridSpan w:val="3"/>
            <w:tcBorders>
              <w:top w:val="single" w:sz="4"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 xml:space="preserve">System Enhancement Projects </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$0.4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2021 - 2023</w:t>
            </w: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8.</w:t>
            </w:r>
          </w:p>
        </w:tc>
        <w:tc>
          <w:tcPr>
            <w:tcW w:w="0" w:type="auto"/>
            <w:gridSpan w:val="3"/>
            <w:tcBorders>
              <w:top w:val="single" w:sz="4"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Storage Enhancements</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2021 - 2022</w:t>
            </w: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9.</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EE1167">
            <w:pPr>
              <w:spacing w:after="100"/>
              <w:ind w:hanging="180"/>
              <w:divId w:val="1544057544"/>
              <w:rPr>
                <w:rFonts w:eastAsia="Times New Roman"/>
              </w:rPr>
            </w:pPr>
            <w:r>
              <w:rPr>
                <w:rFonts w:ascii="Arial" w:eastAsia="Times New Roman" w:hAnsi="Arial" w:cs="Arial"/>
                <w:color w:val="000000"/>
                <w:sz w:val="20"/>
                <w:szCs w:val="20"/>
              </w:rPr>
              <w:t>Natural Gas Expansion Progra</w:t>
            </w:r>
            <w:r>
              <w:rPr>
                <w:rFonts w:ascii="Arial" w:eastAsia="Times New Roman" w:hAnsi="Arial" w:cs="Arial"/>
                <w:color w:val="000000"/>
                <w:sz w:val="20"/>
                <w:szCs w:val="20"/>
              </w:rPr>
              <w:t>m</w:t>
            </w:r>
            <w:r>
              <w:rPr>
                <w:rFonts w:ascii="Arial" w:eastAsia="Times New Roman" w:hAnsi="Arial" w:cs="Arial"/>
                <w:color w:val="000000"/>
                <w:sz w:val="10"/>
                <w:szCs w:val="10"/>
              </w:rPr>
              <w:t>5</w:t>
            </w:r>
          </w:p>
        </w:tc>
        <w:tc>
          <w:tcPr>
            <w:tcW w:w="0" w:type="auto"/>
            <w:gridSpan w:val="2"/>
            <w:tcBorders>
              <w:top w:val="single" w:sz="4" w:space="0" w:color="000000"/>
              <w:bottom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4" w:space="0" w:color="000000"/>
              <w:bottom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4" w:space="0" w:color="000000"/>
              <w:bottom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2022 - 2027</w:t>
            </w:r>
          </w:p>
        </w:tc>
      </w:tr>
      <w:tr w:rsidR="00000000">
        <w:trPr>
          <w:gridAfter w:val="21"/>
          <w:divId w:val="316349635"/>
        </w:trPr>
        <w:tc>
          <w:tcPr>
            <w:tcW w:w="0" w:type="auto"/>
            <w:gridSpan w:val="15"/>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gridAfter w:val="21"/>
          <w:divId w:val="316349635"/>
        </w:trPr>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10.</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ind w:hanging="180"/>
              <w:divId w:val="173150235"/>
              <w:rPr>
                <w:rFonts w:eastAsia="Times New Roman"/>
              </w:rPr>
            </w:pPr>
            <w:r>
              <w:rPr>
                <w:rFonts w:ascii="Arial" w:eastAsia="Times New Roman" w:hAnsi="Arial" w:cs="Arial"/>
                <w:color w:val="000000"/>
                <w:sz w:val="20"/>
                <w:szCs w:val="20"/>
              </w:rPr>
              <w:t>East-West Tie Line</w:t>
            </w:r>
          </w:p>
        </w:tc>
        <w:tc>
          <w:tcPr>
            <w:tcW w:w="0" w:type="auto"/>
            <w:gridSpan w:val="2"/>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25.0 </w:t>
            </w:r>
          </w:p>
        </w:tc>
        <w:tc>
          <w:tcPr>
            <w:tcW w:w="0" w:type="auto"/>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1H - 2022</w:t>
            </w:r>
          </w:p>
        </w:tc>
      </w:tr>
      <w:tr w:rsidR="00000000">
        <w:trPr>
          <w:gridAfter w:val="21"/>
          <w:divId w:val="316349635"/>
          <w:trHeight w:val="48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11.</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ind w:hanging="180"/>
              <w:divId w:val="1886024758"/>
              <w:rPr>
                <w:rFonts w:eastAsia="Times New Roman"/>
              </w:rPr>
            </w:pPr>
            <w:r>
              <w:rPr>
                <w:rFonts w:ascii="Arial" w:eastAsia="Times New Roman" w:hAnsi="Arial" w:cs="Arial"/>
                <w:color w:val="000000"/>
                <w:sz w:val="20"/>
                <w:szCs w:val="20"/>
              </w:rPr>
              <w:t>Solar Self-Power Project</w:t>
            </w:r>
            <w:r>
              <w:rPr>
                <w:rFonts w:ascii="Arial" w:eastAsia="Times New Roman" w:hAnsi="Arial" w:cs="Arial"/>
                <w:color w:val="000000"/>
                <w:sz w:val="20"/>
                <w:szCs w:val="20"/>
              </w:rPr>
              <w:t>s</w:t>
            </w:r>
            <w:r>
              <w:rPr>
                <w:rFonts w:ascii="Arial" w:eastAsia="Times New Roman" w:hAnsi="Arial" w:cs="Arial"/>
                <w:color w:val="000000"/>
                <w:sz w:val="10"/>
                <w:szCs w:val="10"/>
              </w:rPr>
              <w:t>6</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100 </w:t>
            </w:r>
          </w:p>
        </w:tc>
        <w:tc>
          <w:tcPr>
            <w:tcW w:w="0" w:type="auto"/>
            <w:vMerge w:val="restart"/>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US$0.1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Pre-construction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2H - 2022</w:t>
            </w:r>
          </w:p>
        </w:tc>
      </w:tr>
      <w:tr w:rsidR="00000000">
        <w:trPr>
          <w:divId w:val="316349635"/>
          <w:trHeight w:val="240"/>
        </w:trPr>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2"/>
            <w:vMerge/>
            <w:tcBorders>
              <w:top w:val="single" w:sz="4" w:space="0" w:color="000000"/>
            </w:tcBorders>
            <w:vAlign w:val="center"/>
            <w:hideMark/>
          </w:tcPr>
          <w:p w:rsidR="00000000" w:rsidRDefault="00EE1167">
            <w:pPr>
              <w:spacing w:after="100"/>
              <w:rPr>
                <w:rFonts w:eastAsia="Times New Roman"/>
              </w:rPr>
            </w:pPr>
          </w:p>
        </w:tc>
        <w:tc>
          <w:tcPr>
            <w:tcW w:w="0" w:type="auto"/>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21"/>
            <w:vAlign w:val="center"/>
            <w:hideMark/>
          </w:tcPr>
          <w:p w:rsidR="00000000" w:rsidRDefault="00EE1167">
            <w:pPr>
              <w:spacing w:after="100"/>
              <w:jc w:val="right"/>
              <w:rPr>
                <w:rFonts w:eastAsia="Times New Roman"/>
              </w:rPr>
            </w:pPr>
          </w:p>
        </w:tc>
      </w:tr>
      <w:tr w:rsidR="00000000">
        <w:trPr>
          <w:divId w:val="31634963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12.</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ind w:hanging="180"/>
              <w:divId w:val="1422724114"/>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$0.4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2H - 2022</w:t>
            </w: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316349635"/>
          <w:trHeight w:val="240"/>
        </w:trPr>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2"/>
            <w:vMerge/>
            <w:tcBorders>
              <w:top w:val="single" w:sz="4" w:space="0" w:color="000000"/>
            </w:tcBorders>
            <w:vAlign w:val="center"/>
            <w:hideMark/>
          </w:tcPr>
          <w:p w:rsidR="00000000" w:rsidRDefault="00EE1167">
            <w:pPr>
              <w:spacing w:after="100"/>
              <w:rPr>
                <w:rFonts w:eastAsia="Times New Roman"/>
              </w:rPr>
            </w:pPr>
          </w:p>
        </w:tc>
        <w:tc>
          <w:tcPr>
            <w:tcW w:w="0" w:type="auto"/>
            <w:vMerge/>
            <w:tcBorders>
              <w:top w:val="single" w:sz="4" w:space="0" w:color="000000"/>
            </w:tcBorders>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(€0.3 billion)</w:t>
            </w: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316349635"/>
          <w:trHeight w:val="240"/>
        </w:trPr>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13.</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ind w:hanging="180"/>
              <w:divId w:val="391932272"/>
              <w:rPr>
                <w:rFonts w:eastAsia="Times New Roman"/>
              </w:rPr>
            </w:pPr>
            <w:r>
              <w:rPr>
                <w:rFonts w:ascii="Arial" w:eastAsia="Times New Roman" w:hAnsi="Arial" w:cs="Arial"/>
                <w:color w:val="000000"/>
                <w:sz w:val="20"/>
                <w:szCs w:val="20"/>
              </w:rPr>
              <w:t>Fécamp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8</w:t>
            </w:r>
          </w:p>
        </w:tc>
        <w:tc>
          <w:tcPr>
            <w:tcW w:w="0" w:type="auto"/>
            <w:gridSpan w:val="2"/>
            <w:vMerge w:val="restart"/>
            <w:tcBorders>
              <w:top w:val="single" w:sz="4"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4"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$0.2 billion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2023</w:t>
            </w: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316349635"/>
          <w:trHeight w:val="240"/>
        </w:trPr>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2"/>
            <w:vMerge/>
            <w:tcBorders>
              <w:top w:val="single" w:sz="4" w:space="0" w:color="000000"/>
            </w:tcBorders>
            <w:vAlign w:val="center"/>
            <w:hideMark/>
          </w:tcPr>
          <w:p w:rsidR="00000000" w:rsidRDefault="00EE1167">
            <w:pPr>
              <w:spacing w:after="100"/>
              <w:rPr>
                <w:rFonts w:eastAsia="Times New Roman"/>
              </w:rPr>
            </w:pPr>
          </w:p>
        </w:tc>
        <w:tc>
          <w:tcPr>
            <w:tcW w:w="0" w:type="auto"/>
            <w:vMerge/>
            <w:tcBorders>
              <w:top w:val="single" w:sz="4" w:space="0" w:color="000000"/>
            </w:tcBorders>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(€0.5 billion)</w:t>
            </w: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tcBorders>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316349635"/>
          <w:trHeight w:val="240"/>
        </w:trPr>
        <w:tc>
          <w:tcPr>
            <w:tcW w:w="0" w:type="auto"/>
            <w:gridSpan w:val="3"/>
            <w:vMerge w:val="restart"/>
            <w:tcBorders>
              <w:top w:val="single" w:sz="4" w:space="0" w:color="000000"/>
              <w:bottom w:val="single" w:sz="12" w:space="0" w:color="000000"/>
            </w:tcBorders>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14.</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EE1167">
            <w:pPr>
              <w:spacing w:after="100"/>
              <w:ind w:hanging="180"/>
              <w:divId w:val="352532107"/>
              <w:rPr>
                <w:rFonts w:eastAsia="Times New Roman"/>
              </w:rPr>
            </w:pPr>
            <w:r>
              <w:rPr>
                <w:rFonts w:ascii="Arial" w:eastAsia="Times New Roman" w:hAnsi="Arial" w:cs="Arial"/>
                <w:color w:val="000000"/>
                <w:sz w:val="20"/>
                <w:szCs w:val="20"/>
              </w:rPr>
              <w:t>Calvados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9</w:t>
            </w:r>
          </w:p>
        </w:tc>
        <w:tc>
          <w:tcPr>
            <w:tcW w:w="0" w:type="auto"/>
            <w:gridSpan w:val="2"/>
            <w:vMerge w:val="restart"/>
            <w:tcBorders>
              <w:top w:val="single" w:sz="4" w:space="0" w:color="000000"/>
              <w:bottom w:val="single" w:sz="12" w:space="0" w:color="000000"/>
            </w:tcBorders>
            <w:tcMar>
              <w:top w:w="30" w:type="dxa"/>
              <w:left w:w="20" w:type="dxa"/>
              <w:bottom w:w="30" w:type="dxa"/>
              <w:right w:w="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21.7 </w:t>
            </w:r>
          </w:p>
        </w:tc>
        <w:tc>
          <w:tcPr>
            <w:tcW w:w="0" w:type="auto"/>
            <w:vMerge w:val="restart"/>
            <w:tcBorders>
              <w:top w:val="single" w:sz="4" w:space="0" w:color="000000"/>
              <w:bottom w:val="single" w:sz="12" w:space="0" w:color="000000"/>
            </w:tcBorders>
            <w:tcMar>
              <w:top w:w="30" w:type="dxa"/>
              <w:left w:w="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4"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4" w:space="0" w:color="000000"/>
              <w:bottom w:val="single" w:sz="12"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2024</w:t>
            </w: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316349635"/>
          <w:trHeight w:val="240"/>
        </w:trPr>
        <w:tc>
          <w:tcPr>
            <w:tcW w:w="0" w:type="auto"/>
            <w:gridSpan w:val="3"/>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gridSpan w:val="2"/>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gridSpan w:val="3"/>
            <w:tcBorders>
              <w:bottom w:val="single" w:sz="12"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(€0.6 billion)</w:t>
            </w:r>
          </w:p>
        </w:tc>
        <w:tc>
          <w:tcPr>
            <w:tcW w:w="0" w:type="auto"/>
            <w:gridSpan w:val="3"/>
            <w:tcBorders>
              <w:bottom w:val="single" w:sz="12" w:space="0" w:color="000000"/>
            </w:tcBorders>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gridSpan w:val="3"/>
            <w:vMerge/>
            <w:tcBorders>
              <w:top w:val="single" w:sz="4" w:space="0" w:color="000000"/>
              <w:bottom w:val="single" w:sz="12" w:space="0" w:color="000000"/>
            </w:tcBorders>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bl>
    <w:p w:rsidR="00000000" w:rsidRDefault="00EE1167">
      <w:pPr>
        <w:ind w:hanging="180"/>
        <w:divId w:val="2119981778"/>
        <w:rPr>
          <w:rFonts w:eastAsia="Times New Roman"/>
        </w:rPr>
      </w:pPr>
      <w:r>
        <w:rPr>
          <w:rFonts w:ascii="Arial" w:eastAsia="Times New Roman" w:hAnsi="Arial" w:cs="Arial"/>
          <w:i/>
          <w:iCs/>
          <w:color w:val="000000"/>
          <w:sz w:val="16"/>
          <w:szCs w:val="16"/>
        </w:rPr>
        <w:t>1 These amounts are estimates and are subject to upward or downward adjustment based on various factors. Where appropriate, the amounts reflect our share of joint venture projects.</w:t>
      </w:r>
    </w:p>
    <w:p w:rsidR="00000000" w:rsidRDefault="00EE1167">
      <w:pPr>
        <w:divId w:val="1502966165"/>
        <w:rPr>
          <w:rFonts w:eastAsia="Times New Roman"/>
        </w:rPr>
      </w:pPr>
      <w:r>
        <w:rPr>
          <w:rFonts w:ascii="Arial" w:eastAsia="Times New Roman" w:hAnsi="Arial" w:cs="Arial"/>
          <w:i/>
          <w:iCs/>
          <w:color w:val="000000"/>
          <w:sz w:val="16"/>
          <w:szCs w:val="16"/>
        </w:rPr>
        <w:t>2 Expenditures to date and status of the project are determined as at Septe</w:t>
      </w:r>
      <w:r>
        <w:rPr>
          <w:rFonts w:ascii="Arial" w:eastAsia="Times New Roman" w:hAnsi="Arial" w:cs="Arial"/>
          <w:i/>
          <w:iCs/>
          <w:color w:val="000000"/>
          <w:sz w:val="16"/>
          <w:szCs w:val="16"/>
        </w:rPr>
        <w:t>mber 30, 2021.</w:t>
      </w:r>
    </w:p>
    <w:p w:rsidR="00000000" w:rsidRDefault="00EE1167">
      <w:pPr>
        <w:ind w:hanging="180"/>
        <w:divId w:val="233509620"/>
        <w:rPr>
          <w:rFonts w:eastAsia="Times New Roman"/>
        </w:rPr>
      </w:pPr>
      <w:r>
        <w:rPr>
          <w:rFonts w:ascii="Arial" w:eastAsia="Times New Roman" w:hAnsi="Arial" w:cs="Arial"/>
          <w:i/>
          <w:iCs/>
          <w:color w:val="000000"/>
          <w:sz w:val="16"/>
          <w:szCs w:val="16"/>
        </w:rPr>
        <w:t>3 The T-South Reliability &amp; Expansion Program and the Spruce Ridge Project commenced service on November 1, 2021.</w:t>
      </w:r>
    </w:p>
    <w:p w:rsidR="00000000" w:rsidRDefault="00EE1167">
      <w:pPr>
        <w:divId w:val="437214041"/>
        <w:rPr>
          <w:rFonts w:eastAsia="Times New Roman"/>
        </w:rPr>
      </w:pPr>
      <w:r>
        <w:rPr>
          <w:rFonts w:ascii="Arial" w:eastAsia="Times New Roman" w:hAnsi="Arial" w:cs="Arial"/>
          <w:i/>
          <w:iCs/>
          <w:color w:val="000000"/>
          <w:sz w:val="16"/>
          <w:szCs w:val="16"/>
        </w:rPr>
        <w:t>4 Includes the US$0.1 billion Texas Eastern Middlesex Extension placed into service in the third quarter of 2021.</w:t>
      </w:r>
    </w:p>
    <w:p w:rsidR="00000000" w:rsidRDefault="00EE1167">
      <w:pPr>
        <w:ind w:hanging="180"/>
        <w:divId w:val="335108883"/>
        <w:rPr>
          <w:rFonts w:eastAsia="Times New Roman"/>
        </w:rPr>
      </w:pPr>
      <w:r>
        <w:rPr>
          <w:rFonts w:ascii="Arial" w:eastAsia="Times New Roman" w:hAnsi="Arial" w:cs="Arial"/>
          <w:i/>
          <w:iCs/>
          <w:color w:val="000000"/>
          <w:sz w:val="16"/>
          <w:szCs w:val="16"/>
        </w:rPr>
        <w:t xml:space="preserve">5 Represents </w:t>
      </w:r>
      <w:r>
        <w:rPr>
          <w:rFonts w:ascii="Arial" w:eastAsia="Times New Roman" w:hAnsi="Arial" w:cs="Arial"/>
          <w:i/>
          <w:iCs/>
          <w:color w:val="000000"/>
          <w:sz w:val="16"/>
          <w:szCs w:val="16"/>
        </w:rPr>
        <w:t>Phase 2 of the Natural Gas Expansion Program (the Program) and the estimated capital cost is presented net of the maximum funding assistance we expect to receive from the Government of Ontario. The expected in-service dates represent the expected completio</w:t>
      </w:r>
      <w:r>
        <w:rPr>
          <w:rFonts w:ascii="Arial" w:eastAsia="Times New Roman" w:hAnsi="Arial" w:cs="Arial"/>
          <w:i/>
          <w:iCs/>
          <w:color w:val="000000"/>
          <w:sz w:val="16"/>
          <w:szCs w:val="16"/>
        </w:rPr>
        <w:t>n dates of the leave to construct requirements.</w:t>
      </w:r>
    </w:p>
    <w:p w:rsidR="00000000" w:rsidRDefault="00EE1167">
      <w:pPr>
        <w:ind w:hanging="180"/>
        <w:divId w:val="40518215"/>
        <w:rPr>
          <w:rFonts w:eastAsia="Times New Roman"/>
        </w:rPr>
      </w:pPr>
      <w:r>
        <w:rPr>
          <w:rFonts w:ascii="Arial" w:eastAsia="Times New Roman" w:hAnsi="Arial" w:cs="Arial"/>
          <w:i/>
          <w:iCs/>
          <w:color w:val="000000"/>
          <w:sz w:val="16"/>
          <w:szCs w:val="16"/>
        </w:rPr>
        <w:t>6 Self-Power Projects consists of four solar projects along our US Mainline and Flanagan South liquids systems. All four will be located at existing pump stations—Adams (6.9 MW), Vesper (8.8 MW) and Portage (</w:t>
      </w:r>
      <w:r>
        <w:rPr>
          <w:rFonts w:ascii="Arial" w:eastAsia="Times New Roman" w:hAnsi="Arial" w:cs="Arial"/>
          <w:i/>
          <w:iCs/>
          <w:color w:val="000000"/>
          <w:sz w:val="16"/>
          <w:szCs w:val="16"/>
        </w:rPr>
        <w:t>8 MW) in central Wisconsin, and Flanagan (10 MW) in north-central Illinois.</w:t>
      </w:r>
    </w:p>
    <w:p w:rsidR="00000000" w:rsidRDefault="00EE1167">
      <w:pPr>
        <w:jc w:val="center"/>
        <w:divId w:val="756093914"/>
        <w:rPr>
          <w:rFonts w:eastAsia="Times New Roman"/>
        </w:rPr>
      </w:pPr>
      <w:r>
        <w:rPr>
          <w:rFonts w:ascii="Arial" w:eastAsia="Times New Roman" w:hAnsi="Arial" w:cs="Arial"/>
          <w:color w:val="000000"/>
          <w:sz w:val="20"/>
          <w:szCs w:val="20"/>
        </w:rPr>
        <w:t>51</w:t>
      </w:r>
    </w:p>
    <w:p w:rsidR="00000000" w:rsidRDefault="00EE1167">
      <w:pPr>
        <w:rPr>
          <w:rFonts w:eastAsia="Times New Roman"/>
        </w:rPr>
      </w:pPr>
      <w:r>
        <w:rPr>
          <w:rFonts w:eastAsia="Times New Roman"/>
        </w:rPr>
        <w:pict>
          <v:rect id="_x0000_i1076" style="width:0;height:1.5pt" o:hralign="center" o:hrstd="t" o:hr="t" fillcolor="#a0a0a0" stroked="f"/>
        </w:pict>
      </w:r>
    </w:p>
    <w:p w:rsidR="00000000" w:rsidRDefault="00EE1167">
      <w:pPr>
        <w:jc w:val="center"/>
        <w:divId w:val="1876459441"/>
        <w:rPr>
          <w:rFonts w:eastAsia="Times New Roman"/>
        </w:rPr>
      </w:pPr>
    </w:p>
    <w:p w:rsidR="00000000" w:rsidRDefault="00EE1167">
      <w:pPr>
        <w:ind w:hanging="180"/>
        <w:divId w:val="1417819644"/>
        <w:rPr>
          <w:rFonts w:eastAsia="Times New Roman"/>
        </w:rPr>
      </w:pPr>
      <w:r>
        <w:rPr>
          <w:rFonts w:ascii="Arial" w:eastAsia="Times New Roman" w:hAnsi="Arial" w:cs="Arial"/>
          <w:i/>
          <w:iCs/>
          <w:color w:val="000000"/>
          <w:sz w:val="16"/>
          <w:szCs w:val="16"/>
        </w:rPr>
        <w:t>7 Reflects the sale of 49% of an entity that holds our 50% interest in EMF to CPP Investments that closed in the first quarter of 2021. Ou</w:t>
      </w:r>
      <w:r>
        <w:rPr>
          <w:rFonts w:ascii="Arial" w:eastAsia="Times New Roman" w:hAnsi="Arial" w:cs="Arial"/>
          <w:i/>
          <w:iCs/>
          <w:color w:val="000000"/>
          <w:sz w:val="16"/>
          <w:szCs w:val="16"/>
        </w:rPr>
        <w:t>r equity contribution is $0.15 billion, with the remainder of the project financed through non-recourse project level debt.</w:t>
      </w:r>
    </w:p>
    <w:p w:rsidR="00000000" w:rsidRDefault="00EE1167">
      <w:pPr>
        <w:ind w:hanging="180"/>
        <w:divId w:val="626590652"/>
        <w:rPr>
          <w:rFonts w:eastAsia="Times New Roman"/>
        </w:rPr>
      </w:pPr>
      <w:r>
        <w:rPr>
          <w:rFonts w:ascii="Arial" w:eastAsia="Times New Roman" w:hAnsi="Arial" w:cs="Arial"/>
          <w:i/>
          <w:iCs/>
          <w:color w:val="000000"/>
          <w:sz w:val="16"/>
          <w:szCs w:val="16"/>
        </w:rPr>
        <w:t>8 Reflects the sale of 49% of an entity that holds our 50% interest in EMF to CPP Investments that closed in the first quarter of 20</w:t>
      </w:r>
      <w:r>
        <w:rPr>
          <w:rFonts w:ascii="Arial" w:eastAsia="Times New Roman" w:hAnsi="Arial" w:cs="Arial"/>
          <w:i/>
          <w:iCs/>
          <w:color w:val="000000"/>
          <w:sz w:val="16"/>
          <w:szCs w:val="16"/>
        </w:rPr>
        <w:t>21. Our equity contribution is $0.1 billion, with the remainder of the project financed through non-recourse project level debt.</w:t>
      </w:r>
    </w:p>
    <w:p w:rsidR="00000000" w:rsidRDefault="00EE1167">
      <w:pPr>
        <w:ind w:hanging="180"/>
        <w:divId w:val="985822680"/>
        <w:rPr>
          <w:rFonts w:eastAsia="Times New Roman"/>
        </w:rPr>
      </w:pPr>
      <w:r>
        <w:rPr>
          <w:rFonts w:ascii="Arial" w:eastAsia="Times New Roman" w:hAnsi="Arial" w:cs="Arial"/>
          <w:i/>
          <w:iCs/>
          <w:color w:val="000000"/>
          <w:sz w:val="16"/>
          <w:szCs w:val="16"/>
        </w:rPr>
        <w:t xml:space="preserve">9 Reflects the sale of 49% of an entity that holds our 50% interest in EMF to CPP Investments that closed in the first quarter </w:t>
      </w:r>
      <w:r>
        <w:rPr>
          <w:rFonts w:ascii="Arial" w:eastAsia="Times New Roman" w:hAnsi="Arial" w:cs="Arial"/>
          <w:i/>
          <w:iCs/>
          <w:color w:val="000000"/>
          <w:sz w:val="16"/>
          <w:szCs w:val="16"/>
        </w:rPr>
        <w:t>of 2021. Our equity contribution is $0.1 billion, with the remainder of the project financed through non-recourse project level debt.</w:t>
      </w:r>
    </w:p>
    <w:p w:rsidR="00000000" w:rsidRDefault="00EE1167">
      <w:pPr>
        <w:ind w:hanging="180"/>
        <w:divId w:val="2111771984"/>
        <w:rPr>
          <w:rFonts w:eastAsia="Times New Roman"/>
        </w:rPr>
      </w:pPr>
    </w:p>
    <w:p w:rsidR="00000000" w:rsidRDefault="00EE1167">
      <w:pPr>
        <w:divId w:val="1031229879"/>
        <w:rPr>
          <w:rFonts w:eastAsia="Times New Roman"/>
        </w:rPr>
      </w:pPr>
      <w:r>
        <w:rPr>
          <w:rFonts w:ascii="Arial" w:eastAsia="Times New Roman" w:hAnsi="Arial" w:cs="Arial"/>
          <w:color w:val="000000"/>
          <w:sz w:val="20"/>
          <w:szCs w:val="20"/>
        </w:rPr>
        <w:t>A full description of each of our projects is provided in our annual report on Form 10-K for the year ended December 31, 2020. Significant updates that have occurred since the date of filing of our Form 10-K are discussed below.</w:t>
      </w:r>
    </w:p>
    <w:p w:rsidR="00000000" w:rsidRDefault="00EE1167">
      <w:pPr>
        <w:divId w:val="1835996124"/>
        <w:rPr>
          <w:rFonts w:eastAsia="Times New Roman"/>
        </w:rPr>
      </w:pPr>
    </w:p>
    <w:p w:rsidR="00000000" w:rsidRDefault="00EE1167">
      <w:pPr>
        <w:divId w:val="1550847755"/>
        <w:rPr>
          <w:rFonts w:eastAsia="Times New Roman"/>
        </w:rPr>
      </w:pPr>
      <w:r>
        <w:rPr>
          <w:rFonts w:ascii="Arial" w:eastAsia="Times New Roman" w:hAnsi="Arial" w:cs="Arial"/>
          <w:b/>
          <w:bCs/>
          <w:color w:val="000000"/>
          <w:sz w:val="20"/>
          <w:szCs w:val="20"/>
        </w:rPr>
        <w:t>GAS TRANSMISSION AND MIDS</w:t>
      </w:r>
      <w:r>
        <w:rPr>
          <w:rFonts w:ascii="Arial" w:eastAsia="Times New Roman" w:hAnsi="Arial" w:cs="Arial"/>
          <w:b/>
          <w:bCs/>
          <w:color w:val="000000"/>
          <w:sz w:val="20"/>
          <w:szCs w:val="20"/>
        </w:rPr>
        <w:t>TREAM</w:t>
      </w:r>
    </w:p>
    <w:p w:rsidR="00000000" w:rsidRDefault="00EE1167">
      <w:pPr>
        <w:divId w:val="883057141"/>
        <w:rPr>
          <w:rFonts w:eastAsia="Times New Roman"/>
        </w:rPr>
      </w:pPr>
    </w:p>
    <w:p w:rsidR="00000000" w:rsidRDefault="00EE1167">
      <w:pPr>
        <w:ind w:hanging="360"/>
        <w:divId w:val="382140451"/>
        <w:rPr>
          <w:rFonts w:eastAsia="Times New Roman"/>
        </w:rPr>
      </w:pPr>
      <w:r>
        <w:rPr>
          <w:rFonts w:ascii="Arial" w:eastAsia="Times New Roman" w:hAnsi="Arial" w:cs="Arial"/>
          <w:b/>
          <w:bCs/>
          <w:color w:val="000000"/>
          <w:sz w:val="20"/>
          <w:szCs w:val="20"/>
        </w:rPr>
        <w:t>•PennEast Pipeline Project -</w:t>
      </w:r>
      <w:r>
        <w:rPr>
          <w:rFonts w:ascii="Arial" w:eastAsia="Times New Roman" w:hAnsi="Arial" w:cs="Arial"/>
          <w:color w:val="000000"/>
          <w:sz w:val="20"/>
          <w:szCs w:val="20"/>
        </w:rPr>
        <w:t xml:space="preserve"> an approximately 190-kilometer pipeline that would run from Pennsylvania to New Jersey. It was designed to deliver approximately 1.1 billion cubic feet per day (bcf/day) of additional natural gas pipeline capacity to se</w:t>
      </w:r>
      <w:r>
        <w:rPr>
          <w:rFonts w:ascii="Arial" w:eastAsia="Times New Roman" w:hAnsi="Arial" w:cs="Arial"/>
          <w:color w:val="000000"/>
          <w:sz w:val="20"/>
          <w:szCs w:val="20"/>
        </w:rPr>
        <w:t>rve local distribution companies and power generators in Southeastern Pennsylvania and New Jersey. On September 27, 2021, PennEast Pipeline Company, L.L.C. (PennEast) announced that further development of the project was no longer viable. Accordingly, Penn</w:t>
      </w:r>
      <w:r>
        <w:rPr>
          <w:rFonts w:ascii="Arial" w:eastAsia="Times New Roman" w:hAnsi="Arial" w:cs="Arial"/>
          <w:color w:val="000000"/>
          <w:sz w:val="20"/>
          <w:szCs w:val="20"/>
        </w:rPr>
        <w:t xml:space="preserve">East has ceased further development of the project and our investment in the project has been impaired. For additional disclosure on the PennEast impairment, refer to Part I. </w:t>
      </w:r>
      <w:r>
        <w:rPr>
          <w:rFonts w:ascii="Arial" w:eastAsia="Times New Roman" w:hAnsi="Arial" w:cs="Arial"/>
          <w:i/>
          <w:iCs/>
          <w:color w:val="000000"/>
          <w:sz w:val="20"/>
          <w:szCs w:val="20"/>
        </w:rPr>
        <w:t>Item 1 - Financial Statements - Note 8. Impairment of Equity Investments.</w:t>
      </w:r>
    </w:p>
    <w:p w:rsidR="00000000" w:rsidRDefault="00EE1167">
      <w:pPr>
        <w:divId w:val="1431705460"/>
        <w:rPr>
          <w:rFonts w:eastAsia="Times New Roman"/>
        </w:rPr>
      </w:pPr>
    </w:p>
    <w:p w:rsidR="00000000" w:rsidRDefault="00EE1167">
      <w:pPr>
        <w:divId w:val="1231765233"/>
        <w:rPr>
          <w:rFonts w:eastAsia="Times New Roman"/>
        </w:rPr>
      </w:pPr>
      <w:r>
        <w:rPr>
          <w:rFonts w:ascii="Arial" w:eastAsia="Times New Roman" w:hAnsi="Arial" w:cs="Arial"/>
          <w:b/>
          <w:bCs/>
          <w:color w:val="000000"/>
          <w:sz w:val="20"/>
          <w:szCs w:val="20"/>
        </w:rPr>
        <w:t>GAS D</w:t>
      </w:r>
      <w:r>
        <w:rPr>
          <w:rFonts w:ascii="Arial" w:eastAsia="Times New Roman" w:hAnsi="Arial" w:cs="Arial"/>
          <w:b/>
          <w:bCs/>
          <w:color w:val="000000"/>
          <w:sz w:val="20"/>
          <w:szCs w:val="20"/>
        </w:rPr>
        <w:t xml:space="preserve">ISTRIBUTION AND STORAGE </w:t>
      </w:r>
    </w:p>
    <w:p w:rsidR="00000000" w:rsidRDefault="00EE1167">
      <w:pPr>
        <w:divId w:val="1266769351"/>
        <w:rPr>
          <w:rFonts w:eastAsia="Times New Roman"/>
        </w:rPr>
      </w:pPr>
    </w:p>
    <w:p w:rsidR="00000000" w:rsidRDefault="00EE1167">
      <w:pPr>
        <w:ind w:hanging="360"/>
        <w:divId w:val="1099563454"/>
        <w:rPr>
          <w:rFonts w:eastAsia="Times New Roman"/>
        </w:rPr>
      </w:pPr>
      <w:r>
        <w:rPr>
          <w:rFonts w:ascii="Calibri" w:eastAsia="Times New Roman" w:hAnsi="Calibri" w:cs="Calibri"/>
          <w:color w:val="000000"/>
          <w:sz w:val="22"/>
          <w:szCs w:val="22"/>
        </w:rPr>
        <w:t>•</w:t>
      </w:r>
      <w:r>
        <w:rPr>
          <w:rFonts w:ascii="Arial" w:eastAsia="Times New Roman" w:hAnsi="Arial" w:cs="Arial"/>
          <w:b/>
          <w:bCs/>
          <w:color w:val="000000"/>
          <w:sz w:val="20"/>
          <w:szCs w:val="20"/>
        </w:rPr>
        <w:t>System Enhancement Projects</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Consists of the London Line Replacement Project, the Lake Shore KOL Replacement Project and St. Laurent Ottawa North Replacement Project. The London Line Replacement Project will replace the two cur</w:t>
      </w:r>
      <w:r>
        <w:rPr>
          <w:rFonts w:ascii="Arial" w:eastAsia="Times New Roman" w:hAnsi="Arial" w:cs="Arial"/>
          <w:color w:val="000000"/>
          <w:sz w:val="20"/>
          <w:szCs w:val="20"/>
        </w:rPr>
        <w:t>rent pipelines known collectively as the London Line and includes the construction of approximately 90.5-kilometers of natural gas pipeline and ancillary facilities in southern Ontario. The project is expected to be placed into service in the fourth quarte</w:t>
      </w:r>
      <w:r>
        <w:rPr>
          <w:rFonts w:ascii="Arial" w:eastAsia="Times New Roman" w:hAnsi="Arial" w:cs="Arial"/>
          <w:color w:val="000000"/>
          <w:sz w:val="20"/>
          <w:szCs w:val="20"/>
        </w:rPr>
        <w:t>r of 2021. The Lake Shore Kipling Oshawa Loop (KOL) Replacement Project is a replacement of approximately 4.5-kilometers of natural gas pipeline and ancillary facilities of the Cherry to Bathurst segment of the KOL along Lake Shore Boulevard in the City of</w:t>
      </w:r>
      <w:r>
        <w:rPr>
          <w:rFonts w:ascii="Arial" w:eastAsia="Times New Roman" w:hAnsi="Arial" w:cs="Arial"/>
          <w:color w:val="000000"/>
          <w:sz w:val="20"/>
          <w:szCs w:val="20"/>
        </w:rPr>
        <w:t xml:space="preserve"> Toronto. The project is expected to be placed into service in the second half of 2022. The St. Laurent Ottawa North Replacement Project is a replacement of approximately 16-kilometers of natural gas pipeline in the City of Ottawa. The project will be comp</w:t>
      </w:r>
      <w:r>
        <w:rPr>
          <w:rFonts w:ascii="Arial" w:eastAsia="Times New Roman" w:hAnsi="Arial" w:cs="Arial"/>
          <w:color w:val="000000"/>
          <w:sz w:val="20"/>
          <w:szCs w:val="20"/>
        </w:rPr>
        <w:t>leted in multiple phases over multiple years with the first two phases already complete. Phases 3 and 4 represent approximately 11.4-kilometers of pipeline and are expected to be in service in late 2022 and late 2023, respectively.</w:t>
      </w:r>
    </w:p>
    <w:p w:rsidR="00000000" w:rsidRDefault="00EE1167">
      <w:pPr>
        <w:divId w:val="1363169310"/>
        <w:rPr>
          <w:rFonts w:eastAsia="Times New Roman"/>
        </w:rPr>
      </w:pPr>
    </w:p>
    <w:p w:rsidR="00000000" w:rsidRDefault="00EE1167">
      <w:pPr>
        <w:ind w:hanging="360"/>
        <w:divId w:val="929241707"/>
        <w:rPr>
          <w:rFonts w:eastAsia="Times New Roman"/>
        </w:rPr>
      </w:pPr>
      <w:r>
        <w:rPr>
          <w:rFonts w:ascii="Arial" w:eastAsia="Times New Roman" w:hAnsi="Arial" w:cs="Arial"/>
          <w:b/>
          <w:bCs/>
          <w:color w:val="000000"/>
          <w:sz w:val="20"/>
          <w:szCs w:val="20"/>
        </w:rPr>
        <w:t>•Natural Gas Expansion</w:t>
      </w:r>
      <w:r>
        <w:rPr>
          <w:rFonts w:ascii="Arial" w:eastAsia="Times New Roman" w:hAnsi="Arial" w:cs="Arial"/>
          <w:b/>
          <w:bCs/>
          <w:color w:val="000000"/>
          <w:sz w:val="20"/>
          <w:szCs w:val="20"/>
        </w:rPr>
        <w:t xml:space="preserve"> Program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The Program was created under Ontario's </w:t>
      </w:r>
      <w:r>
        <w:rPr>
          <w:rFonts w:ascii="Arial" w:eastAsia="Times New Roman" w:hAnsi="Arial" w:cs="Arial"/>
          <w:i/>
          <w:iCs/>
          <w:color w:val="000000"/>
          <w:sz w:val="20"/>
          <w:szCs w:val="20"/>
        </w:rPr>
        <w:t>Access to Natural Gas Act, 2018</w:t>
      </w:r>
      <w:r>
        <w:rPr>
          <w:rFonts w:ascii="Arial" w:eastAsia="Times New Roman" w:hAnsi="Arial" w:cs="Arial"/>
          <w:color w:val="000000"/>
          <w:sz w:val="20"/>
          <w:szCs w:val="20"/>
        </w:rPr>
        <w:t xml:space="preserve"> to help expand access to natural gas to areas of Ontario that currently do not have access to the natural gas distribution system. Funding assistance was approved for Enbrid</w:t>
      </w:r>
      <w:r>
        <w:rPr>
          <w:rFonts w:ascii="Arial" w:eastAsia="Times New Roman" w:hAnsi="Arial" w:cs="Arial"/>
          <w:color w:val="000000"/>
          <w:sz w:val="20"/>
          <w:szCs w:val="20"/>
        </w:rPr>
        <w:t xml:space="preserve">ge Gas under Phase 1 of the Program. To date, Enbridge Gas has initiated five of the projects approved for funding under the Program, with continued progress through 2021. On June 8, 2021, the Government of Ontario approved additional funding for projects </w:t>
      </w:r>
      <w:r>
        <w:rPr>
          <w:rFonts w:ascii="Arial" w:eastAsia="Times New Roman" w:hAnsi="Arial" w:cs="Arial"/>
          <w:color w:val="000000"/>
          <w:sz w:val="20"/>
          <w:szCs w:val="20"/>
        </w:rPr>
        <w:t>under Phase 2 of the Program, under which Enbridge Gas will be provided up to $214 million in funding assistance to deliver 27 expansion projects throughout Ontario.</w:t>
      </w:r>
    </w:p>
    <w:p w:rsidR="00000000" w:rsidRDefault="00EE1167">
      <w:pPr>
        <w:divId w:val="191653261"/>
        <w:rPr>
          <w:rFonts w:eastAsia="Times New Roman"/>
        </w:rPr>
      </w:pPr>
    </w:p>
    <w:p w:rsidR="00000000" w:rsidRDefault="00EE1167">
      <w:pPr>
        <w:jc w:val="center"/>
        <w:divId w:val="1956521276"/>
        <w:rPr>
          <w:rFonts w:eastAsia="Times New Roman"/>
        </w:rPr>
      </w:pPr>
      <w:r>
        <w:rPr>
          <w:rFonts w:ascii="Arial" w:eastAsia="Times New Roman" w:hAnsi="Arial" w:cs="Arial"/>
          <w:color w:val="000000"/>
          <w:sz w:val="20"/>
          <w:szCs w:val="20"/>
        </w:rPr>
        <w:t>52</w:t>
      </w:r>
    </w:p>
    <w:p w:rsidR="00000000" w:rsidRDefault="00EE1167">
      <w:pPr>
        <w:rPr>
          <w:rFonts w:eastAsia="Times New Roman"/>
        </w:rPr>
      </w:pPr>
      <w:r>
        <w:rPr>
          <w:rFonts w:eastAsia="Times New Roman"/>
        </w:rPr>
        <w:pict>
          <v:rect id="_x0000_i1077" style="width:0;height:1.5pt" o:hralign="center" o:hrstd="t" o:hr="t" fillcolor="#a0a0a0" stroked="f"/>
        </w:pict>
      </w:r>
    </w:p>
    <w:p w:rsidR="00000000" w:rsidRDefault="00EE1167">
      <w:pPr>
        <w:jc w:val="center"/>
        <w:divId w:val="1589072302"/>
        <w:rPr>
          <w:rFonts w:eastAsia="Times New Roman"/>
        </w:rPr>
      </w:pPr>
    </w:p>
    <w:p w:rsidR="00000000" w:rsidRDefault="00EE1167">
      <w:pPr>
        <w:divId w:val="645357510"/>
        <w:rPr>
          <w:rFonts w:eastAsia="Times New Roman"/>
        </w:rPr>
      </w:pPr>
      <w:r>
        <w:rPr>
          <w:rFonts w:ascii="Arial" w:eastAsia="Times New Roman" w:hAnsi="Arial" w:cs="Arial"/>
          <w:b/>
          <w:bCs/>
          <w:color w:val="000000"/>
          <w:sz w:val="20"/>
          <w:szCs w:val="20"/>
        </w:rPr>
        <w:t>RENEWABLE POWER GENERATION</w:t>
      </w:r>
    </w:p>
    <w:p w:rsidR="00000000" w:rsidRDefault="00EE1167">
      <w:pPr>
        <w:divId w:val="1370765648"/>
        <w:rPr>
          <w:rFonts w:eastAsia="Times New Roman"/>
        </w:rPr>
      </w:pPr>
    </w:p>
    <w:p w:rsidR="00000000" w:rsidRDefault="00EE1167">
      <w:pPr>
        <w:ind w:hanging="360"/>
        <w:divId w:val="1169171800"/>
        <w:rPr>
          <w:rFonts w:eastAsia="Times New Roman"/>
        </w:rPr>
      </w:pPr>
      <w:r>
        <w:rPr>
          <w:rFonts w:ascii="Arial" w:eastAsia="Times New Roman" w:hAnsi="Arial" w:cs="Arial"/>
          <w:b/>
          <w:bCs/>
          <w:color w:val="000000"/>
          <w:sz w:val="20"/>
          <w:szCs w:val="20"/>
        </w:rPr>
        <w:t>•Solar Self-Power</w:t>
      </w:r>
      <w:r>
        <w:rPr>
          <w:rFonts w:ascii="Arial" w:eastAsia="Times New Roman" w:hAnsi="Arial" w:cs="Arial"/>
          <w:b/>
          <w:bCs/>
          <w:color w:val="000000"/>
          <w:sz w:val="20"/>
          <w:szCs w:val="20"/>
        </w:rPr>
        <w:t xml:space="preserve"> Projects </w:t>
      </w:r>
      <w:r>
        <w:rPr>
          <w:rFonts w:ascii="Arial" w:eastAsia="Times New Roman" w:hAnsi="Arial" w:cs="Arial"/>
          <w:color w:val="000000"/>
          <w:sz w:val="20"/>
          <w:szCs w:val="20"/>
        </w:rPr>
        <w:t xml:space="preserve">– </w:t>
      </w:r>
      <w:r>
        <w:rPr>
          <w:rFonts w:ascii="Arial" w:eastAsia="Times New Roman" w:hAnsi="Arial" w:cs="Arial"/>
          <w:color w:val="000000"/>
          <w:sz w:val="20"/>
          <w:szCs w:val="20"/>
        </w:rPr>
        <w:t>four solar projects co-located at existing pump stations with behind-the-meter interconnections. The projects are expected to support our emissions reduction goals and are expected to be placed into service in the second half of 2022.</w:t>
      </w:r>
    </w:p>
    <w:p w:rsidR="00000000" w:rsidRDefault="00EE1167">
      <w:pPr>
        <w:divId w:val="581719579"/>
        <w:rPr>
          <w:rFonts w:eastAsia="Times New Roman"/>
        </w:rPr>
      </w:pPr>
    </w:p>
    <w:p w:rsidR="00000000" w:rsidRDefault="00EE1167">
      <w:pPr>
        <w:ind w:hanging="360"/>
        <w:divId w:val="1628395590"/>
        <w:rPr>
          <w:rFonts w:eastAsia="Times New Roman"/>
        </w:rPr>
      </w:pPr>
      <w:r>
        <w:rPr>
          <w:rFonts w:ascii="Arial" w:eastAsia="Times New Roman" w:hAnsi="Arial" w:cs="Arial"/>
          <w:b/>
          <w:bCs/>
          <w:color w:val="000000"/>
          <w:sz w:val="20"/>
          <w:szCs w:val="20"/>
        </w:rPr>
        <w:t xml:space="preserve">•Calvados Offshore </w:t>
      </w:r>
      <w:r>
        <w:rPr>
          <w:rFonts w:ascii="Arial" w:eastAsia="Times New Roman" w:hAnsi="Arial" w:cs="Arial"/>
          <w:b/>
          <w:bCs/>
          <w:color w:val="000000"/>
          <w:sz w:val="20"/>
          <w:szCs w:val="20"/>
        </w:rPr>
        <w:t xml:space="preserve">Wind Project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an offshore wind project located off the northwest coast of France that is expected to generate approximately 448 MW. Project revenues are underpinned by a 20-year fixed price power purchase agreement. </w:t>
      </w:r>
    </w:p>
    <w:p w:rsidR="00000000" w:rsidRDefault="00EE1167">
      <w:pPr>
        <w:divId w:val="496650495"/>
        <w:rPr>
          <w:rFonts w:eastAsia="Times New Roman"/>
        </w:rPr>
      </w:pPr>
    </w:p>
    <w:p w:rsidR="00000000" w:rsidRDefault="00EE1167">
      <w:pPr>
        <w:divId w:val="41946991"/>
        <w:rPr>
          <w:rFonts w:eastAsia="Times New Roman"/>
        </w:rPr>
      </w:pPr>
      <w:r>
        <w:rPr>
          <w:rFonts w:ascii="Arial" w:eastAsia="Times New Roman" w:hAnsi="Arial" w:cs="Arial"/>
          <w:color w:val="000000"/>
          <w:sz w:val="20"/>
          <w:szCs w:val="20"/>
        </w:rPr>
        <w:t>During the first quarter of 2021, we</w:t>
      </w:r>
      <w:r>
        <w:rPr>
          <w:rFonts w:ascii="Arial" w:eastAsia="Times New Roman" w:hAnsi="Arial" w:cs="Arial"/>
          <w:color w:val="000000"/>
          <w:sz w:val="20"/>
          <w:szCs w:val="20"/>
        </w:rPr>
        <w:t xml:space="preserve"> sold 49% of an entity that holds our 50% interest in EMF to CPP Investments. EMF holds equity interests in the Fécamp Offshore Wind Project, the Saint-Nazaire France Offshore Wind Project and the Calvados Offshore Wind Project. CPP Investments will fund t</w:t>
      </w:r>
      <w:r>
        <w:rPr>
          <w:rFonts w:ascii="Arial" w:eastAsia="Times New Roman" w:hAnsi="Arial" w:cs="Arial"/>
          <w:color w:val="000000"/>
          <w:sz w:val="20"/>
          <w:szCs w:val="20"/>
        </w:rPr>
        <w:t>heir 49% share of all ongoing future development capital.</w:t>
      </w:r>
    </w:p>
    <w:p w:rsidR="00000000" w:rsidRDefault="00EE1167">
      <w:pPr>
        <w:divId w:val="800534333"/>
        <w:rPr>
          <w:rFonts w:eastAsia="Times New Roman"/>
        </w:rPr>
      </w:pPr>
    </w:p>
    <w:p w:rsidR="00000000" w:rsidRDefault="00EE1167">
      <w:pPr>
        <w:divId w:val="1356269204"/>
        <w:rPr>
          <w:rFonts w:eastAsia="Times New Roman"/>
        </w:rPr>
      </w:pPr>
      <w:r>
        <w:rPr>
          <w:rFonts w:ascii="Arial" w:eastAsia="Times New Roman" w:hAnsi="Arial" w:cs="Arial"/>
          <w:b/>
          <w:bCs/>
          <w:color w:val="000000"/>
          <w:sz w:val="26"/>
          <w:szCs w:val="26"/>
        </w:rPr>
        <w:t>OTHER ANNOUNCED PROJECTS UNDER DEVELOPMENT</w:t>
      </w:r>
    </w:p>
    <w:p w:rsidR="00000000" w:rsidRDefault="00EE1167">
      <w:pPr>
        <w:divId w:val="1490515643"/>
        <w:rPr>
          <w:rFonts w:eastAsia="Times New Roman"/>
        </w:rPr>
      </w:pPr>
      <w:r>
        <w:rPr>
          <w:rFonts w:ascii="Arial" w:eastAsia="Times New Roman" w:hAnsi="Arial" w:cs="Arial"/>
          <w:color w:val="000000"/>
          <w:sz w:val="20"/>
          <w:szCs w:val="20"/>
        </w:rPr>
        <w:t> </w:t>
      </w:r>
    </w:p>
    <w:p w:rsidR="00000000" w:rsidRDefault="00EE1167">
      <w:pPr>
        <w:divId w:val="25103009"/>
        <w:rPr>
          <w:rFonts w:eastAsia="Times New Roman"/>
        </w:rPr>
      </w:pPr>
      <w:r>
        <w:rPr>
          <w:rFonts w:ascii="Arial" w:eastAsia="Times New Roman" w:hAnsi="Arial" w:cs="Arial"/>
          <w:color w:val="000000"/>
          <w:sz w:val="20"/>
          <w:szCs w:val="20"/>
        </w:rPr>
        <w:t>We have announced the following projects, but they have not yet met our criteria to be classified as commercially secured:</w:t>
      </w:r>
    </w:p>
    <w:p w:rsidR="00000000" w:rsidRDefault="00EE1167">
      <w:pPr>
        <w:divId w:val="1056440564"/>
        <w:rPr>
          <w:rFonts w:eastAsia="Times New Roman"/>
        </w:rPr>
      </w:pPr>
    </w:p>
    <w:p w:rsidR="00000000" w:rsidRDefault="00EE1167">
      <w:pPr>
        <w:divId w:val="412050808"/>
        <w:rPr>
          <w:rFonts w:eastAsia="Times New Roman"/>
        </w:rPr>
      </w:pPr>
      <w:r>
        <w:rPr>
          <w:rFonts w:ascii="Arial" w:eastAsia="Times New Roman" w:hAnsi="Arial" w:cs="Arial"/>
          <w:b/>
          <w:bCs/>
          <w:color w:val="000000"/>
          <w:sz w:val="20"/>
          <w:szCs w:val="20"/>
        </w:rPr>
        <w:t>GAS TRANSMISSION AND MIDSTREAM</w:t>
      </w:r>
    </w:p>
    <w:p w:rsidR="00000000" w:rsidRDefault="00EE1167">
      <w:pPr>
        <w:divId w:val="1698850560"/>
        <w:rPr>
          <w:rFonts w:eastAsia="Times New Roman"/>
        </w:rPr>
      </w:pPr>
    </w:p>
    <w:p w:rsidR="00000000" w:rsidRDefault="00EE1167">
      <w:pPr>
        <w:ind w:hanging="360"/>
        <w:divId w:val="298728218"/>
        <w:rPr>
          <w:rFonts w:eastAsia="Times New Roman"/>
        </w:rPr>
      </w:pPr>
      <w:r>
        <w:rPr>
          <w:rFonts w:ascii="Arial" w:eastAsia="Times New Roman" w:hAnsi="Arial" w:cs="Arial"/>
          <w:b/>
          <w:bCs/>
          <w:color w:val="000000"/>
          <w:sz w:val="20"/>
          <w:szCs w:val="20"/>
        </w:rPr>
        <w:t>•Rio Bravo Pipeline</w:t>
      </w:r>
      <w:r>
        <w:rPr>
          <w:rFonts w:ascii="Arial" w:eastAsia="Times New Roman" w:hAnsi="Arial" w:cs="Arial"/>
          <w:color w:val="000000"/>
          <w:sz w:val="20"/>
          <w:szCs w:val="20"/>
        </w:rPr>
        <w:t xml:space="preserve"> –</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The Rio Bravo Pipeline is designed to transport up to 4.5 bcf/day of natural gas from the Agua Dulce supply area to NextDecade's Rio Grande LNG export facility in the Port of Brownsville, Texas. We hav</w:t>
      </w:r>
      <w:r>
        <w:rPr>
          <w:rFonts w:ascii="Arial" w:eastAsia="Times New Roman" w:hAnsi="Arial" w:cs="Arial"/>
          <w:color w:val="000000"/>
          <w:sz w:val="20"/>
          <w:szCs w:val="20"/>
        </w:rPr>
        <w:t>e acquired the Rio Bravo Pipeline development project from NextDecade. In addition, we have executed a precedent agreement with NextDecade under which we will provide firm transportation capacity on the Rio Bravo Pipeline to NextDecade's Rio Grande LNG exp</w:t>
      </w:r>
      <w:r>
        <w:rPr>
          <w:rFonts w:ascii="Arial" w:eastAsia="Times New Roman" w:hAnsi="Arial" w:cs="Arial"/>
          <w:color w:val="000000"/>
          <w:sz w:val="20"/>
          <w:szCs w:val="20"/>
        </w:rPr>
        <w:t xml:space="preserve">ort facility for a term of at least 20 years. Construction of the pipeline will be subject to the Rio Grande LNG export facility reaching a final investment decision. </w:t>
      </w:r>
    </w:p>
    <w:p w:rsidR="00000000" w:rsidRDefault="00EE1167">
      <w:pPr>
        <w:divId w:val="1666858757"/>
        <w:rPr>
          <w:rFonts w:eastAsia="Times New Roman"/>
        </w:rPr>
      </w:pPr>
    </w:p>
    <w:p w:rsidR="00000000" w:rsidRDefault="00EE1167">
      <w:pPr>
        <w:ind w:hanging="360"/>
        <w:divId w:val="915940681"/>
        <w:rPr>
          <w:rFonts w:eastAsia="Times New Roman"/>
        </w:rPr>
      </w:pPr>
      <w:r>
        <w:rPr>
          <w:rFonts w:ascii="Calibri" w:eastAsia="Times New Roman" w:hAnsi="Calibri" w:cs="Calibri"/>
          <w:color w:val="000000"/>
          <w:sz w:val="22"/>
          <w:szCs w:val="22"/>
        </w:rPr>
        <w:t>•</w:t>
      </w:r>
      <w:r>
        <w:rPr>
          <w:rFonts w:ascii="Arial" w:eastAsia="Times New Roman" w:hAnsi="Arial" w:cs="Arial"/>
          <w:b/>
          <w:bCs/>
          <w:color w:val="000000"/>
          <w:sz w:val="20"/>
          <w:szCs w:val="20"/>
        </w:rPr>
        <w:t xml:space="preserve">Ridgeline Expansion Project Opportunity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We are working on a potential expansion of </w:t>
      </w:r>
      <w:r>
        <w:rPr>
          <w:rFonts w:ascii="Arial" w:eastAsia="Times New Roman" w:hAnsi="Arial" w:cs="Arial"/>
          <w:color w:val="000000"/>
          <w:sz w:val="20"/>
          <w:szCs w:val="20"/>
        </w:rPr>
        <w:t>the ETNG system which would provide additional natural gas for the Tennessee Valley Authority (TVA) to support the replacement of an existing coal-fired power plant as it continues to transition its generation mix towards lower-carbon fuels. The TVA enviro</w:t>
      </w:r>
      <w:r>
        <w:rPr>
          <w:rFonts w:ascii="Arial" w:eastAsia="Times New Roman" w:hAnsi="Arial" w:cs="Arial"/>
          <w:color w:val="000000"/>
          <w:sz w:val="20"/>
          <w:szCs w:val="20"/>
        </w:rPr>
        <w:t>nmental review scoping process has begun for this proposed plant; TVA published a Notice of Intent on the Federal Register on June 15, 2021 to initiate their review process. Several options to replace the retiring coal-fired generation would be assessed in</w:t>
      </w:r>
      <w:r>
        <w:rPr>
          <w:rFonts w:ascii="Arial" w:eastAsia="Times New Roman" w:hAnsi="Arial" w:cs="Arial"/>
          <w:color w:val="000000"/>
          <w:sz w:val="20"/>
          <w:szCs w:val="20"/>
        </w:rPr>
        <w:t xml:space="preserve"> TVA’s Environmental Impact Statement (EIS). Should the onsite natural gas option of building a combined cycle plant be selected through TVA’s review, we would deliver on the required expansion of the East Tennessee system. ETNG’s proposed project would co</w:t>
      </w:r>
      <w:r>
        <w:rPr>
          <w:rFonts w:ascii="Arial" w:eastAsia="Times New Roman" w:hAnsi="Arial" w:cs="Arial"/>
          <w:color w:val="000000"/>
          <w:sz w:val="20"/>
          <w:szCs w:val="20"/>
        </w:rPr>
        <w:t xml:space="preserve">nsist of the installation of additional pipeline primarily along the ETNG system, the installation of one electric-powered compressor station and solar facilities behind the meter, as well as other design features all contributing to minimizing greenhouse </w:t>
      </w:r>
      <w:r>
        <w:rPr>
          <w:rFonts w:ascii="Arial" w:eastAsia="Times New Roman" w:hAnsi="Arial" w:cs="Arial"/>
          <w:color w:val="000000"/>
          <w:sz w:val="20"/>
          <w:szCs w:val="20"/>
        </w:rPr>
        <w:t>gas emissions. Should TVA’s environmental assessment determine that the natural gas solution of building an onsite combined cycle plant is the optimal supply source, and pending the approval and receipt of all necessary permits, construction of the pipelin</w:t>
      </w:r>
      <w:r>
        <w:rPr>
          <w:rFonts w:ascii="Arial" w:eastAsia="Times New Roman" w:hAnsi="Arial" w:cs="Arial"/>
          <w:color w:val="000000"/>
          <w:sz w:val="20"/>
          <w:szCs w:val="20"/>
        </w:rPr>
        <w:t>e would begin in 2025 with a target in-service date of fall 2026.</w:t>
      </w:r>
    </w:p>
    <w:p w:rsidR="00000000" w:rsidRDefault="00EE1167">
      <w:pPr>
        <w:divId w:val="1929534046"/>
        <w:rPr>
          <w:rFonts w:eastAsia="Times New Roman"/>
        </w:rPr>
      </w:pPr>
    </w:p>
    <w:p w:rsidR="00000000" w:rsidRDefault="00EE1167">
      <w:pPr>
        <w:ind w:hanging="360"/>
        <w:divId w:val="2074964127"/>
        <w:rPr>
          <w:rFonts w:eastAsia="Times New Roman"/>
        </w:rPr>
      </w:pPr>
      <w:r>
        <w:rPr>
          <w:rFonts w:ascii="Calibri" w:eastAsia="Times New Roman" w:hAnsi="Calibri" w:cs="Calibri"/>
          <w:color w:val="000000"/>
          <w:sz w:val="22"/>
          <w:szCs w:val="22"/>
        </w:rPr>
        <w:t>•</w:t>
      </w:r>
      <w:r>
        <w:rPr>
          <w:rFonts w:ascii="Arial" w:eastAsia="Times New Roman" w:hAnsi="Arial" w:cs="Arial"/>
          <w:b/>
          <w:bCs/>
          <w:color w:val="000000"/>
          <w:sz w:val="20"/>
          <w:szCs w:val="20"/>
        </w:rPr>
        <w:t>Valley Crossing Expansion Project</w:t>
      </w:r>
      <w:r>
        <w:rPr>
          <w:rFonts w:ascii="Arial" w:eastAsia="Times New Roman" w:hAnsi="Arial" w:cs="Arial"/>
          <w:color w:val="000000"/>
          <w:sz w:val="20"/>
          <w:szCs w:val="20"/>
        </w:rPr>
        <w:t xml:space="preserve"> - We are pursuing an expansion of the existing Valley Crossing Pipeline to supply Texas LNG Brownsville, LLC with feed gas for their proposed liquefactio</w:t>
      </w:r>
      <w:r>
        <w:rPr>
          <w:rFonts w:ascii="Arial" w:eastAsia="Times New Roman" w:hAnsi="Arial" w:cs="Arial"/>
          <w:color w:val="000000"/>
          <w:sz w:val="20"/>
          <w:szCs w:val="20"/>
        </w:rPr>
        <w:t xml:space="preserve">n and export facility in Port of Brownsville, Texas. </w:t>
      </w:r>
    </w:p>
    <w:p w:rsidR="00000000" w:rsidRDefault="00EE1167">
      <w:pPr>
        <w:divId w:val="793137279"/>
        <w:rPr>
          <w:rFonts w:eastAsia="Times New Roman"/>
        </w:rPr>
      </w:pPr>
    </w:p>
    <w:p w:rsidR="00000000" w:rsidRDefault="00EE1167">
      <w:pPr>
        <w:divId w:val="1247114495"/>
        <w:rPr>
          <w:rFonts w:eastAsia="Times New Roman"/>
        </w:rPr>
      </w:pPr>
      <w:r>
        <w:rPr>
          <w:rFonts w:ascii="Arial" w:eastAsia="Times New Roman" w:hAnsi="Arial" w:cs="Arial"/>
          <w:color w:val="000000"/>
          <w:sz w:val="20"/>
          <w:szCs w:val="20"/>
        </w:rPr>
        <w:t>We also have a portfolio of additional projects under development that have not yet progressed to the point of securement.</w:t>
      </w:r>
    </w:p>
    <w:p w:rsidR="00000000" w:rsidRDefault="00EE1167">
      <w:pPr>
        <w:divId w:val="186211816"/>
        <w:rPr>
          <w:rFonts w:eastAsia="Times New Roman"/>
        </w:rPr>
      </w:pPr>
    </w:p>
    <w:p w:rsidR="00000000" w:rsidRDefault="00EE1167">
      <w:pPr>
        <w:jc w:val="center"/>
        <w:divId w:val="736325598"/>
        <w:rPr>
          <w:rFonts w:eastAsia="Times New Roman"/>
        </w:rPr>
      </w:pPr>
      <w:r>
        <w:rPr>
          <w:rFonts w:ascii="Arial" w:eastAsia="Times New Roman" w:hAnsi="Arial" w:cs="Arial"/>
          <w:color w:val="000000"/>
          <w:sz w:val="20"/>
          <w:szCs w:val="20"/>
        </w:rPr>
        <w:t>53</w:t>
      </w:r>
    </w:p>
    <w:p w:rsidR="00000000" w:rsidRDefault="00EE1167">
      <w:pPr>
        <w:rPr>
          <w:rFonts w:eastAsia="Times New Roman"/>
        </w:rPr>
      </w:pPr>
      <w:r>
        <w:rPr>
          <w:rFonts w:eastAsia="Times New Roman"/>
        </w:rPr>
        <w:pict>
          <v:rect id="_x0000_i1078" style="width:0;height:1.5pt" o:hralign="center" o:hrstd="t" o:hr="t" fillcolor="#a0a0a0" stroked="f"/>
        </w:pict>
      </w:r>
    </w:p>
    <w:p w:rsidR="00000000" w:rsidRDefault="00EE1167">
      <w:pPr>
        <w:jc w:val="center"/>
        <w:divId w:val="737825000"/>
        <w:rPr>
          <w:rFonts w:eastAsia="Times New Roman"/>
        </w:rPr>
      </w:pPr>
    </w:p>
    <w:p w:rsidR="00000000" w:rsidRDefault="00EE1167">
      <w:pPr>
        <w:divId w:val="56249952"/>
        <w:rPr>
          <w:rFonts w:eastAsia="Times New Roman"/>
        </w:rPr>
      </w:pPr>
      <w:r>
        <w:rPr>
          <w:rFonts w:ascii="Arial" w:eastAsia="Times New Roman" w:hAnsi="Arial" w:cs="Arial"/>
          <w:b/>
          <w:bCs/>
          <w:color w:val="000000"/>
          <w:sz w:val="26"/>
          <w:szCs w:val="26"/>
        </w:rPr>
        <w:t xml:space="preserve">LIQUIDITY AND CAPITAL RESOURCES </w:t>
      </w:r>
    </w:p>
    <w:p w:rsidR="00000000" w:rsidRDefault="00EE1167">
      <w:pPr>
        <w:divId w:val="1465193113"/>
        <w:rPr>
          <w:rFonts w:eastAsia="Times New Roman"/>
        </w:rPr>
      </w:pPr>
      <w:r>
        <w:rPr>
          <w:rFonts w:ascii="Arial" w:eastAsia="Times New Roman" w:hAnsi="Arial" w:cs="Arial"/>
          <w:color w:val="000000"/>
          <w:sz w:val="20"/>
          <w:szCs w:val="20"/>
        </w:rPr>
        <w:t> </w:t>
      </w:r>
    </w:p>
    <w:p w:rsidR="00000000" w:rsidRDefault="00EE1167">
      <w:pPr>
        <w:divId w:val="2135171625"/>
        <w:rPr>
          <w:rFonts w:eastAsia="Times New Roman"/>
        </w:rPr>
      </w:pPr>
      <w:r>
        <w:rPr>
          <w:rFonts w:ascii="Arial" w:eastAsia="Times New Roman" w:hAnsi="Arial" w:cs="Arial"/>
          <w:color w:val="000000"/>
          <w:sz w:val="20"/>
          <w:szCs w:val="20"/>
        </w:rPr>
        <w:t>The maintenance of financial strength and flexibility is fundamental to our growth strategy, particularly in light of the significant number and size of capital projects currently secured or under development. Access to timely funding from capital markets</w:t>
      </w:r>
      <w:r>
        <w:rPr>
          <w:rFonts w:ascii="Arial" w:eastAsia="Times New Roman" w:hAnsi="Arial" w:cs="Arial"/>
          <w:color w:val="000000"/>
          <w:sz w:val="20"/>
          <w:szCs w:val="20"/>
        </w:rPr>
        <w:t xml:space="preserve"> could be limited by factors outside our control, including but not limited to financial market volatility resulting from economic and political events both inside and outside North America. To mitigate such risks, we actively manage financial plans and st</w:t>
      </w:r>
      <w:r>
        <w:rPr>
          <w:rFonts w:ascii="Arial" w:eastAsia="Times New Roman" w:hAnsi="Arial" w:cs="Arial"/>
          <w:color w:val="000000"/>
          <w:sz w:val="20"/>
          <w:szCs w:val="20"/>
        </w:rPr>
        <w:t>rategies to help ensure we maintain sufficient liquidity to meet routine operating and future capital requirements. In the near term, we generally expect to utilize cash from operations together with commercial paper issuance and/or credit facility draws a</w:t>
      </w:r>
      <w:r>
        <w:rPr>
          <w:rFonts w:ascii="Arial" w:eastAsia="Times New Roman" w:hAnsi="Arial" w:cs="Arial"/>
          <w:color w:val="000000"/>
          <w:sz w:val="20"/>
          <w:szCs w:val="20"/>
        </w:rPr>
        <w:t>nd the proceeds of capital market offerings to fund liabilities as they become due, finance capital expenditures, fund debt retirements and pay common and preference share dividends. We target to maintain sufficient liquidity through securement of committe</w:t>
      </w:r>
      <w:r>
        <w:rPr>
          <w:rFonts w:ascii="Arial" w:eastAsia="Times New Roman" w:hAnsi="Arial" w:cs="Arial"/>
          <w:color w:val="000000"/>
          <w:sz w:val="20"/>
          <w:szCs w:val="20"/>
        </w:rPr>
        <w:t>d credit facilities with a diversified group of banks and financial institutions to enable us to fund all anticipated requirements for approximately one year without accessing the capital markets.</w:t>
      </w:r>
    </w:p>
    <w:p w:rsidR="00000000" w:rsidRDefault="00EE1167">
      <w:pPr>
        <w:divId w:val="377246056"/>
        <w:rPr>
          <w:rFonts w:eastAsia="Times New Roman"/>
        </w:rPr>
      </w:pPr>
      <w:r>
        <w:rPr>
          <w:rFonts w:ascii="Arial" w:eastAsia="Times New Roman" w:hAnsi="Arial" w:cs="Arial"/>
          <w:color w:val="000000"/>
          <w:sz w:val="20"/>
          <w:szCs w:val="20"/>
        </w:rPr>
        <w:t> </w:t>
      </w:r>
    </w:p>
    <w:p w:rsidR="00000000" w:rsidRDefault="00EE1167">
      <w:pPr>
        <w:divId w:val="504440908"/>
        <w:rPr>
          <w:rFonts w:eastAsia="Times New Roman"/>
        </w:rPr>
      </w:pPr>
      <w:r>
        <w:rPr>
          <w:rFonts w:ascii="Arial" w:eastAsia="Times New Roman" w:hAnsi="Arial" w:cs="Arial"/>
          <w:color w:val="000000"/>
          <w:sz w:val="20"/>
          <w:szCs w:val="20"/>
        </w:rPr>
        <w:t>Our financing plan is regularly updated to reflect evolvi</w:t>
      </w:r>
      <w:r>
        <w:rPr>
          <w:rFonts w:ascii="Arial" w:eastAsia="Times New Roman" w:hAnsi="Arial" w:cs="Arial"/>
          <w:color w:val="000000"/>
          <w:sz w:val="20"/>
          <w:szCs w:val="20"/>
        </w:rPr>
        <w:t>ng capital requirements and financial market conditions and identifies a variety of potential sources of debt and equity funding alternatives. Our current financing plan does not include any issuances of additional common equity.</w:t>
      </w:r>
    </w:p>
    <w:p w:rsidR="00000000" w:rsidRDefault="00EE1167">
      <w:pPr>
        <w:divId w:val="1831367996"/>
        <w:rPr>
          <w:rFonts w:eastAsia="Times New Roman"/>
        </w:rPr>
      </w:pPr>
    </w:p>
    <w:p w:rsidR="00000000" w:rsidRDefault="00EE1167">
      <w:pPr>
        <w:divId w:val="1004748881"/>
        <w:rPr>
          <w:rFonts w:eastAsia="Times New Roman"/>
        </w:rPr>
      </w:pPr>
      <w:r>
        <w:rPr>
          <w:rFonts w:ascii="Arial" w:eastAsia="Times New Roman" w:hAnsi="Arial" w:cs="Arial"/>
          <w:b/>
          <w:bCs/>
          <w:color w:val="000000"/>
          <w:sz w:val="20"/>
          <w:szCs w:val="20"/>
        </w:rPr>
        <w:t>CAPITAL MARKET ACCESS</w:t>
      </w:r>
    </w:p>
    <w:p w:rsidR="00000000" w:rsidRDefault="00EE1167">
      <w:pPr>
        <w:divId w:val="6251413"/>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ensure ready access to capital markets, subject to market conditions, through maintenance of shelf prospectuses that allow for issuance of long-term debt, equity and other forms of long-term capital when market conditions are attractive.</w:t>
      </w:r>
    </w:p>
    <w:p w:rsidR="00000000" w:rsidRDefault="00EE1167">
      <w:pPr>
        <w:divId w:val="1771706844"/>
        <w:rPr>
          <w:rFonts w:eastAsia="Times New Roman"/>
        </w:rPr>
      </w:pPr>
    </w:p>
    <w:p w:rsidR="00000000" w:rsidRDefault="00EE1167">
      <w:pPr>
        <w:divId w:val="303193648"/>
        <w:rPr>
          <w:rFonts w:eastAsia="Times New Roman"/>
        </w:rPr>
      </w:pPr>
      <w:r>
        <w:rPr>
          <w:rFonts w:ascii="Arial" w:eastAsia="Times New Roman" w:hAnsi="Arial" w:cs="Arial"/>
          <w:b/>
          <w:bCs/>
          <w:color w:val="000000"/>
          <w:sz w:val="20"/>
          <w:szCs w:val="20"/>
        </w:rPr>
        <w:t>Credit Faciliti</w:t>
      </w:r>
      <w:r>
        <w:rPr>
          <w:rFonts w:ascii="Arial" w:eastAsia="Times New Roman" w:hAnsi="Arial" w:cs="Arial"/>
          <w:b/>
          <w:bCs/>
          <w:color w:val="000000"/>
          <w:sz w:val="20"/>
          <w:szCs w:val="20"/>
        </w:rPr>
        <w:t>es and Liquidity</w:t>
      </w:r>
    </w:p>
    <w:p w:rsidR="00000000" w:rsidRDefault="00EE1167">
      <w:pPr>
        <w:divId w:val="157380136"/>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optimize pricing and other terms.</w:t>
      </w:r>
      <w:r>
        <w:rPr>
          <w:rFonts w:ascii="Arial" w:eastAsia="Times New Roman" w:hAnsi="Arial" w:cs="Arial"/>
          <w:color w:val="000000"/>
          <w:sz w:val="20"/>
          <w:szCs w:val="20"/>
        </w:rPr>
        <w:t xml:space="preserve"> The following table provides details of our committed credit facilities as at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71"/>
        <w:gridCol w:w="849"/>
        <w:gridCol w:w="36"/>
        <w:gridCol w:w="72"/>
        <w:gridCol w:w="848"/>
        <w:gridCol w:w="36"/>
        <w:gridCol w:w="69"/>
        <w:gridCol w:w="852"/>
        <w:gridCol w:w="36"/>
        <w:gridCol w:w="74"/>
        <w:gridCol w:w="850"/>
        <w:gridCol w:w="36"/>
      </w:tblGrid>
      <w:tr w:rsidR="00000000">
        <w:trPr>
          <w:divId w:val="1860388759"/>
        </w:trPr>
        <w:tc>
          <w:tcPr>
            <w:tcW w:w="50" w:type="pct"/>
            <w:vAlign w:val="center"/>
            <w:hideMark/>
          </w:tcPr>
          <w:p w:rsidR="00000000" w:rsidRDefault="00EE1167">
            <w:pPr>
              <w:rPr>
                <w:rFonts w:eastAsia="Times New Roman"/>
              </w:rPr>
            </w:pPr>
          </w:p>
        </w:tc>
        <w:tc>
          <w:tcPr>
            <w:tcW w:w="263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860388759"/>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Maturit</w:t>
            </w:r>
            <w:r>
              <w:rPr>
                <w:rFonts w:ascii="Arial" w:eastAsia="Times New Roman" w:hAnsi="Arial" w:cs="Arial"/>
                <w:color w:val="000000"/>
                <w:sz w:val="20"/>
                <w:szCs w:val="20"/>
              </w:rPr>
              <w:t>y</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Available</w:t>
            </w:r>
          </w:p>
        </w:tc>
      </w:tr>
      <w:tr w:rsidR="00000000">
        <w:trPr>
          <w:divId w:val="1860388759"/>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 </w:t>
            </w:r>
          </w:p>
        </w:tc>
      </w:tr>
      <w:tr w:rsidR="00000000">
        <w:trPr>
          <w:divId w:val="186038875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2022-2026</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9,169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7,378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1,791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6038875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2023-2026</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6,968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4,453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6038875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469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60388759"/>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2023</w:t>
            </w: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1,205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795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860388759"/>
        </w:trPr>
        <w:tc>
          <w:tcPr>
            <w:tcW w:w="0" w:type="auto"/>
            <w:gridSpan w:val="3"/>
            <w:tcBorders>
              <w:top w:val="single" w:sz="4" w:space="0" w:color="000000"/>
              <w:bottom w:val="single" w:sz="12"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4" w:space="0" w:color="000000"/>
              <w:bottom w:val="single" w:sz="12"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21,137</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11,567</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9,570</w:t>
            </w:r>
            <w:r>
              <w:rPr>
                <w:rFonts w:ascii="Arial" w:eastAsia="Times New Roman" w:hAnsi="Arial" w:cs="Arial"/>
                <w:color w:val="000000"/>
                <w:sz w:val="20"/>
                <w:szCs w:val="20"/>
              </w:rPr>
              <w:t> </w:t>
            </w:r>
          </w:p>
        </w:tc>
        <w:tc>
          <w:tcPr>
            <w:tcW w:w="0" w:type="auto"/>
            <w:tcBorders>
              <w:top w:val="single" w:sz="4"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2004551872"/>
        <w:rPr>
          <w:rFonts w:eastAsia="Times New Roman"/>
        </w:rPr>
      </w:pPr>
      <w:r>
        <w:rPr>
          <w:rFonts w:ascii="Arial" w:eastAsia="Times New Roman" w:hAnsi="Arial" w:cs="Arial"/>
          <w:color w:val="000000"/>
          <w:sz w:val="2"/>
          <w:szCs w:val="2"/>
        </w:rPr>
        <w:t> </w:t>
      </w:r>
    </w:p>
    <w:p w:rsidR="00000000" w:rsidRDefault="00EE1167">
      <w:pPr>
        <w:ind w:hanging="180"/>
        <w:divId w:val="1226717584"/>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Maturity date is inclusive of the one-year term out option for certain credit facilities.</w:t>
      </w:r>
    </w:p>
    <w:p w:rsidR="00000000" w:rsidRDefault="00EE1167">
      <w:pPr>
        <w:ind w:hanging="180"/>
        <w:divId w:val="1432772646"/>
        <w:rPr>
          <w:rFonts w:eastAsia="Times New Roman"/>
        </w:rPr>
      </w:pPr>
      <w:r>
        <w:rPr>
          <w:rFonts w:ascii="Arial" w:eastAsia="Times New Roman" w:hAnsi="Arial" w:cs="Arial"/>
          <w:i/>
          <w:iCs/>
          <w:color w:val="000000"/>
          <w:sz w:val="16"/>
          <w:szCs w:val="16"/>
        </w:rPr>
        <w:t>2Includes facility draws and commercial paper issuances that are back-stopped by credit facilities.</w:t>
      </w:r>
    </w:p>
    <w:p w:rsidR="00000000" w:rsidRDefault="00EE1167">
      <w:pPr>
        <w:divId w:val="1031957574"/>
        <w:rPr>
          <w:rFonts w:eastAsia="Times New Roman"/>
        </w:rPr>
      </w:pPr>
    </w:p>
    <w:p w:rsidR="00000000" w:rsidRDefault="00EE1167">
      <w:pPr>
        <w:divId w:val="1526947456"/>
        <w:rPr>
          <w:rFonts w:eastAsia="Times New Roman"/>
        </w:rPr>
      </w:pPr>
      <w:r>
        <w:rPr>
          <w:rFonts w:ascii="Arial" w:eastAsia="Times New Roman" w:hAnsi="Arial" w:cs="Arial"/>
          <w:color w:val="000000"/>
          <w:sz w:val="20"/>
          <w:szCs w:val="20"/>
        </w:rPr>
        <w:t>On February 10, 2021, Enbr</w:t>
      </w:r>
      <w:r>
        <w:rPr>
          <w:rFonts w:ascii="Arial" w:eastAsia="Times New Roman" w:hAnsi="Arial" w:cs="Arial"/>
          <w:color w:val="000000"/>
          <w:sz w:val="20"/>
          <w:szCs w:val="20"/>
        </w:rPr>
        <w:t>idge Inc. entered into a three year, revolving, extendible, sustainability-linked credit facility for $1.0 billion with a syndicate of lenders and concurrently terminated our one year, revolving, syndicated credit facility for $3.0 billion.</w:t>
      </w:r>
    </w:p>
    <w:p w:rsidR="00000000" w:rsidRDefault="00EE1167">
      <w:pPr>
        <w:divId w:val="1909067849"/>
        <w:rPr>
          <w:rFonts w:eastAsia="Times New Roman"/>
        </w:rPr>
      </w:pPr>
    </w:p>
    <w:p w:rsidR="00000000" w:rsidRDefault="00EE1167">
      <w:pPr>
        <w:divId w:val="1165971957"/>
        <w:rPr>
          <w:rFonts w:eastAsia="Times New Roman"/>
        </w:rPr>
      </w:pPr>
      <w:r>
        <w:rPr>
          <w:rFonts w:ascii="Arial" w:eastAsia="Times New Roman" w:hAnsi="Arial" w:cs="Arial"/>
          <w:color w:val="000000"/>
          <w:sz w:val="20"/>
          <w:szCs w:val="20"/>
        </w:rPr>
        <w:t>On February 2</w:t>
      </w:r>
      <w:r>
        <w:rPr>
          <w:rFonts w:ascii="Arial" w:eastAsia="Times New Roman" w:hAnsi="Arial" w:cs="Arial"/>
          <w:color w:val="000000"/>
          <w:sz w:val="20"/>
          <w:szCs w:val="20"/>
        </w:rPr>
        <w:t>5, 2021, two term loans with an aggregate total of US$500 million were repaid with proceeds from a floating rate notes issuance.</w:t>
      </w:r>
    </w:p>
    <w:p w:rsidR="00000000" w:rsidRDefault="00EE1167">
      <w:pPr>
        <w:divId w:val="976179438"/>
        <w:rPr>
          <w:rFonts w:eastAsia="Times New Roman"/>
        </w:rPr>
      </w:pPr>
    </w:p>
    <w:p w:rsidR="00000000" w:rsidRDefault="00EE1167">
      <w:pPr>
        <w:jc w:val="center"/>
        <w:divId w:val="1796942374"/>
        <w:rPr>
          <w:rFonts w:eastAsia="Times New Roman"/>
        </w:rPr>
      </w:pPr>
      <w:r>
        <w:rPr>
          <w:rFonts w:ascii="Arial" w:eastAsia="Times New Roman" w:hAnsi="Arial" w:cs="Arial"/>
          <w:color w:val="000000"/>
          <w:sz w:val="20"/>
          <w:szCs w:val="20"/>
        </w:rPr>
        <w:t>54</w:t>
      </w:r>
    </w:p>
    <w:p w:rsidR="00000000" w:rsidRDefault="00EE1167">
      <w:pPr>
        <w:rPr>
          <w:rFonts w:eastAsia="Times New Roman"/>
        </w:rPr>
      </w:pPr>
      <w:r>
        <w:rPr>
          <w:rFonts w:eastAsia="Times New Roman"/>
        </w:rPr>
        <w:pict>
          <v:rect id="_x0000_i1079" style="width:0;height:1.5pt" o:hralign="center" o:hrstd="t" o:hr="t" fillcolor="#a0a0a0" stroked="f"/>
        </w:pict>
      </w:r>
    </w:p>
    <w:p w:rsidR="00000000" w:rsidRDefault="00EE1167">
      <w:pPr>
        <w:jc w:val="center"/>
        <w:divId w:val="489828713"/>
        <w:rPr>
          <w:rFonts w:eastAsia="Times New Roman"/>
        </w:rPr>
      </w:pPr>
    </w:p>
    <w:p w:rsidR="00000000" w:rsidRDefault="00EE1167">
      <w:pPr>
        <w:divId w:val="427964566"/>
        <w:rPr>
          <w:rFonts w:eastAsia="Times New Roman"/>
        </w:rPr>
      </w:pPr>
      <w:r>
        <w:rPr>
          <w:rFonts w:ascii="Arial" w:eastAsia="Times New Roman" w:hAnsi="Arial" w:cs="Arial"/>
          <w:color w:val="000000"/>
          <w:sz w:val="20"/>
          <w:szCs w:val="20"/>
        </w:rPr>
        <w:t>On July 22 and 23, 2021, we renewed approximately $8.0 billion of our five-year cred</w:t>
      </w:r>
      <w:r>
        <w:rPr>
          <w:rFonts w:ascii="Arial" w:eastAsia="Times New Roman" w:hAnsi="Arial" w:cs="Arial"/>
          <w:color w:val="000000"/>
          <w:sz w:val="20"/>
          <w:szCs w:val="20"/>
        </w:rPr>
        <w:t>it facilities, extending the maturity date out to July 2026. We also extended approximately $10.0 billion of our 364-day extendible credit facilities to July 2022, which includes a one-year term out provision to July 2023.</w:t>
      </w:r>
    </w:p>
    <w:p w:rsidR="00000000" w:rsidRDefault="00EE1167">
      <w:pPr>
        <w:divId w:val="1733043513"/>
        <w:rPr>
          <w:rFonts w:eastAsia="Times New Roman"/>
        </w:rPr>
      </w:pPr>
    </w:p>
    <w:p w:rsidR="00000000" w:rsidRDefault="00EE1167">
      <w:pPr>
        <w:divId w:val="413742790"/>
        <w:rPr>
          <w:rFonts w:eastAsia="Times New Roman"/>
        </w:rPr>
      </w:pPr>
      <w:r>
        <w:rPr>
          <w:rFonts w:ascii="Arial" w:eastAsia="Times New Roman" w:hAnsi="Arial" w:cs="Arial"/>
          <w:color w:val="000000"/>
          <w:sz w:val="20"/>
          <w:szCs w:val="20"/>
        </w:rPr>
        <w:t>In addition to the committed cr</w:t>
      </w:r>
      <w:r>
        <w:rPr>
          <w:rFonts w:ascii="Arial" w:eastAsia="Times New Roman" w:hAnsi="Arial" w:cs="Arial"/>
          <w:color w:val="000000"/>
          <w:sz w:val="20"/>
          <w:szCs w:val="20"/>
        </w:rPr>
        <w:t>edit facilities noted above, we maintain $1.3 billion of uncommitted demand letter of credit facilities, of which $868 million was unutilized as at September 30, 2021. As at December 31, 2020, we had $849 million of uncommitted demand letter of credit faci</w:t>
      </w:r>
      <w:r>
        <w:rPr>
          <w:rFonts w:ascii="Arial" w:eastAsia="Times New Roman" w:hAnsi="Arial" w:cs="Arial"/>
          <w:color w:val="000000"/>
          <w:sz w:val="20"/>
          <w:szCs w:val="20"/>
        </w:rPr>
        <w:t>lities, of which $533 million was unutilized.</w:t>
      </w:r>
    </w:p>
    <w:p w:rsidR="00000000" w:rsidRDefault="00EE1167">
      <w:pPr>
        <w:divId w:val="1899122084"/>
        <w:rPr>
          <w:rFonts w:eastAsia="Times New Roman"/>
        </w:rPr>
      </w:pPr>
    </w:p>
    <w:p w:rsidR="00000000" w:rsidRDefault="00EE1167">
      <w:pPr>
        <w:divId w:val="923340526"/>
        <w:rPr>
          <w:rFonts w:eastAsia="Times New Roman"/>
        </w:rPr>
      </w:pPr>
      <w:r>
        <w:rPr>
          <w:rFonts w:ascii="Arial" w:eastAsia="Times New Roman" w:hAnsi="Arial" w:cs="Arial"/>
          <w:color w:val="000000"/>
          <w:sz w:val="20"/>
          <w:szCs w:val="20"/>
        </w:rPr>
        <w:t>Our net available liquidity of $10.0 billion as at September </w:t>
      </w:r>
      <w:r>
        <w:rPr>
          <w:rFonts w:ascii="Arial" w:eastAsia="Times New Roman" w:hAnsi="Arial" w:cs="Arial"/>
          <w:color w:val="000000"/>
          <w:sz w:val="20"/>
          <w:szCs w:val="20"/>
        </w:rPr>
        <w:t>30, 2021, was inclusive of $451 million of unrestricted cash and cash equivalents as reported in the Consolidated Statements of Financial Position.</w:t>
      </w:r>
    </w:p>
    <w:p w:rsidR="00000000" w:rsidRDefault="00EE1167">
      <w:pPr>
        <w:divId w:val="1126776921"/>
        <w:rPr>
          <w:rFonts w:eastAsia="Times New Roman"/>
        </w:rPr>
      </w:pPr>
    </w:p>
    <w:p w:rsidR="00000000" w:rsidRDefault="00EE1167">
      <w:pPr>
        <w:divId w:val="735129353"/>
        <w:rPr>
          <w:rFonts w:eastAsia="Times New Roman"/>
        </w:rPr>
      </w:pPr>
      <w:r>
        <w:rPr>
          <w:rFonts w:ascii="Arial" w:eastAsia="Times New Roman" w:hAnsi="Arial" w:cs="Arial"/>
          <w:color w:val="000000"/>
          <w:sz w:val="20"/>
          <w:szCs w:val="20"/>
        </w:rPr>
        <w:t>Our credit facility agreements and term debt indentures include standard events of default and covenant pr</w:t>
      </w:r>
      <w:r>
        <w:rPr>
          <w:rFonts w:ascii="Arial" w:eastAsia="Times New Roman" w:hAnsi="Arial" w:cs="Arial"/>
          <w:color w:val="000000"/>
          <w:sz w:val="20"/>
          <w:szCs w:val="20"/>
        </w:rPr>
        <w:t>ovisions whereby accelerated repayment and/or termination of the agreements may result if we were to default on payment or violate certain covenants. As at September 30, 2021, we were in compliance with all covenant provisions.</w:t>
      </w:r>
    </w:p>
    <w:p w:rsidR="00000000" w:rsidRDefault="00EE1167">
      <w:pPr>
        <w:divId w:val="1999261102"/>
        <w:rPr>
          <w:rFonts w:eastAsia="Times New Roman"/>
        </w:rPr>
      </w:pPr>
    </w:p>
    <w:p w:rsidR="00000000" w:rsidRDefault="00EE1167">
      <w:pPr>
        <w:divId w:val="712198476"/>
        <w:rPr>
          <w:rFonts w:eastAsia="Times New Roman"/>
        </w:rPr>
      </w:pPr>
      <w:r>
        <w:rPr>
          <w:rFonts w:ascii="Arial" w:eastAsia="Times New Roman" w:hAnsi="Arial" w:cs="Arial"/>
          <w:b/>
          <w:bCs/>
          <w:color w:val="000000"/>
          <w:sz w:val="20"/>
          <w:szCs w:val="20"/>
        </w:rPr>
        <w:t>LONG-TERM DEBT ISSUANCES</w:t>
      </w:r>
    </w:p>
    <w:p w:rsidR="00000000" w:rsidRDefault="00EE1167">
      <w:pPr>
        <w:divId w:val="396053210"/>
        <w:rPr>
          <w:rFonts w:eastAsia="Times New Roman"/>
        </w:rPr>
      </w:pPr>
      <w:r>
        <w:rPr>
          <w:rFonts w:ascii="Arial" w:eastAsia="Times New Roman" w:hAnsi="Arial" w:cs="Arial"/>
          <w:color w:val="000000"/>
          <w:sz w:val="20"/>
          <w:szCs w:val="20"/>
        </w:rPr>
        <w:t>D</w:t>
      </w:r>
      <w:r>
        <w:rPr>
          <w:rFonts w:ascii="Arial" w:eastAsia="Times New Roman" w:hAnsi="Arial" w:cs="Arial"/>
          <w:color w:val="000000"/>
          <w:sz w:val="20"/>
          <w:szCs w:val="20"/>
        </w:rPr>
        <w:t>uring the nine months ended September 30, 2021, we completed the following long-term debt issuances totaling US$2.4 billion and $3.2 billion: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805"/>
        <w:gridCol w:w="36"/>
        <w:gridCol w:w="69"/>
        <w:gridCol w:w="1345"/>
        <w:gridCol w:w="38"/>
        <w:gridCol w:w="69"/>
        <w:gridCol w:w="4754"/>
        <w:gridCol w:w="37"/>
        <w:gridCol w:w="69"/>
        <w:gridCol w:w="973"/>
        <w:gridCol w:w="37"/>
      </w:tblGrid>
      <w:tr w:rsidR="00000000">
        <w:trPr>
          <w:divId w:val="826871056"/>
        </w:trPr>
        <w:tc>
          <w:tcPr>
            <w:tcW w:w="50" w:type="pct"/>
            <w:vAlign w:val="center"/>
            <w:hideMark/>
          </w:tcPr>
          <w:p w:rsidR="00000000" w:rsidRDefault="00EE1167">
            <w:pPr>
              <w:rPr>
                <w:rFonts w:eastAsia="Times New Roman"/>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81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8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826871056"/>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Issue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Principal Amount</w:t>
            </w:r>
          </w:p>
        </w:tc>
      </w:tr>
      <w:tr w:rsidR="00000000">
        <w:trPr>
          <w:divId w:val="826871056"/>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r>
      <w:tr w:rsidR="00000000">
        <w:trPr>
          <w:divId w:val="826871056"/>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EE1167">
            <w:pPr>
              <w:spacing w:after="100"/>
              <w:divId w:val="507208095"/>
              <w:rPr>
                <w:rFonts w:eastAsia="Times New Roman"/>
              </w:rPr>
            </w:pPr>
            <w:r>
              <w:rPr>
                <w:rFonts w:ascii="Arial" w:eastAsia="Times New Roman" w:hAnsi="Arial" w:cs="Arial"/>
                <w:color w:val="000000"/>
                <w:sz w:val="18"/>
                <w:szCs w:val="18"/>
              </w:rPr>
              <w:t>Floating rate notes due February 202</w:t>
            </w:r>
            <w:r>
              <w:rPr>
                <w:rFonts w:ascii="Arial" w:eastAsia="Times New Roman" w:hAnsi="Arial" w:cs="Arial"/>
                <w:color w:val="000000"/>
                <w:sz w:val="18"/>
                <w:szCs w:val="18"/>
              </w:rPr>
              <w:t>3</w:t>
            </w:r>
            <w:r>
              <w:rPr>
                <w:rFonts w:ascii="Arial" w:eastAsia="Times New Roman" w:hAnsi="Arial" w:cs="Arial"/>
                <w:color w:val="000000"/>
                <w:sz w:val="12"/>
                <w:szCs w:val="12"/>
              </w:rPr>
              <w:t>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US$500</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110" w:type="dxa"/>
              <w:bottom w:w="30" w:type="dxa"/>
              <w:right w:w="20" w:type="dxa"/>
            </w:tcMar>
            <w:vAlign w:val="center"/>
            <w:hideMark/>
          </w:tcPr>
          <w:p w:rsidR="00000000" w:rsidRDefault="00EE1167">
            <w:pPr>
              <w:spacing w:after="100"/>
              <w:ind w:hanging="90"/>
              <w:rPr>
                <w:rFonts w:eastAsia="Times New Roman"/>
              </w:rPr>
            </w:pPr>
            <w:r>
              <w:rPr>
                <w:rFonts w:ascii="Arial" w:eastAsia="Times New Roman" w:hAnsi="Arial" w:cs="Arial"/>
                <w:color w:val="000000"/>
                <w:sz w:val="18"/>
                <w:szCs w:val="18"/>
              </w:rPr>
              <w:t>2.50% Sustainability-Linked senior notes due August 2033</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US$1,000</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3.40% senior notes due August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US$500</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3.10% Sustainability-Linked medium-term notes due September 2033</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$1,100</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4.10% medium-term notes due September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826871056"/>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2.35% medium-term notes due September 2031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$475</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3.20% medium-term notes due September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$425</w:t>
            </w:r>
          </w:p>
        </w:tc>
      </w:tr>
      <w:tr w:rsidR="00000000">
        <w:trPr>
          <w:divId w:val="826871056"/>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Pipelines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2.82% medium-term notes due May 2031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826871056"/>
        </w:trPr>
        <w:tc>
          <w:tcPr>
            <w:tcW w:w="0" w:type="auto"/>
            <w:gridSpan w:val="3"/>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4.20% medium-term notes due May 2051</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r>
      <w:tr w:rsidR="00000000">
        <w:trPr>
          <w:divId w:val="826871056"/>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826871056"/>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September 2021</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divId w:val="1155758625"/>
              <w:rPr>
                <w:rFonts w:eastAsia="Times New Roman"/>
              </w:rPr>
            </w:pPr>
            <w:r>
              <w:rPr>
                <w:rFonts w:ascii="Arial" w:eastAsia="Times New Roman" w:hAnsi="Arial" w:cs="Arial"/>
                <w:color w:val="000000"/>
                <w:sz w:val="18"/>
                <w:szCs w:val="18"/>
              </w:rPr>
              <w:t>2.50% senior notes due September 203</w:t>
            </w:r>
            <w:r>
              <w:rPr>
                <w:rFonts w:ascii="Arial" w:eastAsia="Times New Roman" w:hAnsi="Arial" w:cs="Arial"/>
                <w:color w:val="000000"/>
                <w:sz w:val="18"/>
                <w:szCs w:val="18"/>
              </w:rPr>
              <w:t>1</w:t>
            </w:r>
            <w:r>
              <w:rPr>
                <w:rFonts w:ascii="Arial" w:eastAsia="Times New Roman" w:hAnsi="Arial" w:cs="Arial"/>
                <w:color w:val="000000"/>
                <w:sz w:val="12"/>
                <w:szCs w:val="12"/>
              </w:rPr>
              <w:t>2</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US$400</w:t>
            </w:r>
          </w:p>
        </w:tc>
      </w:tr>
    </w:tbl>
    <w:p w:rsidR="00000000" w:rsidRDefault="00EE1167">
      <w:pPr>
        <w:ind w:hanging="180"/>
        <w:divId w:val="749620483"/>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Notes mature in two years and carry an interest rate set to equal SOFR plus a margin of 40 basis points.</w:t>
      </w:r>
      <w:r>
        <w:rPr>
          <w:rFonts w:ascii="Arial" w:eastAsia="Times New Roman" w:hAnsi="Arial" w:cs="Arial"/>
          <w:i/>
          <w:iCs/>
          <w:color w:val="000000"/>
          <w:sz w:val="20"/>
          <w:szCs w:val="20"/>
        </w:rPr>
        <w:t xml:space="preserve"> </w:t>
      </w:r>
    </w:p>
    <w:p w:rsidR="00000000" w:rsidRDefault="00EE1167">
      <w:pPr>
        <w:ind w:hanging="180"/>
        <w:divId w:val="141431105"/>
        <w:rPr>
          <w:rFonts w:eastAsia="Times New Roman"/>
        </w:rPr>
      </w:pPr>
      <w:r>
        <w:rPr>
          <w:rFonts w:ascii="Arial" w:eastAsia="Times New Roman" w:hAnsi="Arial" w:cs="Arial"/>
          <w:i/>
          <w:iCs/>
          <w:color w:val="000000"/>
          <w:sz w:val="16"/>
          <w:szCs w:val="16"/>
        </w:rPr>
        <w:t>2Issued through Texas Eastern, a wholly-owned operating subsidiary of SEP.</w:t>
      </w:r>
    </w:p>
    <w:p w:rsidR="00000000" w:rsidRDefault="00EE1167">
      <w:pPr>
        <w:divId w:val="2058166336"/>
        <w:rPr>
          <w:rFonts w:eastAsia="Times New Roman"/>
        </w:rPr>
      </w:pPr>
    </w:p>
    <w:p w:rsidR="00000000" w:rsidRDefault="00EE1167">
      <w:pPr>
        <w:divId w:val="1330869676"/>
        <w:rPr>
          <w:rFonts w:eastAsia="Times New Roman"/>
        </w:rPr>
      </w:pPr>
      <w:r>
        <w:rPr>
          <w:rFonts w:ascii="Arial" w:eastAsia="Times New Roman" w:hAnsi="Arial" w:cs="Arial"/>
          <w:color w:val="000000"/>
          <w:sz w:val="20"/>
          <w:szCs w:val="20"/>
        </w:rPr>
        <w:t>On October 4, 2021, we closed a three tranche offering of aggregate US$1.5 billion senior notes consisting of US$500 million 0.55% 2-year notes, US$500 million 1.60% 5-year notes, and a US$500 million re-opening of the 3.40% 2051 notes issued in June 2021.</w:t>
      </w:r>
      <w:r>
        <w:rPr>
          <w:rFonts w:ascii="Arial" w:eastAsia="Times New Roman" w:hAnsi="Arial" w:cs="Arial"/>
          <w:color w:val="000000"/>
          <w:sz w:val="20"/>
          <w:szCs w:val="20"/>
        </w:rPr>
        <w:t xml:space="preserve"> Each tranche is payable semi-annually in arrears and matures on October 4, 2023, October 4, 2026, and August 1, 2051, respectively. </w:t>
      </w:r>
    </w:p>
    <w:p w:rsidR="00000000" w:rsidRDefault="00EE1167">
      <w:pPr>
        <w:divId w:val="1862668134"/>
        <w:rPr>
          <w:rFonts w:eastAsia="Times New Roman"/>
        </w:rPr>
      </w:pPr>
    </w:p>
    <w:p w:rsidR="00000000" w:rsidRDefault="00EE1167">
      <w:pPr>
        <w:jc w:val="center"/>
        <w:divId w:val="1264530163"/>
        <w:rPr>
          <w:rFonts w:eastAsia="Times New Roman"/>
        </w:rPr>
      </w:pPr>
      <w:r>
        <w:rPr>
          <w:rFonts w:ascii="Arial" w:eastAsia="Times New Roman" w:hAnsi="Arial" w:cs="Arial"/>
          <w:color w:val="000000"/>
          <w:sz w:val="20"/>
          <w:szCs w:val="20"/>
        </w:rPr>
        <w:t>55</w:t>
      </w:r>
    </w:p>
    <w:p w:rsidR="00000000" w:rsidRDefault="00EE1167">
      <w:pPr>
        <w:rPr>
          <w:rFonts w:eastAsia="Times New Roman"/>
        </w:rPr>
      </w:pPr>
      <w:r>
        <w:rPr>
          <w:rFonts w:eastAsia="Times New Roman"/>
        </w:rPr>
        <w:pict>
          <v:rect id="_x0000_i1080" style="width:0;height:1.5pt" o:hralign="center" o:hrstd="t" o:hr="t" fillcolor="#a0a0a0" stroked="f"/>
        </w:pict>
      </w:r>
    </w:p>
    <w:p w:rsidR="00000000" w:rsidRDefault="00EE1167">
      <w:pPr>
        <w:jc w:val="center"/>
        <w:divId w:val="1845049666"/>
        <w:rPr>
          <w:rFonts w:eastAsia="Times New Roman"/>
        </w:rPr>
      </w:pPr>
    </w:p>
    <w:p w:rsidR="00000000" w:rsidRDefault="00EE1167">
      <w:pPr>
        <w:divId w:val="1157957873"/>
        <w:rPr>
          <w:rFonts w:eastAsia="Times New Roman"/>
        </w:rPr>
      </w:pPr>
      <w:r>
        <w:rPr>
          <w:rFonts w:ascii="Arial" w:eastAsia="Times New Roman" w:hAnsi="Arial" w:cs="Arial"/>
          <w:b/>
          <w:bCs/>
          <w:color w:val="000000"/>
          <w:sz w:val="20"/>
          <w:szCs w:val="20"/>
        </w:rPr>
        <w:t>LONG-TERM DEBT REPAYMENTS</w:t>
      </w:r>
    </w:p>
    <w:p w:rsidR="00000000" w:rsidRDefault="00EE1167">
      <w:pPr>
        <w:divId w:val="209195452"/>
        <w:rPr>
          <w:rFonts w:eastAsia="Times New Roman"/>
        </w:rPr>
      </w:pPr>
      <w:r>
        <w:rPr>
          <w:rFonts w:ascii="Arial" w:eastAsia="Times New Roman" w:hAnsi="Arial" w:cs="Arial"/>
          <w:color w:val="000000"/>
          <w:sz w:val="20"/>
          <w:szCs w:val="20"/>
        </w:rPr>
        <w:t xml:space="preserve">During the nine months ended September 30, 2021, we </w:t>
      </w:r>
      <w:r>
        <w:rPr>
          <w:rFonts w:ascii="Arial" w:eastAsia="Times New Roman" w:hAnsi="Arial" w:cs="Arial"/>
          <w:color w:val="000000"/>
          <w:sz w:val="20"/>
          <w:szCs w:val="20"/>
        </w:rPr>
        <w:t>completed the following long-term debt repayments totaling $808 million and US$880 million:</w:t>
      </w:r>
    </w:p>
    <w:tbl>
      <w:tblPr>
        <w:tblW w:w="5000" w:type="pct"/>
        <w:tblCellMar>
          <w:top w:w="15" w:type="dxa"/>
          <w:left w:w="15" w:type="dxa"/>
          <w:bottom w:w="15" w:type="dxa"/>
          <w:right w:w="15" w:type="dxa"/>
        </w:tblCellMar>
        <w:tblLook w:val="04A0" w:firstRow="1" w:lastRow="0" w:firstColumn="1" w:lastColumn="0" w:noHBand="0" w:noVBand="1"/>
      </w:tblPr>
      <w:tblGrid>
        <w:gridCol w:w="74"/>
        <w:gridCol w:w="795"/>
        <w:gridCol w:w="36"/>
        <w:gridCol w:w="67"/>
        <w:gridCol w:w="1328"/>
        <w:gridCol w:w="36"/>
        <w:gridCol w:w="67"/>
        <w:gridCol w:w="4693"/>
        <w:gridCol w:w="36"/>
        <w:gridCol w:w="68"/>
        <w:gridCol w:w="962"/>
        <w:gridCol w:w="36"/>
        <w:gridCol w:w="36"/>
        <w:gridCol w:w="36"/>
        <w:gridCol w:w="36"/>
      </w:tblGrid>
      <w:tr w:rsidR="00000000">
        <w:trPr>
          <w:divId w:val="468137445"/>
        </w:trPr>
        <w:tc>
          <w:tcPr>
            <w:tcW w:w="50" w:type="pct"/>
            <w:vAlign w:val="center"/>
            <w:hideMark/>
          </w:tcPr>
          <w:p w:rsidR="00000000" w:rsidRDefault="00EE1167">
            <w:pPr>
              <w:rPr>
                <w:rFonts w:eastAsia="Times New Roman"/>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81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86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9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Company</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18"/>
                <w:szCs w:val="18"/>
              </w:rPr>
              <w:t>Repayment Date</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Principal Amount</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9"/>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5"/>
                <w:szCs w:val="15"/>
              </w:rPr>
              <w:t>(millions of Canadian dollars unless otherwise stated)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February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March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3.16%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$400</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4.20%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US$600</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Gas Inc.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May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2.76% medium-term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$200</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Pipelines (Southern Lights) L.L.C.</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3.98%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US$30</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6"/>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Enbridge Southern Lights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June 2021</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4.01% senior notes</w:t>
            </w:r>
          </w:p>
        </w:tc>
        <w:tc>
          <w:tcPr>
            <w:tcW w:w="0" w:type="auto"/>
            <w:gridSpan w:val="3"/>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$8</w:t>
            </w:r>
          </w:p>
        </w:tc>
        <w:tc>
          <w:tcPr>
            <w:tcW w:w="0" w:type="auto"/>
            <w:gridSpan w:val="3"/>
            <w:vAlign w:val="center"/>
            <w:hideMark/>
          </w:tcPr>
          <w:p w:rsidR="00000000" w:rsidRDefault="00EE1167">
            <w:pPr>
              <w:spacing w:after="100"/>
              <w:jc w:val="right"/>
              <w:rPr>
                <w:rFonts w:eastAsia="Times New Roman"/>
              </w:rPr>
            </w:pPr>
          </w:p>
        </w:tc>
      </w:tr>
      <w:tr w:rsidR="00000000">
        <w:trPr>
          <w:divId w:val="468137445"/>
        </w:trPr>
        <w:tc>
          <w:tcPr>
            <w:tcW w:w="0" w:type="auto"/>
            <w:gridSpan w:val="9"/>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Spectra Energy Partners, LP</w:t>
            </w: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divId w:val="468137445"/>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March 2021</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18"/>
                <w:szCs w:val="18"/>
              </w:rPr>
              <w:t>4.60% senior notes</w:t>
            </w:r>
          </w:p>
        </w:tc>
        <w:tc>
          <w:tcPr>
            <w:tcW w:w="0" w:type="auto"/>
            <w:gridSpan w:val="3"/>
            <w:tcBorders>
              <w:bottom w:val="single" w:sz="12"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18"/>
                <w:szCs w:val="18"/>
              </w:rPr>
              <w:t>US$250</w:t>
            </w:r>
          </w:p>
        </w:tc>
        <w:tc>
          <w:tcPr>
            <w:tcW w:w="0" w:type="auto"/>
            <w:gridSpan w:val="3"/>
            <w:vAlign w:val="center"/>
            <w:hideMark/>
          </w:tcPr>
          <w:p w:rsidR="00000000" w:rsidRDefault="00EE1167">
            <w:pPr>
              <w:spacing w:after="100"/>
              <w:jc w:val="right"/>
              <w:rPr>
                <w:rFonts w:eastAsia="Times New Roman"/>
              </w:rPr>
            </w:pPr>
          </w:p>
        </w:tc>
      </w:tr>
    </w:tbl>
    <w:p w:rsidR="00000000" w:rsidRDefault="00EE1167">
      <w:pPr>
        <w:divId w:val="553194905"/>
        <w:rPr>
          <w:rFonts w:eastAsia="Times New Roman"/>
        </w:rPr>
      </w:pPr>
    </w:p>
    <w:p w:rsidR="00000000" w:rsidRDefault="00EE1167">
      <w:pPr>
        <w:divId w:val="222378174"/>
        <w:rPr>
          <w:rFonts w:eastAsia="Times New Roman"/>
        </w:rPr>
      </w:pPr>
      <w:r>
        <w:rPr>
          <w:rFonts w:ascii="Arial" w:eastAsia="Times New Roman" w:hAnsi="Arial" w:cs="Arial"/>
          <w:color w:val="000000"/>
          <w:sz w:val="20"/>
          <w:szCs w:val="20"/>
        </w:rPr>
        <w:t>Strong internal cash flow, ready access to liquidity from diversified sources and a stable business model have enabled us to manage our credit profile. We actively monitor and manage key financial metrics with the objective of sustaining investment grade c</w:t>
      </w:r>
      <w:r>
        <w:rPr>
          <w:rFonts w:ascii="Arial" w:eastAsia="Times New Roman" w:hAnsi="Arial" w:cs="Arial"/>
          <w:color w:val="000000"/>
          <w:sz w:val="20"/>
          <w:szCs w:val="20"/>
        </w:rPr>
        <w:t>redit ratings from the major credit rating agencies and ongoing access to bank funding and term debt capital on attractive terms. Key measures of financial strength that are closely managed include the ability to service debt obligations from operating cas</w:t>
      </w:r>
      <w:r>
        <w:rPr>
          <w:rFonts w:ascii="Arial" w:eastAsia="Times New Roman" w:hAnsi="Arial" w:cs="Arial"/>
          <w:color w:val="000000"/>
          <w:sz w:val="20"/>
          <w:szCs w:val="20"/>
        </w:rPr>
        <w:t>h flow and the ratio of debt to EBITDA.</w:t>
      </w:r>
    </w:p>
    <w:p w:rsidR="00000000" w:rsidRDefault="00EE1167">
      <w:pPr>
        <w:divId w:val="1626931315"/>
        <w:rPr>
          <w:rFonts w:eastAsia="Times New Roman"/>
        </w:rPr>
      </w:pPr>
    </w:p>
    <w:p w:rsidR="00000000" w:rsidRDefault="00EE1167">
      <w:pPr>
        <w:divId w:val="1302005619"/>
        <w:rPr>
          <w:rFonts w:eastAsia="Times New Roman"/>
        </w:rPr>
      </w:pPr>
      <w:r>
        <w:rPr>
          <w:rFonts w:ascii="Arial" w:eastAsia="Times New Roman" w:hAnsi="Arial" w:cs="Arial"/>
          <w:color w:val="000000"/>
          <w:sz w:val="20"/>
          <w:szCs w:val="20"/>
        </w:rPr>
        <w:t>On June 1, 2021, Moody’s upgraded the credit ratings of Enbridge Inc. including our senior unsecured and issuer ratings to Baa1 from Baa2. Moody's also upgraded the credit ratings of our subsidiaries: EEP, EELP, SE</w:t>
      </w:r>
      <w:r>
        <w:rPr>
          <w:rFonts w:ascii="Arial" w:eastAsia="Times New Roman" w:hAnsi="Arial" w:cs="Arial"/>
          <w:color w:val="000000"/>
          <w:sz w:val="20"/>
          <w:szCs w:val="20"/>
        </w:rPr>
        <w:t>P and Texas Eastern. The outlooks of all five entities are stable.</w:t>
      </w:r>
    </w:p>
    <w:p w:rsidR="00000000" w:rsidRDefault="00EE1167">
      <w:pPr>
        <w:divId w:val="1074476550"/>
        <w:rPr>
          <w:rFonts w:eastAsia="Times New Roman"/>
        </w:rPr>
      </w:pPr>
    </w:p>
    <w:p w:rsidR="00000000" w:rsidRDefault="00EE1167">
      <w:pPr>
        <w:divId w:val="516190451"/>
        <w:rPr>
          <w:rFonts w:eastAsia="Times New Roman"/>
        </w:rPr>
      </w:pPr>
      <w:r>
        <w:rPr>
          <w:rFonts w:ascii="Arial" w:eastAsia="Times New Roman" w:hAnsi="Arial" w:cs="Arial"/>
          <w:color w:val="000000"/>
          <w:sz w:val="20"/>
          <w:szCs w:val="20"/>
        </w:rPr>
        <w:t>There are no material restrictions on our cash. Total restricted cash of $64 million, as reported on the Consolidated Statements of Financial Position, primarily includes cash collateral,</w:t>
      </w:r>
      <w:r>
        <w:rPr>
          <w:rFonts w:ascii="Arial" w:eastAsia="Times New Roman" w:hAnsi="Arial" w:cs="Arial"/>
          <w:color w:val="000000"/>
          <w:sz w:val="20"/>
          <w:szCs w:val="20"/>
        </w:rPr>
        <w:t xml:space="preserve"> future pipeline abandonment costs collected and held in trust, amounts received in respect of specific shipper commitments and capital projects. Cash and cash equivalents held by certain subsidiaries may not be readily accessible for alternative uses by u</w:t>
      </w:r>
      <w:r>
        <w:rPr>
          <w:rFonts w:ascii="Arial" w:eastAsia="Times New Roman" w:hAnsi="Arial" w:cs="Arial"/>
          <w:color w:val="000000"/>
          <w:sz w:val="20"/>
          <w:szCs w:val="20"/>
        </w:rPr>
        <w:t>s.</w:t>
      </w:r>
    </w:p>
    <w:p w:rsidR="00000000" w:rsidRDefault="00EE1167">
      <w:pPr>
        <w:divId w:val="1300186933"/>
        <w:rPr>
          <w:rFonts w:eastAsia="Times New Roman"/>
        </w:rPr>
      </w:pPr>
    </w:p>
    <w:p w:rsidR="00000000" w:rsidRDefault="00EE1167">
      <w:pPr>
        <w:divId w:val="1509711364"/>
        <w:rPr>
          <w:rFonts w:eastAsia="Times New Roman"/>
        </w:rPr>
      </w:pPr>
      <w:r>
        <w:rPr>
          <w:rFonts w:ascii="Arial" w:eastAsia="Times New Roman" w:hAnsi="Arial" w:cs="Arial"/>
          <w:color w:val="000000"/>
          <w:sz w:val="20"/>
          <w:szCs w:val="20"/>
        </w:rPr>
        <w:t>Excluding current maturities of long-term debt, we had a negative working capital position as at September 30, 2021. The major contributing factor to the negative working capital position was the ongoing funding of our growth capital program.</w:t>
      </w:r>
    </w:p>
    <w:p w:rsidR="00000000" w:rsidRDefault="00EE1167">
      <w:pPr>
        <w:divId w:val="1709257837"/>
        <w:rPr>
          <w:rFonts w:eastAsia="Times New Roman"/>
        </w:rPr>
      </w:pPr>
      <w:r>
        <w:rPr>
          <w:rFonts w:ascii="Arial" w:eastAsia="Times New Roman" w:hAnsi="Arial" w:cs="Arial"/>
          <w:color w:val="000000"/>
          <w:sz w:val="20"/>
          <w:szCs w:val="20"/>
        </w:rPr>
        <w:t> </w:t>
      </w:r>
    </w:p>
    <w:p w:rsidR="00000000" w:rsidRDefault="00EE1167">
      <w:pPr>
        <w:divId w:val="1227882970"/>
        <w:rPr>
          <w:rFonts w:eastAsia="Times New Roman"/>
        </w:rPr>
      </w:pPr>
      <w:r>
        <w:rPr>
          <w:rFonts w:ascii="Arial" w:eastAsia="Times New Roman" w:hAnsi="Arial" w:cs="Arial"/>
          <w:color w:val="000000"/>
          <w:sz w:val="20"/>
          <w:szCs w:val="20"/>
        </w:rPr>
        <w:t>To add</w:t>
      </w:r>
      <w:r>
        <w:rPr>
          <w:rFonts w:ascii="Arial" w:eastAsia="Times New Roman" w:hAnsi="Arial" w:cs="Arial"/>
          <w:color w:val="000000"/>
          <w:sz w:val="20"/>
          <w:szCs w:val="20"/>
        </w:rPr>
        <w:t xml:space="preserve">ress this negative working capital position, we maintain significant liquidity in the form of committed credit facilities and other sources as previously discussed, which enable the funding of liabilities as they become due. </w:t>
      </w:r>
    </w:p>
    <w:p w:rsidR="00000000" w:rsidRDefault="00EE1167">
      <w:pPr>
        <w:divId w:val="354623281"/>
        <w:rPr>
          <w:rFonts w:eastAsia="Times New Roman"/>
        </w:rPr>
      </w:pPr>
    </w:p>
    <w:p w:rsidR="00000000" w:rsidRDefault="00EE1167">
      <w:pPr>
        <w:jc w:val="center"/>
        <w:divId w:val="996223053"/>
        <w:rPr>
          <w:rFonts w:eastAsia="Times New Roman"/>
        </w:rPr>
      </w:pPr>
      <w:r>
        <w:rPr>
          <w:rFonts w:ascii="Arial" w:eastAsia="Times New Roman" w:hAnsi="Arial" w:cs="Arial"/>
          <w:color w:val="000000"/>
          <w:sz w:val="20"/>
          <w:szCs w:val="20"/>
        </w:rPr>
        <w:t>56</w:t>
      </w:r>
    </w:p>
    <w:p w:rsidR="00000000" w:rsidRDefault="00EE1167">
      <w:pPr>
        <w:rPr>
          <w:rFonts w:eastAsia="Times New Roman"/>
        </w:rPr>
      </w:pPr>
      <w:r>
        <w:rPr>
          <w:rFonts w:eastAsia="Times New Roman"/>
        </w:rPr>
        <w:pict>
          <v:rect id="_x0000_i1081" style="width:0;height:1.5pt" o:hralign="center" o:hrstd="t" o:hr="t" fillcolor="#a0a0a0" stroked="f"/>
        </w:pict>
      </w:r>
    </w:p>
    <w:p w:rsidR="00000000" w:rsidRDefault="00EE1167">
      <w:pPr>
        <w:jc w:val="center"/>
        <w:divId w:val="188181390"/>
        <w:rPr>
          <w:rFonts w:eastAsia="Times New Roman"/>
        </w:rPr>
      </w:pPr>
    </w:p>
    <w:p w:rsidR="00000000" w:rsidRDefault="00EE1167">
      <w:pPr>
        <w:divId w:val="1345128560"/>
        <w:rPr>
          <w:rFonts w:eastAsia="Times New Roman"/>
        </w:rPr>
      </w:pPr>
      <w:r>
        <w:rPr>
          <w:rFonts w:ascii="Arial" w:eastAsia="Times New Roman" w:hAnsi="Arial" w:cs="Arial"/>
          <w:b/>
          <w:bCs/>
          <w:color w:val="000000"/>
          <w:sz w:val="26"/>
          <w:szCs w:val="26"/>
        </w:rPr>
        <w:t>SOURCES AND USES OF CASH</w:t>
      </w:r>
    </w:p>
    <w:p w:rsidR="00000000" w:rsidRDefault="00EE1167">
      <w:pPr>
        <w:divId w:val="988897790"/>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58"/>
        <w:gridCol w:w="5613"/>
        <w:gridCol w:w="38"/>
        <w:gridCol w:w="36"/>
        <w:gridCol w:w="36"/>
        <w:gridCol w:w="907"/>
        <w:gridCol w:w="60"/>
        <w:gridCol w:w="712"/>
        <w:gridCol w:w="36"/>
        <w:gridCol w:w="60"/>
        <w:gridCol w:w="714"/>
        <w:gridCol w:w="36"/>
      </w:tblGrid>
      <w:tr w:rsidR="00000000">
        <w:trPr>
          <w:divId w:val="1757245364"/>
        </w:trPr>
        <w:tc>
          <w:tcPr>
            <w:tcW w:w="50" w:type="pct"/>
            <w:vAlign w:val="center"/>
            <w:hideMark/>
          </w:tcPr>
          <w:p w:rsidR="00000000" w:rsidRDefault="00EE1167">
            <w:pPr>
              <w:rPr>
                <w:rFonts w:eastAsia="Times New Roman"/>
              </w:rPr>
            </w:pPr>
          </w:p>
        </w:tc>
        <w:tc>
          <w:tcPr>
            <w:tcW w:w="383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9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757245364"/>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EE1167">
            <w:pPr>
              <w:spacing w:after="100"/>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divId w:val="175724536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2021</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2020</w:t>
            </w:r>
          </w:p>
        </w:tc>
      </w:tr>
      <w:tr w:rsidR="00000000">
        <w:trPr>
          <w:divId w:val="1757245364"/>
        </w:trPr>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D9D9D9"/>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
                <w:szCs w:val="2"/>
              </w:rPr>
              <w:t> </w:t>
            </w:r>
          </w:p>
        </w:tc>
      </w:tr>
      <w:tr w:rsidR="00000000">
        <w:trPr>
          <w:divId w:val="175724536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2"/>
            <w:shd w:val="clear" w:color="auto" w:fill="DDDDDD"/>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6,954</w:t>
            </w:r>
            <w:r>
              <w:rPr>
                <w:rFonts w:ascii="Arial" w:eastAsia="Times New Roman" w:hAnsi="Arial" w:cs="Arial"/>
                <w:color w:val="000000"/>
                <w:sz w:val="20"/>
                <w:szCs w:val="20"/>
              </w:rPr>
              <w:t> </w:t>
            </w:r>
          </w:p>
        </w:tc>
        <w:tc>
          <w:tcPr>
            <w:tcW w:w="0" w:type="auto"/>
            <w:shd w:val="clear" w:color="auto" w:fill="DDDDDD"/>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7,527 </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75724536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2"/>
            <w:shd w:val="clear" w:color="auto" w:fill="DDDDDD"/>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(5,495)</w:t>
            </w:r>
          </w:p>
        </w:tc>
        <w:tc>
          <w:tcPr>
            <w:tcW w:w="0" w:type="auto"/>
            <w:shd w:val="clear" w:color="auto" w:fill="DDDDDD"/>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(3,644)</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757245364"/>
        </w:trPr>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(1,422)</w:t>
            </w:r>
          </w:p>
        </w:tc>
        <w:tc>
          <w:tcPr>
            <w:tcW w:w="0" w:type="auto"/>
            <w:shd w:val="clear" w:color="auto" w:fill="D9D9D9"/>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(3,845)</w:t>
            </w:r>
          </w:p>
        </w:tc>
        <w:tc>
          <w:tcPr>
            <w:tcW w:w="0" w:type="auto"/>
            <w:tcMar>
              <w:top w:w="30" w:type="dxa"/>
              <w:left w:w="0" w:type="dxa"/>
              <w:bottom w:w="30" w:type="dxa"/>
              <w:right w:w="20" w:type="dxa"/>
            </w:tcMar>
            <w:vAlign w:val="center"/>
            <w:hideMark/>
          </w:tcPr>
          <w:p w:rsidR="00000000" w:rsidRDefault="00EE1167">
            <w:pPr>
              <w:spacing w:after="100"/>
              <w:jc w:val="right"/>
              <w:rPr>
                <w:rFonts w:eastAsia="Times New Roman"/>
              </w:rPr>
            </w:pPr>
          </w:p>
        </w:tc>
      </w:tr>
      <w:tr w:rsidR="00000000">
        <w:trPr>
          <w:divId w:val="1757245364"/>
        </w:trPr>
        <w:tc>
          <w:tcPr>
            <w:tcW w:w="0" w:type="auto"/>
            <w:gridSpan w:val="3"/>
            <w:tcMar>
              <w:top w:w="30" w:type="dxa"/>
              <w:left w:w="20" w:type="dxa"/>
              <w:bottom w:w="30" w:type="dxa"/>
              <w:right w:w="20" w:type="dxa"/>
            </w:tcMar>
            <w:vAlign w:val="center"/>
            <w:hideMark/>
          </w:tcPr>
          <w:p w:rsidR="00000000" w:rsidRDefault="00EE1167">
            <w:pPr>
              <w:spacing w:after="100"/>
              <w:ind w:hanging="180"/>
              <w:divId w:val="1727948269"/>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EE1167">
            <w:pPr>
              <w:spacing w:after="100"/>
              <w:ind w:hanging="18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757245364"/>
        </w:trPr>
        <w:tc>
          <w:tcPr>
            <w:tcW w:w="0" w:type="auto"/>
            <w:gridSpan w:val="3"/>
            <w:tcBorders>
              <w:top w:val="single" w:sz="4" w:space="0" w:color="000000"/>
              <w:bottom w:val="single" w:sz="1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Net increase in cash and cash equivalents and restricted cash</w:t>
            </w:r>
          </w:p>
        </w:tc>
        <w:tc>
          <w:tcPr>
            <w:tcW w:w="0" w:type="auto"/>
            <w:vAlign w:val="center"/>
            <w:hideMark/>
          </w:tcPr>
          <w:p w:rsidR="00000000" w:rsidRDefault="00EE1167">
            <w:pPr>
              <w:spacing w:after="100"/>
              <w:rPr>
                <w:rFonts w:eastAsia="Times New Roman"/>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2"/>
            <w:tcBorders>
              <w:top w:val="single" w:sz="2" w:space="0" w:color="000000"/>
              <w:bottom w:val="single" w:sz="18" w:space="0" w:color="000000"/>
            </w:tcBorders>
            <w:shd w:val="clear" w:color="auto" w:fill="DDDDDD"/>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b/>
                <w:bCs/>
                <w:color w:val="000000"/>
                <w:sz w:val="20"/>
                <w:szCs w:val="20"/>
              </w:rPr>
              <w:t>25</w:t>
            </w:r>
            <w:r>
              <w:rPr>
                <w:rFonts w:ascii="Arial" w:eastAsia="Times New Roman" w:hAnsi="Arial" w:cs="Arial"/>
                <w:color w:val="000000"/>
                <w:sz w:val="20"/>
                <w:szCs w:val="20"/>
              </w:rPr>
              <w:t> </w:t>
            </w:r>
          </w:p>
        </w:tc>
        <w:tc>
          <w:tcPr>
            <w:tcW w:w="0" w:type="auto"/>
            <w:tcBorders>
              <w:top w:val="single" w:sz="2" w:space="0" w:color="000000"/>
              <w:bottom w:val="single" w:sz="18" w:space="0" w:color="000000"/>
            </w:tcBorders>
            <w:shd w:val="clear" w:color="auto" w:fill="DDDDDD"/>
            <w:tcMar>
              <w:top w:w="30" w:type="dxa"/>
              <w:left w:w="0" w:type="dxa"/>
              <w:bottom w:w="30" w:type="dxa"/>
              <w:right w:w="20" w:type="dxa"/>
            </w:tcMar>
            <w:vAlign w:val="center"/>
            <w:hideMark/>
          </w:tcPr>
          <w:p w:rsidR="00000000" w:rsidRDefault="00EE1167">
            <w:pPr>
              <w:spacing w:after="100"/>
              <w:jc w:val="right"/>
              <w:rPr>
                <w:rFonts w:eastAsia="Times New Roman"/>
              </w:rPr>
            </w:pPr>
          </w:p>
        </w:tc>
        <w:tc>
          <w:tcPr>
            <w:tcW w:w="0" w:type="auto"/>
            <w:gridSpan w:val="2"/>
            <w:tcBorders>
              <w:top w:val="single" w:sz="4" w:space="0" w:color="000000"/>
              <w:bottom w:val="single" w:sz="18" w:space="0" w:color="000000"/>
            </w:tcBorders>
            <w:tcMar>
              <w:top w:w="30" w:type="dxa"/>
              <w:left w:w="20" w:type="dxa"/>
              <w:bottom w:w="30" w:type="dxa"/>
              <w:right w:w="0" w:type="dxa"/>
            </w:tcMar>
            <w:vAlign w:val="center"/>
            <w:hideMark/>
          </w:tcPr>
          <w:p w:rsidR="00000000" w:rsidRDefault="00EE1167">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4" w:space="0" w:color="000000"/>
              <w:bottom w:val="single" w:sz="18" w:space="0" w:color="000000"/>
            </w:tcBorders>
            <w:tcMar>
              <w:top w:w="30" w:type="dxa"/>
              <w:left w:w="0" w:type="dxa"/>
              <w:bottom w:w="30" w:type="dxa"/>
              <w:right w:w="20" w:type="dxa"/>
            </w:tcMar>
            <w:vAlign w:val="center"/>
            <w:hideMark/>
          </w:tcPr>
          <w:p w:rsidR="00000000" w:rsidRDefault="00EE1167">
            <w:pPr>
              <w:spacing w:after="100"/>
              <w:jc w:val="right"/>
              <w:rPr>
                <w:rFonts w:eastAsia="Times New Roman"/>
              </w:rPr>
            </w:pPr>
          </w:p>
        </w:tc>
      </w:tr>
    </w:tbl>
    <w:p w:rsidR="00000000" w:rsidRDefault="00EE1167">
      <w:pPr>
        <w:divId w:val="1901549975"/>
        <w:rPr>
          <w:rFonts w:eastAsia="Times New Roman"/>
        </w:rPr>
      </w:pPr>
      <w:r>
        <w:rPr>
          <w:rFonts w:ascii="Arial" w:eastAsia="Times New Roman" w:hAnsi="Arial" w:cs="Arial"/>
          <w:color w:val="000000"/>
          <w:sz w:val="20"/>
          <w:szCs w:val="20"/>
        </w:rPr>
        <w:t> </w:t>
      </w:r>
    </w:p>
    <w:p w:rsidR="00000000" w:rsidRDefault="00EE1167">
      <w:pPr>
        <w:divId w:val="135417582"/>
        <w:rPr>
          <w:rFonts w:eastAsia="Times New Roman"/>
        </w:rPr>
      </w:pPr>
      <w:r>
        <w:rPr>
          <w:rFonts w:ascii="Arial" w:eastAsia="Times New Roman" w:hAnsi="Arial" w:cs="Arial"/>
          <w:color w:val="000000"/>
          <w:sz w:val="20"/>
          <w:szCs w:val="20"/>
        </w:rPr>
        <w:t>Significant sources and uses of cash for the nine months ended September 30, 2021 and 2020 are summarized below:</w:t>
      </w:r>
    </w:p>
    <w:p w:rsidR="00000000" w:rsidRDefault="00EE1167">
      <w:pPr>
        <w:divId w:val="251933133"/>
        <w:rPr>
          <w:rFonts w:eastAsia="Times New Roman"/>
        </w:rPr>
      </w:pPr>
    </w:p>
    <w:p w:rsidR="00000000" w:rsidRDefault="00EE1167">
      <w:pPr>
        <w:divId w:val="776408474"/>
        <w:rPr>
          <w:rFonts w:eastAsia="Times New Roman"/>
        </w:rPr>
      </w:pPr>
      <w:r>
        <w:rPr>
          <w:rFonts w:ascii="Arial" w:eastAsia="Times New Roman" w:hAnsi="Arial" w:cs="Arial"/>
          <w:b/>
          <w:bCs/>
          <w:color w:val="000000"/>
          <w:sz w:val="20"/>
          <w:szCs w:val="20"/>
        </w:rPr>
        <w:t>Operating Activities</w:t>
      </w:r>
    </w:p>
    <w:p w:rsidR="00000000" w:rsidRDefault="00EE1167">
      <w:pPr>
        <w:divId w:val="1596396555"/>
        <w:rPr>
          <w:rFonts w:eastAsia="Times New Roman"/>
        </w:rPr>
      </w:pPr>
      <w:r>
        <w:rPr>
          <w:rFonts w:ascii="Arial" w:eastAsia="Times New Roman" w:hAnsi="Arial" w:cs="Arial"/>
          <w:color w:val="000000"/>
          <w:sz w:val="2"/>
          <w:szCs w:val="2"/>
        </w:rPr>
        <w:t> </w:t>
      </w:r>
    </w:p>
    <w:p w:rsidR="00000000" w:rsidRDefault="00EE1167">
      <w:pPr>
        <w:divId w:val="1700886856"/>
        <w:rPr>
          <w:rFonts w:eastAsia="Times New Roman"/>
        </w:rPr>
      </w:pPr>
      <w:r>
        <w:rPr>
          <w:rFonts w:ascii="Arial" w:eastAsia="Times New Roman" w:hAnsi="Arial" w:cs="Arial"/>
          <w:color w:val="000000"/>
          <w:sz w:val="20"/>
          <w:szCs w:val="20"/>
        </w:rPr>
        <w:t>The decrease in cash provided by operating activities was primarily attributable to changes in operating assets and li</w:t>
      </w:r>
      <w:r>
        <w:rPr>
          <w:rFonts w:ascii="Arial" w:eastAsia="Times New Roman" w:hAnsi="Arial" w:cs="Arial"/>
          <w:color w:val="000000"/>
          <w:sz w:val="20"/>
          <w:szCs w:val="20"/>
        </w:rPr>
        <w:t>abilities, which were partially offset by an increase in earnings. Our operating assets and liabilities fluctuate in the normal course due to various factors, including the impact of fluctuations in commodity prices and activity levels on working capital w</w:t>
      </w:r>
      <w:r>
        <w:rPr>
          <w:rFonts w:ascii="Arial" w:eastAsia="Times New Roman" w:hAnsi="Arial" w:cs="Arial"/>
          <w:color w:val="000000"/>
          <w:sz w:val="20"/>
          <w:szCs w:val="20"/>
        </w:rPr>
        <w:t>ithin our business segments, the timing of tax payments, as well as timing of cash receipts and payments generally.</w:t>
      </w:r>
    </w:p>
    <w:p w:rsidR="00000000" w:rsidRDefault="00EE1167">
      <w:pPr>
        <w:divId w:val="1923643335"/>
        <w:rPr>
          <w:rFonts w:eastAsia="Times New Roman"/>
        </w:rPr>
      </w:pPr>
    </w:p>
    <w:p w:rsidR="00000000" w:rsidRDefault="00EE1167">
      <w:pPr>
        <w:divId w:val="820199486"/>
        <w:rPr>
          <w:rFonts w:eastAsia="Times New Roman"/>
        </w:rPr>
      </w:pPr>
      <w:r>
        <w:rPr>
          <w:rFonts w:ascii="Arial" w:eastAsia="Times New Roman" w:hAnsi="Arial" w:cs="Arial"/>
          <w:b/>
          <w:bCs/>
          <w:color w:val="000000"/>
          <w:sz w:val="20"/>
          <w:szCs w:val="20"/>
        </w:rPr>
        <w:t>Investing Activities</w:t>
      </w:r>
    </w:p>
    <w:p w:rsidR="00000000" w:rsidRDefault="00EE1167">
      <w:pPr>
        <w:divId w:val="900097422"/>
        <w:rPr>
          <w:rFonts w:eastAsia="Times New Roman"/>
        </w:rPr>
      </w:pPr>
      <w:r>
        <w:rPr>
          <w:rFonts w:ascii="Arial" w:eastAsia="Times New Roman" w:hAnsi="Arial" w:cs="Arial"/>
          <w:color w:val="000000"/>
          <w:sz w:val="2"/>
          <w:szCs w:val="2"/>
        </w:rPr>
        <w:t> </w:t>
      </w:r>
    </w:p>
    <w:p w:rsidR="00000000" w:rsidRDefault="00EE1167">
      <w:pPr>
        <w:ind w:hanging="360"/>
        <w:divId w:val="434709656"/>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The increase in cash used in investing activities was primarily attributable to higher capital expenditures during the nine months ended September 30, 2021 compared to the same period in 2020. We are continuing with the execution of our growth capital prog</w:t>
      </w:r>
      <w:r>
        <w:rPr>
          <w:rFonts w:ascii="Arial" w:eastAsia="Times New Roman" w:hAnsi="Arial" w:cs="Arial"/>
          <w:color w:val="000000"/>
          <w:sz w:val="20"/>
          <w:szCs w:val="20"/>
        </w:rPr>
        <w:t xml:space="preserve">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The timing of project approval, construction and in-service dates impacts the timing of cash requirements</w:t>
      </w:r>
      <w:r>
        <w:rPr>
          <w:rFonts w:ascii="Arial" w:eastAsia="Times New Roman" w:hAnsi="Arial" w:cs="Arial"/>
          <w:color w:val="000000"/>
          <w:sz w:val="20"/>
          <w:szCs w:val="20"/>
          <w:shd w:val="clear" w:color="auto" w:fill="FFFFFF"/>
        </w:rPr>
        <w:t>. In addition, there were higher proceeds received from dispositions</w:t>
      </w:r>
      <w:r>
        <w:rPr>
          <w:rFonts w:ascii="Arial" w:eastAsia="Times New Roman" w:hAnsi="Arial" w:cs="Arial"/>
          <w:color w:val="000000"/>
          <w:sz w:val="20"/>
          <w:szCs w:val="20"/>
          <w:shd w:val="clear" w:color="auto" w:fill="FFFFFF"/>
        </w:rPr>
        <w:t xml:space="preserve"> in 2020, as compared to </w:t>
      </w:r>
      <w:r>
        <w:rPr>
          <w:rFonts w:ascii="Arial" w:eastAsia="Times New Roman" w:hAnsi="Arial" w:cs="Arial"/>
          <w:color w:val="000000"/>
          <w:sz w:val="20"/>
          <w:szCs w:val="20"/>
        </w:rPr>
        <w:t>proceeds received from the disposition of 49% of our interest in EMF to CPP Investments in 2021.</w:t>
      </w:r>
    </w:p>
    <w:p w:rsidR="00000000" w:rsidRDefault="00EE1167">
      <w:pPr>
        <w:ind w:hanging="360"/>
        <w:divId w:val="1883856996"/>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The above factors were partially offset by the absence of contributions to our Gray Oak Holdings LLC equity investment during the nin</w:t>
      </w:r>
      <w:r>
        <w:rPr>
          <w:rFonts w:ascii="Arial" w:eastAsia="Times New Roman" w:hAnsi="Arial" w:cs="Arial"/>
          <w:color w:val="000000"/>
          <w:sz w:val="20"/>
          <w:szCs w:val="20"/>
        </w:rPr>
        <w:t>e months ended September 30, 2021 compared to the same period in 2020, due to Gray Oak Pipeline being placed into service in March 2020.</w:t>
      </w:r>
    </w:p>
    <w:p w:rsidR="00000000" w:rsidRDefault="00EE1167">
      <w:pPr>
        <w:divId w:val="213203497"/>
        <w:rPr>
          <w:rFonts w:eastAsia="Times New Roman"/>
        </w:rPr>
      </w:pPr>
    </w:p>
    <w:p w:rsidR="00000000" w:rsidRDefault="00EE1167">
      <w:pPr>
        <w:divId w:val="1431272718"/>
        <w:rPr>
          <w:rFonts w:eastAsia="Times New Roman"/>
        </w:rPr>
      </w:pPr>
      <w:r>
        <w:rPr>
          <w:rFonts w:ascii="Arial" w:eastAsia="Times New Roman" w:hAnsi="Arial" w:cs="Arial"/>
          <w:b/>
          <w:bCs/>
          <w:color w:val="000000"/>
          <w:sz w:val="20"/>
          <w:szCs w:val="20"/>
        </w:rPr>
        <w:t>Financing Activities</w:t>
      </w:r>
    </w:p>
    <w:p w:rsidR="00000000" w:rsidRDefault="00EE1167">
      <w:pPr>
        <w:divId w:val="731776617"/>
        <w:rPr>
          <w:rFonts w:eastAsia="Times New Roman"/>
        </w:rPr>
      </w:pPr>
      <w:r>
        <w:rPr>
          <w:rFonts w:ascii="Arial" w:eastAsia="Times New Roman" w:hAnsi="Arial" w:cs="Arial"/>
          <w:color w:val="000000"/>
          <w:sz w:val="2"/>
          <w:szCs w:val="2"/>
        </w:rPr>
        <w:t> </w:t>
      </w:r>
    </w:p>
    <w:p w:rsidR="00000000" w:rsidRDefault="00EE1167">
      <w:pPr>
        <w:ind w:hanging="360"/>
        <w:divId w:val="1884247076"/>
        <w:rPr>
          <w:rFonts w:eastAsia="Times New Roman"/>
        </w:rPr>
      </w:pPr>
      <w:r>
        <w:rPr>
          <w:rFonts w:ascii="Arial" w:eastAsia="Times New Roman" w:hAnsi="Arial" w:cs="Arial"/>
          <w:color w:val="000000"/>
          <w:sz w:val="20"/>
          <w:szCs w:val="20"/>
        </w:rPr>
        <w:t>•The decrease in cash used in financing activities was primarily attributable to a decrease in</w:t>
      </w:r>
      <w:r>
        <w:rPr>
          <w:rFonts w:ascii="Arial" w:eastAsia="Times New Roman" w:hAnsi="Arial" w:cs="Arial"/>
          <w:color w:val="000000"/>
          <w:sz w:val="20"/>
          <w:szCs w:val="20"/>
        </w:rPr>
        <w:t xml:space="preserve"> repayments and higher issuances of long-term debt in 2021 compared with 2020.</w:t>
      </w:r>
    </w:p>
    <w:p w:rsidR="00000000" w:rsidRDefault="00EE1167">
      <w:pPr>
        <w:ind w:hanging="360"/>
        <w:divId w:val="2131583180"/>
        <w:rPr>
          <w:rFonts w:eastAsia="Times New Roman"/>
        </w:rPr>
      </w:pPr>
      <w:r>
        <w:rPr>
          <w:rFonts w:ascii="Arial" w:eastAsia="Times New Roman" w:hAnsi="Arial" w:cs="Arial"/>
          <w:color w:val="000000"/>
          <w:sz w:val="20"/>
          <w:szCs w:val="20"/>
        </w:rPr>
        <w:t xml:space="preserve">•The factor above was partially offset by a decrease in commercial paper and credit facility draws, as well as the redemption of Westcoast Energy Inc.'s preferred shares in the </w:t>
      </w:r>
      <w:r>
        <w:rPr>
          <w:rFonts w:ascii="Arial" w:eastAsia="Times New Roman" w:hAnsi="Arial" w:cs="Arial"/>
          <w:color w:val="000000"/>
          <w:sz w:val="20"/>
          <w:szCs w:val="20"/>
        </w:rPr>
        <w:t>first quarter of 2021.</w:t>
      </w:r>
    </w:p>
    <w:p w:rsidR="00000000" w:rsidRDefault="00EE1167">
      <w:pPr>
        <w:ind w:hanging="360"/>
        <w:divId w:val="540023874"/>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Our common share dividend payments increased period-over-period primarily due to the increase in our common share dividend rate.</w:t>
      </w:r>
    </w:p>
    <w:p w:rsidR="00000000" w:rsidRDefault="00EE1167">
      <w:pPr>
        <w:divId w:val="812256307"/>
        <w:rPr>
          <w:rFonts w:eastAsia="Times New Roman"/>
        </w:rPr>
      </w:pPr>
    </w:p>
    <w:p w:rsidR="00000000" w:rsidRDefault="00EE1167">
      <w:pPr>
        <w:jc w:val="center"/>
        <w:divId w:val="357659915"/>
        <w:rPr>
          <w:rFonts w:eastAsia="Times New Roman"/>
        </w:rPr>
      </w:pPr>
      <w:r>
        <w:rPr>
          <w:rFonts w:ascii="Arial" w:eastAsia="Times New Roman" w:hAnsi="Arial" w:cs="Arial"/>
          <w:color w:val="000000"/>
          <w:sz w:val="20"/>
          <w:szCs w:val="20"/>
        </w:rPr>
        <w:t>57</w:t>
      </w:r>
    </w:p>
    <w:p w:rsidR="00000000" w:rsidRDefault="00EE1167">
      <w:pPr>
        <w:rPr>
          <w:rFonts w:eastAsia="Times New Roman"/>
        </w:rPr>
      </w:pPr>
      <w:r>
        <w:rPr>
          <w:rFonts w:eastAsia="Times New Roman"/>
        </w:rPr>
        <w:pict>
          <v:rect id="_x0000_i1082" style="width:0;height:1.5pt" o:hralign="center" o:hrstd="t" o:hr="t" fillcolor="#a0a0a0" stroked="f"/>
        </w:pict>
      </w:r>
    </w:p>
    <w:p w:rsidR="00000000" w:rsidRDefault="00EE1167">
      <w:pPr>
        <w:jc w:val="center"/>
        <w:divId w:val="826674044"/>
        <w:rPr>
          <w:rFonts w:eastAsia="Times New Roman"/>
        </w:rPr>
      </w:pPr>
    </w:p>
    <w:p w:rsidR="00000000" w:rsidRDefault="00EE1167">
      <w:pPr>
        <w:jc w:val="both"/>
        <w:rPr>
          <w:rFonts w:eastAsia="Times New Roman"/>
        </w:rPr>
      </w:pPr>
      <w:r>
        <w:rPr>
          <w:rFonts w:ascii="Arial" w:eastAsia="Times New Roman" w:hAnsi="Arial" w:cs="Arial"/>
          <w:b/>
          <w:bCs/>
          <w:color w:val="000000"/>
          <w:sz w:val="26"/>
          <w:szCs w:val="26"/>
          <w:shd w:val="clear" w:color="auto" w:fill="FFFFFF"/>
        </w:rPr>
        <w:t>SUMMARIZED FINANCIAL INFORMATION</w:t>
      </w:r>
    </w:p>
    <w:p w:rsidR="00000000" w:rsidRDefault="00EE1167">
      <w:pPr>
        <w:divId w:val="623997256"/>
        <w:rPr>
          <w:rFonts w:eastAsia="Times New Roman"/>
        </w:rPr>
      </w:pPr>
    </w:p>
    <w:p w:rsidR="00000000" w:rsidRDefault="00EE1167">
      <w:pPr>
        <w:divId w:val="2081902818"/>
        <w:rPr>
          <w:rFonts w:eastAsia="Times New Roman"/>
        </w:rPr>
      </w:pPr>
      <w:r>
        <w:rPr>
          <w:rFonts w:ascii="Arial" w:eastAsia="Times New Roman" w:hAnsi="Arial" w:cs="Arial"/>
          <w:color w:val="000000"/>
          <w:sz w:val="20"/>
          <w:szCs w:val="20"/>
          <w:shd w:val="clear" w:color="auto" w:fill="FFFFFF"/>
        </w:rPr>
        <w:t xml:space="preserve">On January 22, 2019, Enbridge entered into supplemental indentures with its wholly-owned subsidiaries, SEP and EEP (the Partnerships), pursuant to which Enbridge fully and unconditionally guaranteed, on a senior unsecured basis, the payment obligations of </w:t>
      </w:r>
      <w:r>
        <w:rPr>
          <w:rFonts w:ascii="Arial" w:eastAsia="Times New Roman" w:hAnsi="Arial" w:cs="Arial"/>
          <w:color w:val="000000"/>
          <w:sz w:val="20"/>
          <w:szCs w:val="20"/>
          <w:shd w:val="clear" w:color="auto" w:fill="FFFFFF"/>
        </w:rPr>
        <w:t>the Partnerships with respect to the outstanding series of notes issued under the respective indentures of the Partnerships. Concurrently, the Partnerships entered into a subsidiary guarantee agreement pursuant to which they fully and unconditionally guara</w:t>
      </w:r>
      <w:r>
        <w:rPr>
          <w:rFonts w:ascii="Arial" w:eastAsia="Times New Roman" w:hAnsi="Arial" w:cs="Arial"/>
          <w:color w:val="000000"/>
          <w:sz w:val="20"/>
          <w:szCs w:val="20"/>
          <w:shd w:val="clear" w:color="auto" w:fill="FFFFFF"/>
        </w:rPr>
        <w:t>nteed, on a senior unsecured basis, the outstanding series of senior notes of Enbridge. The Partnerships have also entered into supplemental indentures with Enbridge pursuant to which the Partnerships have issued full and unconditional guarantees, on a sen</w:t>
      </w:r>
      <w:r>
        <w:rPr>
          <w:rFonts w:ascii="Arial" w:eastAsia="Times New Roman" w:hAnsi="Arial" w:cs="Arial"/>
          <w:color w:val="000000"/>
          <w:sz w:val="20"/>
          <w:szCs w:val="20"/>
          <w:shd w:val="clear" w:color="auto" w:fill="FFFFFF"/>
        </w:rPr>
        <w:t>ior unsecured basis, of senior notes issued by Enbridge subsequent to January 22, 2019. As a result of the guarantees, holders of any of the outstanding guaranteed notes of the Partnerships (the Guaranteed Partnership Notes) are in the same position with r</w:t>
      </w:r>
      <w:r>
        <w:rPr>
          <w:rFonts w:ascii="Arial" w:eastAsia="Times New Roman" w:hAnsi="Arial" w:cs="Arial"/>
          <w:color w:val="000000"/>
          <w:sz w:val="20"/>
          <w:szCs w:val="20"/>
          <w:shd w:val="clear" w:color="auto" w:fill="FFFFFF"/>
        </w:rPr>
        <w:t>espect to the net assets, income and cash flows of Enbridge as holders of Enbridge's outstanding guaranteed notes (the Guaranteed Enbridge Notes), and vice versa. Other than the Partnerships, Enbridge subsidiaries (including the subsidiaries of the Partner</w:t>
      </w:r>
      <w:r>
        <w:rPr>
          <w:rFonts w:ascii="Arial" w:eastAsia="Times New Roman" w:hAnsi="Arial" w:cs="Arial"/>
          <w:color w:val="000000"/>
          <w:sz w:val="20"/>
          <w:szCs w:val="20"/>
          <w:shd w:val="clear" w:color="auto" w:fill="FFFFFF"/>
        </w:rPr>
        <w:t>ships, collectively, the Subsidiary Non-Guarantors), are not parties to the subsidiary guarantee agreement and have not otherwise guaranteed any of Enbridge's outstanding series of senior notes.</w:t>
      </w:r>
    </w:p>
    <w:p w:rsidR="00000000" w:rsidRDefault="00EE1167">
      <w:pPr>
        <w:divId w:val="297536757"/>
        <w:rPr>
          <w:rFonts w:eastAsia="Times New Roman"/>
        </w:rPr>
      </w:pPr>
    </w:p>
    <w:p w:rsidR="00000000" w:rsidRDefault="00EE1167">
      <w:pPr>
        <w:divId w:val="768741850"/>
        <w:rPr>
          <w:rFonts w:eastAsia="Times New Roman"/>
        </w:rPr>
      </w:pPr>
      <w:r>
        <w:rPr>
          <w:rFonts w:ascii="Arial" w:eastAsia="Times New Roman" w:hAnsi="Arial" w:cs="Arial"/>
          <w:b/>
          <w:bCs/>
          <w:color w:val="000000"/>
          <w:sz w:val="20"/>
          <w:szCs w:val="20"/>
          <w:shd w:val="clear" w:color="auto" w:fill="FFFFFF"/>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539"/>
        <w:gridCol w:w="37"/>
        <w:gridCol w:w="69"/>
        <w:gridCol w:w="2556"/>
        <w:gridCol w:w="37"/>
      </w:tblGrid>
      <w:tr w:rsidR="00000000">
        <w:trPr>
          <w:jc w:val="center"/>
        </w:trPr>
        <w:tc>
          <w:tcPr>
            <w:tcW w:w="50" w:type="pct"/>
            <w:vAlign w:val="center"/>
            <w:hideMark/>
          </w:tcPr>
          <w:p w:rsidR="00000000" w:rsidRDefault="00EE1167">
            <w:pPr>
              <w:rPr>
                <w:rFonts w:eastAsia="Times New Roman"/>
              </w:rPr>
            </w:pPr>
          </w:p>
        </w:tc>
        <w:tc>
          <w:tcPr>
            <w:tcW w:w="334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1547"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divId w:val="1762871158"/>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divId w:val="358819285"/>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4.750% Senior Notes due 2024</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5.875% Notes due 2025</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5.950% Notes due 2033</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3.375%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6.300% Notes due 2034</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5.950% Senior Notes due 2043</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7.500% Notes due 2038</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4.500% Senior Notes due 2045</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5.500% Notes due 2040</w:t>
            </w:r>
          </w:p>
        </w:tc>
      </w:tr>
      <w:tr w:rsidR="00000000">
        <w:trPr>
          <w:jc w:val="center"/>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7.375% Notes due 2045</w:t>
            </w:r>
          </w:p>
        </w:tc>
      </w:tr>
    </w:tbl>
    <w:p w:rsidR="00000000" w:rsidRDefault="00EE1167">
      <w:pPr>
        <w:ind w:hanging="180"/>
        <w:divId w:val="1264848327"/>
        <w:rPr>
          <w:rFonts w:eastAsia="Times New Roman"/>
        </w:rPr>
      </w:pPr>
      <w:r>
        <w:rPr>
          <w:rFonts w:ascii="Arial" w:eastAsia="Times New Roman" w:hAnsi="Arial" w:cs="Arial"/>
          <w:i/>
          <w:iCs/>
          <w:color w:val="000000"/>
          <w:sz w:val="16"/>
          <w:szCs w:val="16"/>
          <w:shd w:val="clear" w:color="auto" w:fill="FFFFFF"/>
        </w:rPr>
        <w:t>1As at September </w:t>
      </w:r>
      <w:r>
        <w:rPr>
          <w:rFonts w:ascii="Arial" w:eastAsia="Times New Roman" w:hAnsi="Arial" w:cs="Arial"/>
          <w:i/>
          <w:iCs/>
          <w:color w:val="000000"/>
          <w:sz w:val="16"/>
          <w:szCs w:val="16"/>
          <w:shd w:val="clear" w:color="auto" w:fill="FFFFFF"/>
        </w:rPr>
        <w:t>30, 2021, the aggregate outstanding principal amount of SEP notes was approximately US$3.2 billion.</w:t>
      </w:r>
    </w:p>
    <w:p w:rsidR="00000000" w:rsidRDefault="00EE1167">
      <w:pPr>
        <w:ind w:hanging="180"/>
        <w:divId w:val="707414499"/>
        <w:rPr>
          <w:rFonts w:eastAsia="Times New Roman"/>
        </w:rPr>
      </w:pPr>
      <w:r>
        <w:rPr>
          <w:rFonts w:ascii="Arial" w:eastAsia="Times New Roman" w:hAnsi="Arial" w:cs="Arial"/>
          <w:i/>
          <w:iCs/>
          <w:color w:val="000000"/>
          <w:sz w:val="16"/>
          <w:szCs w:val="16"/>
          <w:shd w:val="clear" w:color="auto" w:fill="FFFFFF"/>
        </w:rPr>
        <w:t>2As at September 30, 2021, the aggregate outstanding principal amount of EEP notes was approximately US$2.4 billion.</w:t>
      </w:r>
    </w:p>
    <w:p w:rsidR="00000000" w:rsidRDefault="00EE1167">
      <w:pPr>
        <w:jc w:val="center"/>
        <w:divId w:val="743722595"/>
        <w:rPr>
          <w:rFonts w:eastAsia="Times New Roman"/>
        </w:rPr>
      </w:pPr>
      <w:r>
        <w:rPr>
          <w:rFonts w:ascii="Arial" w:eastAsia="Times New Roman" w:hAnsi="Arial" w:cs="Arial"/>
          <w:color w:val="000000"/>
          <w:sz w:val="20"/>
          <w:szCs w:val="20"/>
        </w:rPr>
        <w:t>58</w:t>
      </w:r>
    </w:p>
    <w:p w:rsidR="00000000" w:rsidRDefault="00EE1167">
      <w:pPr>
        <w:rPr>
          <w:rFonts w:eastAsia="Times New Roman"/>
        </w:rPr>
      </w:pPr>
      <w:r>
        <w:rPr>
          <w:rFonts w:eastAsia="Times New Roman"/>
        </w:rPr>
        <w:pict>
          <v:rect id="_x0000_i1083" style="width:0;height:1.5pt" o:hralign="center" o:hrstd="t" o:hr="t" fillcolor="#a0a0a0" stroked="f"/>
        </w:pict>
      </w:r>
    </w:p>
    <w:p w:rsidR="00000000" w:rsidRDefault="00EE1167">
      <w:pPr>
        <w:jc w:val="center"/>
        <w:divId w:val="597980439"/>
        <w:rPr>
          <w:rFonts w:eastAsia="Times New Roman"/>
        </w:rPr>
      </w:pPr>
    </w:p>
    <w:p w:rsidR="00000000" w:rsidRDefault="00EE1167">
      <w:pPr>
        <w:divId w:val="245921168"/>
        <w:rPr>
          <w:rFonts w:eastAsia="Times New Roman"/>
        </w:rPr>
      </w:pPr>
      <w:r>
        <w:rPr>
          <w:rFonts w:ascii="Arial" w:eastAsia="Times New Roman" w:hAnsi="Arial" w:cs="Arial"/>
          <w:b/>
          <w:bCs/>
          <w:color w:val="000000"/>
          <w:sz w:val="20"/>
          <w:szCs w:val="20"/>
          <w:shd w:val="clear" w:color="auto" w:fill="FFFFFF"/>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jc w:val="center"/>
        </w:trPr>
        <w:tc>
          <w:tcPr>
            <w:tcW w:w="50" w:type="pct"/>
            <w:vAlign w:val="center"/>
            <w:hideMark/>
          </w:tcPr>
          <w:p w:rsidR="00000000" w:rsidRDefault="00EE1167">
            <w:pPr>
              <w:rPr>
                <w:rFonts w:eastAsia="Times New Roman"/>
              </w:rPr>
            </w:pPr>
          </w:p>
        </w:tc>
        <w:tc>
          <w:tcPr>
            <w:tcW w:w="24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44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divId w:val="951865442"/>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divId w:val="1665204681"/>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Floating Rate Senior Notes due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4.850% Senior Notes due 2022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Floating Rate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3.190% Senior Notes due 2022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2.900% Senior Notes due 2022</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4.000% Senior Notes due 2023</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3.940% Senior Notes due 2023</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3.500% Senior Notes due 2024</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3.950% Senior Notes due 2024</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2.500% Senior Notes due 2025</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2.440% Senior Notes due 2025</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4.250% Senior Notes due 2026</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3.200% Senior Notes due 2027</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3.700% Senior Notes due 2027</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6.100% Senior Notes due 2028</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3.125% Senior Notes due 2029</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2.990% Senior Notes due 2029</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2.500% Sustainability-Linked Senior Notes due 2033</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7.220% Senior Notes due 2030</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4.500% Senior Notes due 2044</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7.200% Senior Notes due 2032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5.500% Senior Notes due 2046</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3.100% Sustainability-Linked Senior Notes due 2033</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4.000% Senior Notes due</w:t>
            </w:r>
            <w:r>
              <w:rPr>
                <w:rFonts w:ascii="Arial" w:eastAsia="Times New Roman" w:hAnsi="Arial" w:cs="Arial"/>
                <w:color w:val="000000"/>
                <w:sz w:val="20"/>
                <w:szCs w:val="20"/>
              </w:rPr>
              <w:t xml:space="preserve"> 2049</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5.570% Senior Notes due 2035</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3.400% Senior Notes due 2051</w:t>
            </w: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5.750% Senior Notes due 2039</w:t>
            </w:r>
          </w:p>
        </w:tc>
      </w:tr>
      <w:tr w:rsidR="00000000">
        <w:trPr>
          <w:jc w:val="center"/>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5.120% Senior Notes due 2040</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4.240% Senior Notes due 2042</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4.570% Senior Notes due 2044</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4.870% Senior Notes due 2044</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4.100% Senior Notes due 2051</w:t>
            </w:r>
          </w:p>
        </w:tc>
      </w:tr>
      <w:tr w:rsidR="00000000">
        <w:trPr>
          <w:jc w:val="center"/>
        </w:trPr>
        <w:tc>
          <w:tcPr>
            <w:tcW w:w="0" w:type="auto"/>
            <w:gridSpan w:val="3"/>
            <w:vAlign w:val="center"/>
            <w:hideMark/>
          </w:tcPr>
          <w:p w:rsidR="00000000" w:rsidRDefault="00EE1167">
            <w:pPr>
              <w:spacing w:after="100"/>
              <w:rPr>
                <w:rFonts w:eastAsia="Times New Roman"/>
              </w:rPr>
            </w:pPr>
          </w:p>
        </w:tc>
        <w:tc>
          <w:tcPr>
            <w:tcW w:w="0" w:type="auto"/>
            <w:gridSpan w:val="3"/>
            <w:vAlign w:val="center"/>
            <w:hideMark/>
          </w:tcPr>
          <w:p w:rsidR="00000000" w:rsidRDefault="00EE1167">
            <w:pPr>
              <w:spacing w:after="100"/>
              <w:rPr>
                <w:rFonts w:eastAsia="Times New Roman"/>
                <w:sz w:val="20"/>
                <w:szCs w:val="20"/>
              </w:rPr>
            </w:pPr>
          </w:p>
        </w:tc>
      </w:tr>
      <w:tr w:rsidR="00000000">
        <w:trPr>
          <w:jc w:val="center"/>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r>
      <w:tr w:rsidR="00000000">
        <w:trPr>
          <w:jc w:val="center"/>
        </w:trPr>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4.560% Senior Notes due 2064</w:t>
            </w:r>
          </w:p>
        </w:tc>
      </w:tr>
    </w:tbl>
    <w:p w:rsidR="00000000" w:rsidRDefault="00EE1167">
      <w:pPr>
        <w:ind w:hanging="180"/>
        <w:divId w:val="1935893380"/>
        <w:rPr>
          <w:rFonts w:eastAsia="Times New Roman"/>
        </w:rPr>
      </w:pPr>
      <w:r>
        <w:rPr>
          <w:rFonts w:ascii="Arial" w:eastAsia="Times New Roman" w:hAnsi="Arial" w:cs="Arial"/>
          <w:i/>
          <w:iCs/>
          <w:color w:val="000000"/>
          <w:sz w:val="16"/>
          <w:szCs w:val="16"/>
          <w:shd w:val="clear" w:color="auto" w:fill="FFFFFF"/>
        </w:rPr>
        <w:t>1As at September </w:t>
      </w:r>
      <w:r>
        <w:rPr>
          <w:rFonts w:ascii="Arial" w:eastAsia="Times New Roman" w:hAnsi="Arial" w:cs="Arial"/>
          <w:i/>
          <w:iCs/>
          <w:color w:val="000000"/>
          <w:sz w:val="16"/>
          <w:szCs w:val="16"/>
          <w:shd w:val="clear" w:color="auto" w:fill="FFFFFF"/>
        </w:rPr>
        <w:t>30, 2021, the aggregate outstanding principal amount of the Enbridge US dollar denominated notes was approximately US$9.5 billion.</w:t>
      </w:r>
    </w:p>
    <w:p w:rsidR="00000000" w:rsidRDefault="00EE1167">
      <w:pPr>
        <w:ind w:hanging="180"/>
        <w:divId w:val="1764842195"/>
        <w:rPr>
          <w:rFonts w:eastAsia="Times New Roman"/>
        </w:rPr>
      </w:pPr>
      <w:r>
        <w:rPr>
          <w:rFonts w:ascii="Arial" w:eastAsia="Times New Roman" w:hAnsi="Arial" w:cs="Arial"/>
          <w:i/>
          <w:iCs/>
          <w:color w:val="000000"/>
          <w:sz w:val="16"/>
          <w:szCs w:val="16"/>
          <w:shd w:val="clear" w:color="auto" w:fill="FFFFFF"/>
        </w:rPr>
        <w:t>2As at September </w:t>
      </w:r>
      <w:r>
        <w:rPr>
          <w:rFonts w:ascii="Arial" w:eastAsia="Times New Roman" w:hAnsi="Arial" w:cs="Arial"/>
          <w:i/>
          <w:iCs/>
          <w:color w:val="000000"/>
          <w:sz w:val="16"/>
          <w:szCs w:val="16"/>
          <w:shd w:val="clear" w:color="auto" w:fill="FFFFFF"/>
        </w:rPr>
        <w:t>30, 2021, the aggregate outstanding principal amount of the Enbridge Canadian dollar denominated notes was approximately $9.2 billion.</w:t>
      </w:r>
    </w:p>
    <w:p w:rsidR="00000000" w:rsidRDefault="00EE1167">
      <w:pPr>
        <w:jc w:val="both"/>
        <w:rPr>
          <w:rFonts w:eastAsia="Times New Roman"/>
        </w:rPr>
      </w:pPr>
    </w:p>
    <w:p w:rsidR="00000000" w:rsidRDefault="00EE1167">
      <w:pPr>
        <w:jc w:val="both"/>
        <w:rPr>
          <w:rFonts w:eastAsia="Times New Roman"/>
        </w:rPr>
      </w:pPr>
      <w:r>
        <w:rPr>
          <w:rFonts w:ascii="Arial" w:eastAsia="Times New Roman" w:hAnsi="Arial" w:cs="Arial"/>
          <w:color w:val="000000"/>
          <w:sz w:val="20"/>
          <w:szCs w:val="20"/>
          <w:shd w:val="clear" w:color="auto" w:fill="FFFFFF"/>
        </w:rPr>
        <w:t>The following Summarized Combined Statement of Earnings and Summarized Combined Statements of Financial Position combin</w:t>
      </w:r>
      <w:r>
        <w:rPr>
          <w:rFonts w:ascii="Arial" w:eastAsia="Times New Roman" w:hAnsi="Arial" w:cs="Arial"/>
          <w:color w:val="000000"/>
          <w:sz w:val="20"/>
          <w:szCs w:val="20"/>
          <w:shd w:val="clear" w:color="auto" w:fill="FFFFFF"/>
        </w:rPr>
        <w:t xml:space="preserve">es the balances of EEP, SEP and Enbridge Inc. </w:t>
      </w:r>
    </w:p>
    <w:p w:rsidR="00000000" w:rsidRDefault="00EE1167">
      <w:pPr>
        <w:divId w:val="1761828861"/>
        <w:rPr>
          <w:rFonts w:eastAsia="Times New Roman"/>
        </w:rPr>
      </w:pPr>
      <w:r>
        <w:rPr>
          <w:rFonts w:ascii="Arial" w:eastAsia="Times New Roman" w:hAnsi="Arial" w:cs="Arial"/>
          <w:b/>
          <w:bCs/>
          <w:color w:val="000000"/>
          <w:sz w:val="20"/>
          <w:szCs w:val="20"/>
          <w:shd w:val="clear" w:color="auto" w:fill="FFFFFF"/>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258"/>
        <w:gridCol w:w="38"/>
        <w:gridCol w:w="69"/>
        <w:gridCol w:w="865"/>
        <w:gridCol w:w="37"/>
        <w:gridCol w:w="69"/>
        <w:gridCol w:w="866"/>
        <w:gridCol w:w="36"/>
      </w:tblGrid>
      <w:tr w:rsidR="00000000">
        <w:trPr>
          <w:jc w:val="center"/>
        </w:trPr>
        <w:tc>
          <w:tcPr>
            <w:tcW w:w="50" w:type="pct"/>
            <w:vAlign w:val="center"/>
            <w:hideMark/>
          </w:tcPr>
          <w:p w:rsidR="00000000" w:rsidRDefault="00EE1167">
            <w:pPr>
              <w:rPr>
                <w:rFonts w:eastAsia="Times New Roman"/>
              </w:rPr>
            </w:pPr>
          </w:p>
        </w:tc>
        <w:tc>
          <w:tcPr>
            <w:tcW w:w="377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29"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5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6"/>
            <w:tcBorders>
              <w:bottom w:val="single" w:sz="4" w:space="0" w:color="000000"/>
            </w:tcBorders>
            <w:tcMar>
              <w:top w:w="30" w:type="dxa"/>
              <w:left w:w="20" w:type="dxa"/>
              <w:bottom w:w="30" w:type="dxa"/>
              <w:right w:w="20" w:type="dxa"/>
            </w:tcMar>
            <w:vAlign w:val="bottom"/>
            <w:hideMark/>
          </w:tcPr>
          <w:p w:rsidR="00000000" w:rsidRDefault="00EE1167">
            <w:pPr>
              <w:spacing w:after="100"/>
              <w:jc w:val="center"/>
              <w:rPr>
                <w:rFonts w:eastAsia="Times New Roman"/>
              </w:rPr>
            </w:pPr>
            <w:r>
              <w:rPr>
                <w:rFonts w:ascii="Arial" w:eastAsia="Times New Roman" w:hAnsi="Arial" w:cs="Arial"/>
                <w:b/>
                <w:bCs/>
                <w:color w:val="000000"/>
                <w:sz w:val="20"/>
                <w:szCs w:val="20"/>
              </w:rPr>
              <w:t>Nine months ended September 30, 2021</w:t>
            </w:r>
          </w:p>
        </w:tc>
      </w:tr>
      <w:tr w:rsidR="00000000">
        <w:trPr>
          <w:jc w:val="center"/>
        </w:trPr>
        <w:tc>
          <w:tcPr>
            <w:tcW w:w="0" w:type="auto"/>
            <w:gridSpan w:val="3"/>
            <w:tcBorders>
              <w:top w:val="single" w:sz="4" w:space="0" w:color="000000"/>
            </w:tcBorders>
            <w:shd w:val="clear" w:color="auto" w:fill="FFFFFF"/>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gridSpan w:val="6"/>
            <w:tcBorders>
              <w:top w:val="single" w:sz="4" w:space="0" w:color="000000"/>
            </w:tcBorders>
            <w:shd w:val="clear" w:color="auto" w:fill="DBDBDB"/>
            <w:tcMar>
              <w:top w:w="0" w:type="dxa"/>
              <w:left w:w="20" w:type="dxa"/>
              <w:bottom w:w="0" w:type="dxa"/>
              <w:right w:w="20" w:type="dxa"/>
            </w:tcMar>
            <w:vAlign w:val="center"/>
            <w:hideMark/>
          </w:tcPr>
          <w:p w:rsidR="00000000" w:rsidRDefault="00EE1167">
            <w:pPr>
              <w:spacing w:after="100"/>
              <w:rPr>
                <w:rFonts w:eastAsia="Times New Roman"/>
              </w:rPr>
            </w:pPr>
          </w:p>
        </w:tc>
      </w:tr>
      <w:tr w:rsidR="00000000">
        <w:trPr>
          <w:jc w:val="center"/>
        </w:trPr>
        <w:tc>
          <w:tcPr>
            <w:tcW w:w="0" w:type="auto"/>
            <w:gridSpan w:val="3"/>
            <w:vAlign w:val="center"/>
            <w:hideMark/>
          </w:tcPr>
          <w:p w:rsidR="00000000" w:rsidRDefault="00EE1167">
            <w:pPr>
              <w:spacing w:after="100"/>
              <w:rPr>
                <w:rFonts w:eastAsia="Times New Roman"/>
                <w:sz w:val="20"/>
                <w:szCs w:val="20"/>
              </w:rPr>
            </w:pPr>
          </w:p>
        </w:tc>
        <w:tc>
          <w:tcPr>
            <w:tcW w:w="0" w:type="auto"/>
            <w:gridSpan w:val="3"/>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Operating loss</w:t>
            </w:r>
          </w:p>
        </w:tc>
        <w:tc>
          <w:tcPr>
            <w:tcW w:w="0" w:type="auto"/>
            <w:gridSpan w:val="5"/>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(13)</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Earnings</w:t>
            </w:r>
          </w:p>
        </w:tc>
        <w:tc>
          <w:tcPr>
            <w:tcW w:w="0" w:type="auto"/>
            <w:gridSpan w:val="5"/>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2,329</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jc w:val="center"/>
        </w:trPr>
        <w:tc>
          <w:tcPr>
            <w:tcW w:w="0" w:type="auto"/>
            <w:gridSpan w:val="3"/>
            <w:tcBorders>
              <w:bottom w:val="single" w:sz="18" w:space="0" w:color="000000"/>
            </w:tcBorders>
            <w:shd w:val="clear" w:color="auto" w:fill="FFFFFF"/>
            <w:tcMar>
              <w:top w:w="30" w:type="dxa"/>
              <w:left w:w="200" w:type="dxa"/>
              <w:bottom w:w="30" w:type="dxa"/>
              <w:right w:w="20" w:type="dxa"/>
            </w:tcMar>
            <w:hideMark/>
          </w:tcPr>
          <w:p w:rsidR="00000000" w:rsidRDefault="00EE1167">
            <w:pPr>
              <w:spacing w:after="100"/>
              <w:ind w:hanging="180"/>
              <w:rPr>
                <w:rFonts w:eastAsia="Times New Roman"/>
              </w:rPr>
            </w:pPr>
            <w:r>
              <w:rPr>
                <w:rFonts w:ascii="Arial" w:eastAsia="Times New Roman" w:hAnsi="Arial" w:cs="Arial"/>
                <w:color w:val="000000"/>
                <w:sz w:val="20"/>
                <w:szCs w:val="20"/>
              </w:rPr>
              <w:t>Earnings attributable to common shareholders</w:t>
            </w:r>
          </w:p>
        </w:tc>
        <w:tc>
          <w:tcPr>
            <w:tcW w:w="0" w:type="auto"/>
            <w:gridSpan w:val="5"/>
            <w:tcBorders>
              <w:bottom w:val="single" w:sz="1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2,056</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1331249850"/>
        <w:rPr>
          <w:rFonts w:eastAsia="Times New Roman"/>
        </w:rPr>
      </w:pPr>
    </w:p>
    <w:p w:rsidR="00000000" w:rsidRDefault="00EE1167">
      <w:pPr>
        <w:jc w:val="center"/>
        <w:divId w:val="134034632"/>
        <w:rPr>
          <w:rFonts w:eastAsia="Times New Roman"/>
        </w:rPr>
      </w:pPr>
      <w:r>
        <w:rPr>
          <w:rFonts w:ascii="Arial" w:eastAsia="Times New Roman" w:hAnsi="Arial" w:cs="Arial"/>
          <w:color w:val="000000"/>
          <w:sz w:val="20"/>
          <w:szCs w:val="20"/>
        </w:rPr>
        <w:t>59</w:t>
      </w:r>
    </w:p>
    <w:p w:rsidR="00000000" w:rsidRDefault="00EE1167">
      <w:pPr>
        <w:rPr>
          <w:rFonts w:eastAsia="Times New Roman"/>
        </w:rPr>
      </w:pPr>
      <w:r>
        <w:rPr>
          <w:rFonts w:eastAsia="Times New Roman"/>
        </w:rPr>
        <w:pict>
          <v:rect id="_x0000_i1084" style="width:0;height:1.5pt" o:hralign="center" o:hrstd="t" o:hr="t" fillcolor="#a0a0a0" stroked="f"/>
        </w:pict>
      </w:r>
    </w:p>
    <w:p w:rsidR="00000000" w:rsidRDefault="00EE1167">
      <w:pPr>
        <w:jc w:val="center"/>
        <w:divId w:val="1919244401"/>
        <w:rPr>
          <w:rFonts w:eastAsia="Times New Roman"/>
        </w:rPr>
      </w:pPr>
    </w:p>
    <w:p w:rsidR="00000000" w:rsidRDefault="00EE1167">
      <w:pPr>
        <w:divId w:val="462312087"/>
        <w:rPr>
          <w:rFonts w:eastAsia="Times New Roman"/>
        </w:rPr>
      </w:pPr>
      <w:r>
        <w:rPr>
          <w:rFonts w:ascii="Arial" w:eastAsia="Times New Roman" w:hAnsi="Arial" w:cs="Arial"/>
          <w:b/>
          <w:bCs/>
          <w:color w:val="000000"/>
          <w:sz w:val="20"/>
          <w:szCs w:val="20"/>
          <w:shd w:val="clear" w:color="auto" w:fill="FFFFFF"/>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5148"/>
        <w:gridCol w:w="37"/>
        <w:gridCol w:w="36"/>
        <w:gridCol w:w="68"/>
        <w:gridCol w:w="1386"/>
        <w:gridCol w:w="36"/>
        <w:gridCol w:w="36"/>
        <w:gridCol w:w="69"/>
        <w:gridCol w:w="1386"/>
        <w:gridCol w:w="36"/>
      </w:tblGrid>
      <w:tr w:rsidR="00000000">
        <w:trPr>
          <w:divId w:val="1502503345"/>
          <w:jc w:val="center"/>
        </w:trPr>
        <w:tc>
          <w:tcPr>
            <w:tcW w:w="50" w:type="pct"/>
            <w:vAlign w:val="center"/>
            <w:hideMark/>
          </w:tcPr>
          <w:p w:rsidR="00000000" w:rsidRDefault="00EE1167">
            <w:pPr>
              <w:rPr>
                <w:rFonts w:eastAsia="Times New Roman"/>
              </w:rPr>
            </w:pPr>
          </w:p>
        </w:tc>
        <w:tc>
          <w:tcPr>
            <w:tcW w:w="3134"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85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85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502503345"/>
          <w:jc w:val="center"/>
        </w:trPr>
        <w:tc>
          <w:tcPr>
            <w:tcW w:w="0" w:type="auto"/>
            <w:gridSpan w:val="3"/>
            <w:shd w:val="clear" w:color="auto" w:fill="FFFFFF"/>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2021</w:t>
            </w:r>
          </w:p>
        </w:tc>
        <w:tc>
          <w:tcPr>
            <w:tcW w:w="0" w:type="auto"/>
            <w:vAlign w:val="center"/>
            <w:hideMark/>
          </w:tcPr>
          <w:p w:rsidR="00000000" w:rsidRDefault="00EE1167">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2020</w:t>
            </w:r>
          </w:p>
        </w:tc>
      </w:tr>
      <w:tr w:rsidR="00000000">
        <w:trPr>
          <w:divId w:val="1502503345"/>
          <w:jc w:val="center"/>
        </w:trPr>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EE1167">
            <w:pPr>
              <w:spacing w:after="100"/>
              <w:rPr>
                <w:rFonts w:eastAsia="Times New Roman"/>
              </w:rPr>
            </w:pPr>
          </w:p>
        </w:tc>
        <w:tc>
          <w:tcPr>
            <w:tcW w:w="0" w:type="auto"/>
            <w:gridSpan w:val="3"/>
            <w:tcBorders>
              <w:top w:val="single" w:sz="4" w:space="0" w:color="000000"/>
            </w:tcBorders>
            <w:shd w:val="clear" w:color="auto" w:fill="DBDBDB"/>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vAlign w:val="center"/>
            <w:hideMark/>
          </w:tcPr>
          <w:p w:rsidR="00000000" w:rsidRDefault="00EE1167">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Accounts receivable from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3,708</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2,108 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Short-term loans receivable from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3,970</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4,926 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Other current assets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466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Long-term loans receivable from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50,596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43,217 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Other long-term assets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3,836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4,237 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Accounts payable to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3,726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1,267 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Short-term loans payable to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2,125</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4,117 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Other current liabilities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5,336</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5,628 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Long-term loans payable to affiliates</w:t>
            </w:r>
          </w:p>
        </w:tc>
        <w:tc>
          <w:tcPr>
            <w:tcW w:w="0" w:type="auto"/>
            <w:vAlign w:val="center"/>
            <w:hideMark/>
          </w:tcPr>
          <w:p w:rsidR="00000000" w:rsidRDefault="00EE1167">
            <w:pPr>
              <w:spacing w:after="100"/>
              <w:rPr>
                <w:rFonts w:eastAsia="Times New Roman"/>
              </w:rPr>
            </w:pPr>
          </w:p>
        </w:tc>
        <w:tc>
          <w:tcPr>
            <w:tcW w:w="0" w:type="auto"/>
            <w:gridSpan w:val="2"/>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40,661</w:t>
            </w:r>
            <w:r>
              <w:rPr>
                <w:rFonts w:ascii="Arial" w:eastAsia="Times New Roman" w:hAnsi="Arial" w:cs="Arial"/>
                <w:color w:val="000000"/>
                <w:sz w:val="20"/>
                <w:szCs w:val="20"/>
              </w:rPr>
              <w:t> </w:t>
            </w:r>
          </w:p>
        </w:tc>
        <w:tc>
          <w:tcPr>
            <w:tcW w:w="0" w:type="auto"/>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32,035 </w:t>
            </w:r>
          </w:p>
        </w:tc>
        <w:tc>
          <w:tcPr>
            <w:tcW w:w="0" w:type="auto"/>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r w:rsidR="00000000">
        <w:trPr>
          <w:divId w:val="1502503345"/>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Other long-term liabilities</w:t>
            </w:r>
          </w:p>
        </w:tc>
        <w:tc>
          <w:tcPr>
            <w:tcW w:w="0" w:type="auto"/>
            <w:vAlign w:val="center"/>
            <w:hideMark/>
          </w:tcPr>
          <w:p w:rsidR="00000000" w:rsidRDefault="00EE1167">
            <w:pPr>
              <w:spacing w:after="100"/>
              <w:rPr>
                <w:rFonts w:eastAsia="Times New Roman"/>
              </w:rPr>
            </w:pPr>
          </w:p>
        </w:tc>
        <w:tc>
          <w:tcPr>
            <w:tcW w:w="0" w:type="auto"/>
            <w:gridSpan w:val="2"/>
            <w:tcBorders>
              <w:bottom w:val="single" w:sz="18" w:space="0" w:color="000000"/>
            </w:tcBorders>
            <w:shd w:val="clear" w:color="auto" w:fill="DBDBDB"/>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40,085</w:t>
            </w:r>
            <w:r>
              <w:rPr>
                <w:rFonts w:ascii="Arial" w:eastAsia="Times New Roman" w:hAnsi="Arial" w:cs="Arial"/>
                <w:color w:val="000000"/>
                <w:sz w:val="20"/>
                <w:szCs w:val="20"/>
              </w:rPr>
              <w:t> </w:t>
            </w:r>
          </w:p>
        </w:tc>
        <w:tc>
          <w:tcPr>
            <w:tcW w:w="0" w:type="auto"/>
            <w:tcBorders>
              <w:bottom w:val="single" w:sz="18" w:space="0" w:color="000000"/>
            </w:tcBorders>
            <w:shd w:val="clear" w:color="auto" w:fill="DBDBDB"/>
            <w:tcMar>
              <w:top w:w="30" w:type="dxa"/>
              <w:left w:w="0" w:type="dxa"/>
              <w:bottom w:w="30" w:type="dxa"/>
              <w:right w:w="20" w:type="dxa"/>
            </w:tcMar>
            <w:vAlign w:val="bottom"/>
            <w:hideMark/>
          </w:tcPr>
          <w:p w:rsidR="00000000" w:rsidRDefault="00EE1167">
            <w:pPr>
              <w:spacing w:after="100"/>
              <w:jc w:val="right"/>
              <w:rPr>
                <w:rFonts w:eastAsia="Times New Roman"/>
              </w:rPr>
            </w:pPr>
          </w:p>
        </w:tc>
        <w:tc>
          <w:tcPr>
            <w:tcW w:w="0" w:type="auto"/>
            <w:vAlign w:val="center"/>
            <w:hideMark/>
          </w:tcPr>
          <w:p w:rsidR="00000000" w:rsidRDefault="00EE1167">
            <w:pPr>
              <w:spacing w:after="100"/>
              <w:jc w:val="right"/>
              <w:rPr>
                <w:rFonts w:eastAsia="Times New Roman"/>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41,353 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rsidR="00000000" w:rsidRDefault="00EE1167">
            <w:pPr>
              <w:spacing w:after="100"/>
              <w:jc w:val="right"/>
              <w:rPr>
                <w:rFonts w:eastAsia="Times New Roman"/>
              </w:rPr>
            </w:pPr>
          </w:p>
        </w:tc>
      </w:tr>
    </w:tbl>
    <w:p w:rsidR="00000000" w:rsidRDefault="00EE1167">
      <w:pPr>
        <w:divId w:val="2029598534"/>
        <w:rPr>
          <w:rFonts w:eastAsia="Times New Roman"/>
        </w:rPr>
      </w:pPr>
      <w:r>
        <w:rPr>
          <w:rFonts w:ascii="Arial" w:eastAsia="Times New Roman" w:hAnsi="Arial" w:cs="Arial"/>
          <w:color w:val="000000"/>
          <w:sz w:val="20"/>
          <w:szCs w:val="20"/>
          <w:shd w:val="clear" w:color="auto" w:fill="FFFFFF"/>
        </w:rPr>
        <w:t>The Guaranteed Enbridge Notes and the Guaranteed Partnership Notes are structurally subordinated to the indebtedness of the Subsidiary Non-Guarantors in respect of the assets of those Subsidiary Non-Guarantors.</w:t>
      </w:r>
    </w:p>
    <w:p w:rsidR="00000000" w:rsidRDefault="00EE1167">
      <w:pPr>
        <w:divId w:val="488180492"/>
        <w:rPr>
          <w:rFonts w:eastAsia="Times New Roman"/>
        </w:rPr>
      </w:pPr>
    </w:p>
    <w:p w:rsidR="00000000" w:rsidRDefault="00EE1167">
      <w:pPr>
        <w:divId w:val="1503618087"/>
        <w:rPr>
          <w:rFonts w:eastAsia="Times New Roman"/>
        </w:rPr>
      </w:pPr>
      <w:r>
        <w:rPr>
          <w:rFonts w:ascii="Arial" w:eastAsia="Times New Roman" w:hAnsi="Arial" w:cs="Arial"/>
          <w:color w:val="000000"/>
          <w:sz w:val="20"/>
          <w:szCs w:val="20"/>
          <w:shd w:val="clear" w:color="auto" w:fill="FFFFFF"/>
        </w:rPr>
        <w:t>Under US bankruptcy law and comparable prov</w:t>
      </w:r>
      <w:r>
        <w:rPr>
          <w:rFonts w:ascii="Arial" w:eastAsia="Times New Roman" w:hAnsi="Arial" w:cs="Arial"/>
          <w:color w:val="000000"/>
          <w:sz w:val="20"/>
          <w:szCs w:val="20"/>
          <w:shd w:val="clear" w:color="auto" w:fill="FFFFFF"/>
        </w:rPr>
        <w:t xml:space="preserve">isions of state fraudulent transfer laws, a guarantee can be voided, or claims may be subordinated to all other debts of that guarantor if, among other things, the guarantor, at the time the indebtedness evidenced by its guarantee or, in some states, when </w:t>
      </w:r>
      <w:r>
        <w:rPr>
          <w:rFonts w:ascii="Arial" w:eastAsia="Times New Roman" w:hAnsi="Arial" w:cs="Arial"/>
          <w:color w:val="000000"/>
          <w:sz w:val="20"/>
          <w:szCs w:val="20"/>
          <w:shd w:val="clear" w:color="auto" w:fill="FFFFFF"/>
        </w:rPr>
        <w:t xml:space="preserve">payments become due under the guarantee: </w:t>
      </w:r>
    </w:p>
    <w:p w:rsidR="00000000" w:rsidRDefault="00EE1167">
      <w:pPr>
        <w:ind w:hanging="360"/>
        <w:divId w:val="1237662959"/>
        <w:rPr>
          <w:rFonts w:eastAsia="Times New Roman"/>
        </w:rPr>
      </w:pPr>
      <w:r>
        <w:rPr>
          <w:rFonts w:ascii="Arial" w:eastAsia="Times New Roman" w:hAnsi="Arial" w:cs="Arial"/>
          <w:color w:val="000000"/>
          <w:sz w:val="20"/>
          <w:szCs w:val="20"/>
          <w:shd w:val="clear" w:color="auto" w:fill="FFFFFF"/>
        </w:rPr>
        <w:t>•received less than reasonably equivalent value or fair consideration for the incurrence of the guarantee and was insolvent or rendered insolvent by reason of such incurrence;</w:t>
      </w:r>
    </w:p>
    <w:p w:rsidR="00000000" w:rsidRDefault="00EE1167">
      <w:pPr>
        <w:ind w:hanging="360"/>
        <w:divId w:val="1091124195"/>
        <w:rPr>
          <w:rFonts w:eastAsia="Times New Roman"/>
        </w:rPr>
      </w:pPr>
      <w:r>
        <w:rPr>
          <w:rFonts w:ascii="Arial" w:eastAsia="Times New Roman" w:hAnsi="Arial" w:cs="Arial"/>
          <w:color w:val="000000"/>
          <w:sz w:val="20"/>
          <w:szCs w:val="20"/>
          <w:shd w:val="clear" w:color="auto" w:fill="FFFFFF"/>
        </w:rPr>
        <w:t>•was engaged in a business or transact</w:t>
      </w:r>
      <w:r>
        <w:rPr>
          <w:rFonts w:ascii="Arial" w:eastAsia="Times New Roman" w:hAnsi="Arial" w:cs="Arial"/>
          <w:color w:val="000000"/>
          <w:sz w:val="20"/>
          <w:szCs w:val="20"/>
          <w:shd w:val="clear" w:color="auto" w:fill="FFFFFF"/>
        </w:rPr>
        <w:t>ion for which the guarantor’s remaining assets constituted unreasonably small capital; or</w:t>
      </w:r>
    </w:p>
    <w:p w:rsidR="00000000" w:rsidRDefault="00EE1167">
      <w:pPr>
        <w:ind w:hanging="360"/>
        <w:divId w:val="75372510"/>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intended to incur, or believed that it would incur, debts beyond its ability to pay those debts as they mature.</w:t>
      </w:r>
    </w:p>
    <w:p w:rsidR="00000000" w:rsidRDefault="00EE1167">
      <w:pPr>
        <w:divId w:val="991373416"/>
        <w:rPr>
          <w:rFonts w:eastAsia="Times New Roman"/>
        </w:rPr>
      </w:pPr>
    </w:p>
    <w:p w:rsidR="00000000" w:rsidRDefault="00EE1167">
      <w:pPr>
        <w:divId w:val="975179387"/>
        <w:rPr>
          <w:rFonts w:eastAsia="Times New Roman"/>
        </w:rPr>
      </w:pPr>
      <w:r>
        <w:rPr>
          <w:rFonts w:ascii="Arial" w:eastAsia="Times New Roman" w:hAnsi="Arial" w:cs="Arial"/>
          <w:color w:val="000000"/>
          <w:sz w:val="20"/>
          <w:szCs w:val="20"/>
          <w:shd w:val="clear" w:color="auto" w:fill="FFFFFF"/>
        </w:rPr>
        <w:t xml:space="preserve">The guarantees of the Guaranteed Enbridge Notes contain provisions to limit the maximum amount of liability that the Partnerships could incur </w:t>
      </w:r>
      <w:r>
        <w:rPr>
          <w:rFonts w:ascii="Arial" w:eastAsia="Times New Roman" w:hAnsi="Arial" w:cs="Arial"/>
          <w:color w:val="000000"/>
          <w:sz w:val="20"/>
          <w:szCs w:val="20"/>
          <w:shd w:val="clear" w:color="auto" w:fill="FFFFFF"/>
        </w:rPr>
        <w:t>without causing the incurrence of obligations under the guarantee to be a fraudulent conveyance or fraudulent transfer under US federal or state law.</w:t>
      </w:r>
    </w:p>
    <w:p w:rsidR="00000000" w:rsidRDefault="00EE1167">
      <w:pPr>
        <w:divId w:val="582253518"/>
        <w:rPr>
          <w:rFonts w:eastAsia="Times New Roman"/>
        </w:rPr>
      </w:pPr>
    </w:p>
    <w:p w:rsidR="00000000" w:rsidRDefault="00EE1167">
      <w:pPr>
        <w:divId w:val="1171944989"/>
        <w:rPr>
          <w:rFonts w:eastAsia="Times New Roman"/>
        </w:rPr>
      </w:pPr>
      <w:r>
        <w:rPr>
          <w:rFonts w:ascii="Arial" w:eastAsia="Times New Roman" w:hAnsi="Arial" w:cs="Arial"/>
          <w:color w:val="000000"/>
          <w:sz w:val="20"/>
          <w:szCs w:val="20"/>
          <w:shd w:val="clear" w:color="auto" w:fill="FFFFFF"/>
        </w:rPr>
        <w:t>Each of the Partnerships is entitled to a right of contribution from the other Partnership for 50% of al</w:t>
      </w:r>
      <w:r>
        <w:rPr>
          <w:rFonts w:ascii="Arial" w:eastAsia="Times New Roman" w:hAnsi="Arial" w:cs="Arial"/>
          <w:color w:val="000000"/>
          <w:sz w:val="20"/>
          <w:szCs w:val="20"/>
          <w:shd w:val="clear" w:color="auto" w:fill="FFFFFF"/>
        </w:rPr>
        <w:t xml:space="preserve">l payments, damages and expenses incurred by that Partnership in discharging its obligations under the guarantees for the Guaranteed Enbridge Notes. </w:t>
      </w:r>
    </w:p>
    <w:p w:rsidR="00000000" w:rsidRDefault="00EE1167">
      <w:pPr>
        <w:divId w:val="1509754582"/>
        <w:rPr>
          <w:rFonts w:eastAsia="Times New Roman"/>
        </w:rPr>
      </w:pPr>
    </w:p>
    <w:p w:rsidR="00000000" w:rsidRDefault="00EE1167">
      <w:pPr>
        <w:divId w:val="1106849456"/>
        <w:rPr>
          <w:rFonts w:eastAsia="Times New Roman"/>
        </w:rPr>
      </w:pPr>
      <w:r>
        <w:rPr>
          <w:rFonts w:ascii="Arial" w:eastAsia="Times New Roman" w:hAnsi="Arial" w:cs="Arial"/>
          <w:color w:val="000000"/>
          <w:sz w:val="20"/>
          <w:szCs w:val="20"/>
          <w:shd w:val="clear" w:color="auto" w:fill="FFFFFF"/>
        </w:rPr>
        <w:t>Under the terms of the guarantee agreement and applicable supplemental indentures, the guarantees of eit</w:t>
      </w:r>
      <w:r>
        <w:rPr>
          <w:rFonts w:ascii="Arial" w:eastAsia="Times New Roman" w:hAnsi="Arial" w:cs="Arial"/>
          <w:color w:val="000000"/>
          <w:sz w:val="20"/>
          <w:szCs w:val="20"/>
          <w:shd w:val="clear" w:color="auto" w:fill="FFFFFF"/>
        </w:rPr>
        <w:t>her of the Partnerships of any Guaranteed Enbridge Notes will be unconditionally released and discharged automatically upon the occurrence of any of the following events:</w:t>
      </w:r>
    </w:p>
    <w:p w:rsidR="00000000" w:rsidRDefault="00EE1167">
      <w:pPr>
        <w:ind w:hanging="360"/>
        <w:divId w:val="818230979"/>
        <w:rPr>
          <w:rFonts w:eastAsia="Times New Roman"/>
        </w:rPr>
      </w:pPr>
      <w:r>
        <w:rPr>
          <w:rFonts w:ascii="Arial" w:eastAsia="Times New Roman" w:hAnsi="Arial" w:cs="Arial"/>
          <w:color w:val="000000"/>
          <w:sz w:val="20"/>
          <w:szCs w:val="20"/>
          <w:shd w:val="clear" w:color="auto" w:fill="FFFFFF"/>
        </w:rPr>
        <w:t>•any direct or indirect sale, exchange or transfer, whether by way of merger, sale or</w:t>
      </w:r>
      <w:r>
        <w:rPr>
          <w:rFonts w:ascii="Arial" w:eastAsia="Times New Roman" w:hAnsi="Arial" w:cs="Arial"/>
          <w:color w:val="000000"/>
          <w:sz w:val="20"/>
          <w:szCs w:val="20"/>
          <w:shd w:val="clear" w:color="auto" w:fill="FFFFFF"/>
        </w:rPr>
        <w:t xml:space="preserve"> transfer of equity interests or otherwise, to any person that is not an affiliate of Enbridge, of any of Enbridge’s direct or indirect limited partnership of other equity interests in that Partnership as a result of which the Partnership ceases to be a co</w:t>
      </w:r>
      <w:r>
        <w:rPr>
          <w:rFonts w:ascii="Arial" w:eastAsia="Times New Roman" w:hAnsi="Arial" w:cs="Arial"/>
          <w:color w:val="000000"/>
          <w:sz w:val="20"/>
          <w:szCs w:val="20"/>
          <w:shd w:val="clear" w:color="auto" w:fill="FFFFFF"/>
        </w:rPr>
        <w:t>nsolidated subsidiary of Enbridge;</w:t>
      </w:r>
    </w:p>
    <w:p w:rsidR="00000000" w:rsidRDefault="00EE1167">
      <w:pPr>
        <w:ind w:hanging="360"/>
        <w:divId w:val="38361584"/>
        <w:rPr>
          <w:rFonts w:eastAsia="Times New Roman"/>
        </w:rPr>
      </w:pPr>
      <w:r>
        <w:rPr>
          <w:rFonts w:ascii="Arial" w:eastAsia="Times New Roman" w:hAnsi="Arial" w:cs="Arial"/>
          <w:color w:val="000000"/>
          <w:sz w:val="20"/>
          <w:szCs w:val="20"/>
          <w:shd w:val="clear" w:color="auto" w:fill="FFFFFF"/>
        </w:rPr>
        <w:t>•the merger of that Partnership into Enbridge or the other Partnership or the liquidation and dissolution of that Partnership;</w:t>
      </w:r>
    </w:p>
    <w:p w:rsidR="00000000" w:rsidRDefault="00EE1167">
      <w:pPr>
        <w:ind w:hanging="360"/>
        <w:divId w:val="1937400540"/>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the repayment in full or discharge or defeasance of those Guaranteed Enbridge Notes, as contemplated by the applicable indenture or guarantee agreement;</w:t>
      </w:r>
    </w:p>
    <w:p w:rsidR="00000000" w:rsidRDefault="00EE1167">
      <w:pPr>
        <w:ind w:hanging="360"/>
        <w:divId w:val="749933957"/>
        <w:rPr>
          <w:rFonts w:eastAsia="Times New Roman"/>
        </w:rPr>
      </w:pPr>
      <w:r>
        <w:rPr>
          <w:rFonts w:ascii="Arial" w:eastAsia="Times New Roman" w:hAnsi="Arial" w:cs="Arial"/>
          <w:color w:val="000000"/>
          <w:sz w:val="20"/>
          <w:szCs w:val="20"/>
          <w:shd w:val="clear" w:color="auto" w:fill="FFFFFF"/>
        </w:rPr>
        <w:t>•with respect to EEP, the repayment in full or discharge or defeasance of each of the consenting EEP no</w:t>
      </w:r>
      <w:r>
        <w:rPr>
          <w:rFonts w:ascii="Arial" w:eastAsia="Times New Roman" w:hAnsi="Arial" w:cs="Arial"/>
          <w:color w:val="000000"/>
          <w:sz w:val="20"/>
          <w:szCs w:val="20"/>
          <w:shd w:val="clear" w:color="auto" w:fill="FFFFFF"/>
        </w:rPr>
        <w:t xml:space="preserve">tes listed above; </w:t>
      </w:r>
    </w:p>
    <w:p w:rsidR="00000000" w:rsidRDefault="00EE1167">
      <w:pPr>
        <w:ind w:hanging="360"/>
        <w:divId w:val="374963354"/>
        <w:rPr>
          <w:rFonts w:eastAsia="Times New Roman"/>
        </w:rPr>
      </w:pPr>
      <w:r>
        <w:rPr>
          <w:rFonts w:ascii="Arial" w:eastAsia="Times New Roman" w:hAnsi="Arial" w:cs="Arial"/>
          <w:color w:val="000000"/>
          <w:sz w:val="20"/>
          <w:szCs w:val="20"/>
          <w:shd w:val="clear" w:color="auto" w:fill="FFFFFF"/>
        </w:rPr>
        <w:t>•with respect to SEP, the repayment in full or discharge or defeasance of each of the consenting SEP notes listed above; or</w:t>
      </w:r>
    </w:p>
    <w:p w:rsidR="00000000" w:rsidRDefault="00EE1167">
      <w:pPr>
        <w:jc w:val="center"/>
        <w:divId w:val="1307708520"/>
        <w:rPr>
          <w:rFonts w:eastAsia="Times New Roman"/>
        </w:rPr>
      </w:pPr>
      <w:r>
        <w:rPr>
          <w:rFonts w:ascii="Arial" w:eastAsia="Times New Roman" w:hAnsi="Arial" w:cs="Arial"/>
          <w:color w:val="000000"/>
          <w:sz w:val="20"/>
          <w:szCs w:val="20"/>
        </w:rPr>
        <w:t>60</w:t>
      </w:r>
    </w:p>
    <w:p w:rsidR="00000000" w:rsidRDefault="00EE1167">
      <w:pPr>
        <w:rPr>
          <w:rFonts w:eastAsia="Times New Roman"/>
        </w:rPr>
      </w:pPr>
      <w:r>
        <w:rPr>
          <w:rFonts w:eastAsia="Times New Roman"/>
        </w:rPr>
        <w:pict>
          <v:rect id="_x0000_i1085" style="width:0;height:1.5pt" o:hralign="center" o:hrstd="t" o:hr="t" fillcolor="#a0a0a0" stroked="f"/>
        </w:pict>
      </w:r>
    </w:p>
    <w:p w:rsidR="00000000" w:rsidRDefault="00EE1167">
      <w:pPr>
        <w:jc w:val="center"/>
        <w:divId w:val="664942893"/>
        <w:rPr>
          <w:rFonts w:eastAsia="Times New Roman"/>
        </w:rPr>
      </w:pPr>
    </w:p>
    <w:p w:rsidR="00000000" w:rsidRDefault="00EE1167">
      <w:pPr>
        <w:ind w:hanging="360"/>
        <w:divId w:val="38551896"/>
        <w:rPr>
          <w:rFonts w:eastAsia="Times New Roman"/>
        </w:rPr>
      </w:pPr>
      <w:r>
        <w:rPr>
          <w:rFonts w:ascii="Arial" w:eastAsia="Times New Roman" w:hAnsi="Arial" w:cs="Arial"/>
          <w:color w:val="000000"/>
          <w:sz w:val="20"/>
          <w:szCs w:val="20"/>
          <w:shd w:val="clear" w:color="auto" w:fill="FFFFFF"/>
        </w:rPr>
        <w:t>•with respect to any series of Guaranteed Enbridge Notes, with the conse</w:t>
      </w:r>
      <w:r>
        <w:rPr>
          <w:rFonts w:ascii="Arial" w:eastAsia="Times New Roman" w:hAnsi="Arial" w:cs="Arial"/>
          <w:color w:val="000000"/>
          <w:sz w:val="20"/>
          <w:szCs w:val="20"/>
          <w:shd w:val="clear" w:color="auto" w:fill="FFFFFF"/>
        </w:rPr>
        <w:t>nt of holders of at least a majority of the outstanding principal amount of that series of Guaranteed Enbridge Notes.</w:t>
      </w:r>
    </w:p>
    <w:p w:rsidR="00000000" w:rsidRDefault="00EE1167">
      <w:pPr>
        <w:ind w:hanging="360"/>
        <w:divId w:val="2054454053"/>
        <w:rPr>
          <w:rFonts w:eastAsia="Times New Roman"/>
        </w:rPr>
      </w:pPr>
    </w:p>
    <w:p w:rsidR="00000000" w:rsidRDefault="00EE1167">
      <w:pPr>
        <w:divId w:val="1838613772"/>
        <w:rPr>
          <w:rFonts w:eastAsia="Times New Roman"/>
        </w:rPr>
      </w:pPr>
      <w:r>
        <w:rPr>
          <w:rFonts w:ascii="Arial" w:eastAsia="Times New Roman" w:hAnsi="Arial" w:cs="Arial"/>
          <w:color w:val="000000"/>
          <w:sz w:val="20"/>
          <w:szCs w:val="20"/>
          <w:shd w:val="clear" w:color="auto" w:fill="FFFFFF"/>
        </w:rPr>
        <w:t>The guarantee obligations of Enbridge will terminate with respect to any series of Guaranteed Partnership Notes if that series is discha</w:t>
      </w:r>
      <w:r>
        <w:rPr>
          <w:rFonts w:ascii="Arial" w:eastAsia="Times New Roman" w:hAnsi="Arial" w:cs="Arial"/>
          <w:color w:val="000000"/>
          <w:sz w:val="20"/>
          <w:szCs w:val="20"/>
          <w:shd w:val="clear" w:color="auto" w:fill="FFFFFF"/>
        </w:rPr>
        <w:t>rged or defeased.</w:t>
      </w:r>
    </w:p>
    <w:p w:rsidR="00000000" w:rsidRDefault="00EE1167">
      <w:pPr>
        <w:divId w:val="484471482"/>
        <w:rPr>
          <w:rFonts w:eastAsia="Times New Roman"/>
        </w:rPr>
      </w:pPr>
    </w:p>
    <w:p w:rsidR="00000000" w:rsidRDefault="00EE1167">
      <w:pPr>
        <w:jc w:val="both"/>
        <w:rPr>
          <w:rFonts w:eastAsia="Times New Roman"/>
        </w:rPr>
      </w:pPr>
      <w:r>
        <w:rPr>
          <w:rFonts w:ascii="Arial" w:eastAsia="Times New Roman" w:hAnsi="Arial" w:cs="Arial"/>
          <w:b/>
          <w:bCs/>
          <w:color w:val="000000"/>
          <w:sz w:val="26"/>
          <w:szCs w:val="26"/>
        </w:rPr>
        <w:t>LEGAL AND OTHER UPDATES</w:t>
      </w:r>
    </w:p>
    <w:p w:rsidR="00000000" w:rsidRDefault="00EE1167">
      <w:pPr>
        <w:divId w:val="1990866902"/>
        <w:rPr>
          <w:rFonts w:eastAsia="Times New Roman"/>
        </w:rPr>
      </w:pPr>
    </w:p>
    <w:p w:rsidR="00000000" w:rsidRDefault="00EE1167">
      <w:pPr>
        <w:divId w:val="915475480"/>
        <w:rPr>
          <w:rFonts w:eastAsia="Times New Roman"/>
        </w:rPr>
      </w:pPr>
      <w:r>
        <w:rPr>
          <w:rFonts w:ascii="Arial" w:eastAsia="Times New Roman" w:hAnsi="Arial" w:cs="Arial"/>
          <w:b/>
          <w:bCs/>
          <w:color w:val="000000"/>
          <w:sz w:val="20"/>
          <w:szCs w:val="20"/>
        </w:rPr>
        <w:t>LIQUIDS PIPELINES</w:t>
      </w:r>
    </w:p>
    <w:p w:rsidR="00000000" w:rsidRDefault="00EE1167">
      <w:pPr>
        <w:divId w:val="298191997"/>
        <w:rPr>
          <w:rFonts w:eastAsia="Times New Roman"/>
        </w:rPr>
      </w:pPr>
    </w:p>
    <w:p w:rsidR="00000000" w:rsidRDefault="00EE1167">
      <w:pPr>
        <w:divId w:val="894588014"/>
        <w:rPr>
          <w:rFonts w:eastAsia="Times New Roman"/>
        </w:rPr>
      </w:pPr>
      <w:r>
        <w:rPr>
          <w:rFonts w:ascii="Arial" w:eastAsia="Times New Roman" w:hAnsi="Arial" w:cs="Arial"/>
          <w:b/>
          <w:bCs/>
          <w:color w:val="000000"/>
          <w:sz w:val="20"/>
          <w:szCs w:val="20"/>
        </w:rPr>
        <w:t>Michigan Line 5 Dual Pipelines - Straits of Mackinac Easement</w:t>
      </w:r>
    </w:p>
    <w:p w:rsidR="00000000" w:rsidRDefault="00EE1167">
      <w:pPr>
        <w:divId w:val="349063731"/>
        <w:rPr>
          <w:rFonts w:eastAsia="Times New Roman"/>
        </w:rPr>
      </w:pPr>
      <w:r>
        <w:rPr>
          <w:rFonts w:ascii="Arial" w:eastAsia="Times New Roman" w:hAnsi="Arial" w:cs="Arial"/>
          <w:color w:val="000000"/>
          <w:sz w:val="20"/>
          <w:szCs w:val="20"/>
        </w:rPr>
        <w:t>In 2019, the Michigan Attorney General filed a complaint in the Michigan Ingham County Circuit Court (the Court) that requests t</w:t>
      </w:r>
      <w:r>
        <w:rPr>
          <w:rFonts w:ascii="Arial" w:eastAsia="Times New Roman" w:hAnsi="Arial" w:cs="Arial"/>
          <w:color w:val="000000"/>
          <w:sz w:val="20"/>
          <w:szCs w:val="20"/>
        </w:rPr>
        <w:t>he Court to declare the easement granted in 1953 that we have for the operation of Line 5 in the Straits of Mackinac (the Straits) to be invalid and to prohibit continued operation of Line 5 in the Straits “as soon as possible after a reasonable notice per</w:t>
      </w:r>
      <w:r>
        <w:rPr>
          <w:rFonts w:ascii="Arial" w:eastAsia="Times New Roman" w:hAnsi="Arial" w:cs="Arial"/>
          <w:color w:val="000000"/>
          <w:sz w:val="20"/>
          <w:szCs w:val="20"/>
        </w:rPr>
        <w:t>iod to allow orderly adjustments by affected parties”. Ruling on the motions is currently being held in abeyance by the Court pending further developments in the Federal Court cases described below.</w:t>
      </w:r>
    </w:p>
    <w:p w:rsidR="00000000" w:rsidRDefault="00EE1167">
      <w:pPr>
        <w:divId w:val="669798032"/>
        <w:rPr>
          <w:rFonts w:eastAsia="Times New Roman"/>
        </w:rPr>
      </w:pPr>
    </w:p>
    <w:p w:rsidR="00000000" w:rsidRDefault="00EE1167">
      <w:pPr>
        <w:divId w:val="39744694"/>
        <w:rPr>
          <w:rFonts w:eastAsia="Times New Roman"/>
        </w:rPr>
      </w:pPr>
      <w:r>
        <w:rPr>
          <w:rFonts w:ascii="Arial" w:eastAsia="Times New Roman" w:hAnsi="Arial" w:cs="Arial"/>
          <w:color w:val="000000"/>
          <w:sz w:val="20"/>
          <w:szCs w:val="20"/>
        </w:rPr>
        <w:t xml:space="preserve">On November 13, 2020, the Governor of Michigan and the </w:t>
      </w:r>
      <w:r>
        <w:rPr>
          <w:rFonts w:ascii="Arial" w:eastAsia="Times New Roman" w:hAnsi="Arial" w:cs="Arial"/>
          <w:color w:val="000000"/>
          <w:sz w:val="20"/>
          <w:szCs w:val="20"/>
        </w:rPr>
        <w:t xml:space="preserve">Director of the Michigan Department of Natural Resources notified us that the State of Michigan (the State) was revoking and terminating the easement granted in 1953 that allows Line 5 to operate across the Straits. The notice demanded that the portion of </w:t>
      </w:r>
      <w:r>
        <w:rPr>
          <w:rFonts w:ascii="Arial" w:eastAsia="Times New Roman" w:hAnsi="Arial" w:cs="Arial"/>
          <w:color w:val="000000"/>
          <w:sz w:val="20"/>
          <w:szCs w:val="20"/>
        </w:rPr>
        <w:t xml:space="preserve">Line 5 that crosses the Straits must be shut down by May 2021. On November 24, 2020, we filed in the US District Court for the Western District of Michigan a Notice of Removal, which removed the State’s November Complaint to Federal Court, and a Complaint </w:t>
      </w:r>
      <w:r>
        <w:rPr>
          <w:rFonts w:ascii="Arial" w:eastAsia="Times New Roman" w:hAnsi="Arial" w:cs="Arial"/>
          <w:color w:val="000000"/>
          <w:sz w:val="20"/>
          <w:szCs w:val="20"/>
        </w:rPr>
        <w:t xml:space="preserve">for Declaratory and Injunctive Relief that requests the US District Court to enjoin the Governor from taking any action to prevent or impede the operation of Line 5. US District Court Judge Janet T. Neff was assigned to the cases and on February 18, 2021, </w:t>
      </w:r>
      <w:r>
        <w:rPr>
          <w:rFonts w:ascii="Arial" w:eastAsia="Times New Roman" w:hAnsi="Arial" w:cs="Arial"/>
          <w:color w:val="000000"/>
          <w:sz w:val="20"/>
          <w:szCs w:val="20"/>
        </w:rPr>
        <w:t xml:space="preserve">Judge Neff ruled that the motion to remand back to State Court will be briefed and decided first. Parties were also ordered to collaborate and identify a facilitative mediator. Accordingly, retired US District Court Judge Gerald Rosen was chosen to act as </w:t>
      </w:r>
      <w:r>
        <w:rPr>
          <w:rFonts w:ascii="Arial" w:eastAsia="Times New Roman" w:hAnsi="Arial" w:cs="Arial"/>
          <w:color w:val="000000"/>
          <w:sz w:val="20"/>
          <w:szCs w:val="20"/>
        </w:rPr>
        <w:t>mediator. The parties had multiple mediation sessions with the mediator, which did not result in a settlement. The State has expressed no interest in further mediation discussions. On October 21, 2021, we filed our motion and supplemental brief to advise t</w:t>
      </w:r>
      <w:r>
        <w:rPr>
          <w:rFonts w:ascii="Arial" w:eastAsia="Times New Roman" w:hAnsi="Arial" w:cs="Arial"/>
          <w:color w:val="000000"/>
          <w:sz w:val="20"/>
          <w:szCs w:val="20"/>
        </w:rPr>
        <w:t>he Court that the Government of Canada had invoked the dispute resolution process under the 1977 Transit Pipelines Treaty with the US Government. The State’s remand motion remains with Judge Neff for decision.</w:t>
      </w:r>
    </w:p>
    <w:p w:rsidR="00000000" w:rsidRDefault="00EE1167">
      <w:pPr>
        <w:divId w:val="101727788"/>
        <w:rPr>
          <w:rFonts w:eastAsia="Times New Roman"/>
        </w:rPr>
      </w:pPr>
    </w:p>
    <w:p w:rsidR="00000000" w:rsidRDefault="00EE1167">
      <w:pPr>
        <w:divId w:val="642203132"/>
        <w:rPr>
          <w:rFonts w:eastAsia="Times New Roman"/>
        </w:rPr>
      </w:pPr>
      <w:r>
        <w:rPr>
          <w:rFonts w:ascii="Arial" w:eastAsia="Times New Roman" w:hAnsi="Arial" w:cs="Arial"/>
          <w:color w:val="000000"/>
          <w:sz w:val="20"/>
          <w:szCs w:val="20"/>
        </w:rPr>
        <w:t xml:space="preserve">On January 12, 2021, we responded to the Governor’s Notice of Revocation and Termination of Easement. On February 11, 2021, we sent a further letter to the Department of Natural Resources regarding our rights under the easement and renewing the request to </w:t>
      </w:r>
      <w:r>
        <w:rPr>
          <w:rFonts w:ascii="Arial" w:eastAsia="Times New Roman" w:hAnsi="Arial" w:cs="Arial"/>
          <w:color w:val="000000"/>
          <w:sz w:val="20"/>
          <w:szCs w:val="20"/>
        </w:rPr>
        <w:t>meet and have technical discussions to better understand the State’s concerns. On May 11, 2021, the Governor sent a letter to us stating that if we continued to operate in the Straits past May 12, 2021, the State would consider us as intentionally trespass</w:t>
      </w:r>
      <w:r>
        <w:rPr>
          <w:rFonts w:ascii="Arial" w:eastAsia="Times New Roman" w:hAnsi="Arial" w:cs="Arial"/>
          <w:color w:val="000000"/>
          <w:sz w:val="20"/>
          <w:szCs w:val="20"/>
        </w:rPr>
        <w:t>ing and therefore we will be unjustly enriched entitling the State to all profits derived from wrongful use of the State's property. On May 21, 2021, we responded to the letter refuting the State's claims that the pipelines are in trespass. We will vigorou</w:t>
      </w:r>
      <w:r>
        <w:rPr>
          <w:rFonts w:ascii="Arial" w:eastAsia="Times New Roman" w:hAnsi="Arial" w:cs="Arial"/>
          <w:color w:val="000000"/>
          <w:sz w:val="20"/>
          <w:szCs w:val="20"/>
        </w:rPr>
        <w:t>sly defend our ability to operate Line 5 under the 1953 easement in pending Court actions.</w:t>
      </w:r>
    </w:p>
    <w:p w:rsidR="00000000" w:rsidRDefault="00EE1167">
      <w:pPr>
        <w:divId w:val="292490463"/>
        <w:rPr>
          <w:rFonts w:eastAsia="Times New Roman"/>
        </w:rPr>
      </w:pPr>
    </w:p>
    <w:p w:rsidR="00000000" w:rsidRDefault="00EE1167">
      <w:pPr>
        <w:jc w:val="center"/>
        <w:divId w:val="1245991168"/>
        <w:rPr>
          <w:rFonts w:eastAsia="Times New Roman"/>
        </w:rPr>
      </w:pPr>
      <w:r>
        <w:rPr>
          <w:rFonts w:ascii="Arial" w:eastAsia="Times New Roman" w:hAnsi="Arial" w:cs="Arial"/>
          <w:color w:val="000000"/>
          <w:sz w:val="20"/>
          <w:szCs w:val="20"/>
        </w:rPr>
        <w:t>61</w:t>
      </w:r>
    </w:p>
    <w:p w:rsidR="00000000" w:rsidRDefault="00EE1167">
      <w:pPr>
        <w:rPr>
          <w:rFonts w:eastAsia="Times New Roman"/>
        </w:rPr>
      </w:pPr>
      <w:r>
        <w:rPr>
          <w:rFonts w:eastAsia="Times New Roman"/>
        </w:rPr>
        <w:pict>
          <v:rect id="_x0000_i1086" style="width:0;height:1.5pt" o:hralign="center" o:hrstd="t" o:hr="t" fillcolor="#a0a0a0" stroked="f"/>
        </w:pict>
      </w:r>
    </w:p>
    <w:p w:rsidR="00000000" w:rsidRDefault="00EE1167">
      <w:pPr>
        <w:jc w:val="center"/>
        <w:divId w:val="1786077019"/>
        <w:rPr>
          <w:rFonts w:eastAsia="Times New Roman"/>
        </w:rPr>
      </w:pPr>
    </w:p>
    <w:p w:rsidR="00000000" w:rsidRDefault="00EE1167">
      <w:pPr>
        <w:divId w:val="1244727965"/>
        <w:rPr>
          <w:rFonts w:eastAsia="Times New Roman"/>
        </w:rPr>
      </w:pPr>
      <w:r>
        <w:rPr>
          <w:rFonts w:ascii="Arial" w:eastAsia="Times New Roman" w:hAnsi="Arial" w:cs="Arial"/>
          <w:color w:val="000000"/>
          <w:sz w:val="20"/>
          <w:szCs w:val="20"/>
        </w:rPr>
        <w:t>In March 2021, we completed the engineering and design phase of the Great Lakes Tunnel Project and we have begun the proce</w:t>
      </w:r>
      <w:r>
        <w:rPr>
          <w:rFonts w:ascii="Arial" w:eastAsia="Times New Roman" w:hAnsi="Arial" w:cs="Arial"/>
          <w:color w:val="000000"/>
          <w:sz w:val="20"/>
          <w:szCs w:val="20"/>
        </w:rPr>
        <w:t>ss of hiring a contractor to construct the tunnel. We are actively pursuing state and federal regulatory permits from the US Army Corps of Engineers (Army Corps), the Michigan Department of Environment, Great Lakes &amp; Energy (EGLE) and the Michigan Public S</w:t>
      </w:r>
      <w:r>
        <w:rPr>
          <w:rFonts w:ascii="Arial" w:eastAsia="Times New Roman" w:hAnsi="Arial" w:cs="Arial"/>
          <w:color w:val="000000"/>
          <w:sz w:val="20"/>
          <w:szCs w:val="20"/>
        </w:rPr>
        <w:t xml:space="preserve">ervice Commission (MPSC). The EGLE permits were granted in the first quarter of 2021; one of the EGLE permits was challenged by the Bay Mills Indian Community. An Administrative Law Judge was appointed and a schedule set for the contested case proceeding. </w:t>
      </w:r>
      <w:r>
        <w:rPr>
          <w:rFonts w:ascii="Arial" w:eastAsia="Times New Roman" w:hAnsi="Arial" w:cs="Arial"/>
          <w:color w:val="000000"/>
          <w:sz w:val="20"/>
          <w:szCs w:val="20"/>
        </w:rPr>
        <w:t>According to the current schedule, dispositive motions will be fully briefed by December 22, 2021.</w:t>
      </w:r>
    </w:p>
    <w:p w:rsidR="00000000" w:rsidRDefault="00EE1167">
      <w:pPr>
        <w:divId w:val="904145039"/>
        <w:rPr>
          <w:rFonts w:eastAsia="Times New Roman"/>
        </w:rPr>
      </w:pPr>
      <w:r>
        <w:rPr>
          <w:rFonts w:ascii="Arial" w:eastAsia="Times New Roman" w:hAnsi="Arial" w:cs="Arial"/>
          <w:color w:val="000000"/>
          <w:sz w:val="20"/>
          <w:szCs w:val="20"/>
        </w:rPr>
        <w:t>On June 23, 2021, the Army Corps announced they would proceed with an EIS for the Great Lakes Tunnel Project to replace Line 5 at the Straits.</w:t>
      </w:r>
      <w:r>
        <w:rPr>
          <w:rFonts w:ascii="Arial" w:eastAsia="Times New Roman" w:hAnsi="Arial" w:cs="Arial"/>
          <w:color w:val="000000"/>
        </w:rPr>
        <w:t xml:space="preserve"> </w:t>
      </w:r>
      <w:r>
        <w:rPr>
          <w:rFonts w:ascii="Arial" w:eastAsia="Times New Roman" w:hAnsi="Arial" w:cs="Arial"/>
          <w:color w:val="000000"/>
          <w:sz w:val="20"/>
          <w:szCs w:val="20"/>
        </w:rPr>
        <w:t>On June 23, 20</w:t>
      </w:r>
      <w:r>
        <w:rPr>
          <w:rFonts w:ascii="Arial" w:eastAsia="Times New Roman" w:hAnsi="Arial" w:cs="Arial"/>
          <w:color w:val="000000"/>
          <w:sz w:val="20"/>
          <w:szCs w:val="20"/>
        </w:rPr>
        <w:t>21, we issued a statement stating that construction on this project would be delayed due to the EIS. Direct testimony has been filed in the MPSC contested case proceeding and the current schedule has the matter fully briefed by March 11, 2022.</w:t>
      </w:r>
    </w:p>
    <w:p w:rsidR="00000000" w:rsidRDefault="00EE1167">
      <w:pPr>
        <w:divId w:val="2104179564"/>
        <w:rPr>
          <w:rFonts w:eastAsia="Times New Roman"/>
        </w:rPr>
      </w:pPr>
    </w:p>
    <w:p w:rsidR="00000000" w:rsidRDefault="00EE1167">
      <w:pPr>
        <w:divId w:val="839003222"/>
        <w:rPr>
          <w:rFonts w:eastAsia="Times New Roman"/>
        </w:rPr>
      </w:pPr>
      <w:r>
        <w:rPr>
          <w:rFonts w:ascii="Arial" w:eastAsia="Times New Roman" w:hAnsi="Arial" w:cs="Arial"/>
          <w:b/>
          <w:bCs/>
          <w:color w:val="000000"/>
          <w:sz w:val="20"/>
          <w:szCs w:val="20"/>
        </w:rPr>
        <w:t>Dakota Acc</w:t>
      </w:r>
      <w:r>
        <w:rPr>
          <w:rFonts w:ascii="Arial" w:eastAsia="Times New Roman" w:hAnsi="Arial" w:cs="Arial"/>
          <w:b/>
          <w:bCs/>
          <w:color w:val="000000"/>
          <w:sz w:val="20"/>
          <w:szCs w:val="20"/>
        </w:rPr>
        <w:t>ess Pipeline</w:t>
      </w:r>
    </w:p>
    <w:p w:rsidR="00000000" w:rsidRDefault="00EE1167">
      <w:pPr>
        <w:divId w:val="1695962963"/>
        <w:rPr>
          <w:rFonts w:eastAsia="Times New Roman"/>
        </w:rPr>
      </w:pPr>
      <w:r>
        <w:rPr>
          <w:rFonts w:ascii="Arial" w:eastAsia="Times New Roman" w:hAnsi="Arial" w:cs="Arial"/>
          <w:color w:val="000000"/>
          <w:sz w:val="20"/>
          <w:szCs w:val="20"/>
        </w:rPr>
        <w:t>We own an effective interest of 27.6% in the Bakken Pipeline System, which is inclusive of the DAPL. The Standing Rock Sioux Tribe and the Cheyenne River Sioux Tribe filed lawsuits in 2016 with the US Court for the District of Columbia (the Di</w:t>
      </w:r>
      <w:r>
        <w:rPr>
          <w:rFonts w:ascii="Arial" w:eastAsia="Times New Roman" w:hAnsi="Arial" w:cs="Arial"/>
          <w:color w:val="000000"/>
          <w:sz w:val="20"/>
          <w:szCs w:val="20"/>
        </w:rPr>
        <w:t>strict Court) contesting the lawfulness of the Army Corps easement for DAPL, including the adequacy of the Army Corps’ environmental review and tribal consultation process. The Oglala Sioux and Yankton Sioux Tribes also filed lawsuits alleging similar clai</w:t>
      </w:r>
      <w:r>
        <w:rPr>
          <w:rFonts w:ascii="Arial" w:eastAsia="Times New Roman" w:hAnsi="Arial" w:cs="Arial"/>
          <w:color w:val="000000"/>
          <w:sz w:val="20"/>
          <w:szCs w:val="20"/>
        </w:rPr>
        <w:t>ms in 2018.</w:t>
      </w:r>
    </w:p>
    <w:p w:rsidR="00000000" w:rsidRDefault="00EE1167">
      <w:pPr>
        <w:divId w:val="926883286"/>
        <w:rPr>
          <w:rFonts w:eastAsia="Times New Roman"/>
        </w:rPr>
      </w:pPr>
    </w:p>
    <w:p w:rsidR="00000000" w:rsidRDefault="00EE1167">
      <w:pPr>
        <w:divId w:val="944314116"/>
        <w:rPr>
          <w:rFonts w:eastAsia="Times New Roman"/>
        </w:rPr>
      </w:pPr>
      <w:r>
        <w:rPr>
          <w:rFonts w:ascii="Arial" w:eastAsia="Times New Roman" w:hAnsi="Arial" w:cs="Arial"/>
          <w:color w:val="000000"/>
          <w:sz w:val="20"/>
          <w:szCs w:val="20"/>
        </w:rPr>
        <w:t>On June 14, 2017, the District Court found the Army Corps’ environmental review to be deficient and ordered the Army Corps to conduct further study concerning spill risks from DAPL. In August 2018, the Army Corps completed on remand the furth</w:t>
      </w:r>
      <w:r>
        <w:rPr>
          <w:rFonts w:ascii="Arial" w:eastAsia="Times New Roman" w:hAnsi="Arial" w:cs="Arial"/>
          <w:color w:val="000000"/>
          <w:sz w:val="20"/>
          <w:szCs w:val="20"/>
        </w:rPr>
        <w:t>er environmental review ordered by the District Court and reaffirmed the issuance of the easement for DAPL. All four plaintiff Tribes subsequently amended their complaints to include claims challenging the adequacy of the Army Corps’ August 2018 remand dec</w:t>
      </w:r>
      <w:r>
        <w:rPr>
          <w:rFonts w:ascii="Arial" w:eastAsia="Times New Roman" w:hAnsi="Arial" w:cs="Arial"/>
          <w:color w:val="000000"/>
          <w:sz w:val="20"/>
          <w:szCs w:val="20"/>
        </w:rPr>
        <w:t>ision.</w:t>
      </w:r>
    </w:p>
    <w:p w:rsidR="00000000" w:rsidRDefault="00EE1167">
      <w:pPr>
        <w:divId w:val="172114491"/>
        <w:rPr>
          <w:rFonts w:eastAsia="Times New Roman"/>
        </w:rPr>
      </w:pPr>
    </w:p>
    <w:p w:rsidR="00000000" w:rsidRDefault="00EE1167">
      <w:pPr>
        <w:divId w:val="1582373570"/>
        <w:rPr>
          <w:rFonts w:eastAsia="Times New Roman"/>
        </w:rPr>
      </w:pPr>
      <w:r>
        <w:rPr>
          <w:rFonts w:ascii="Arial" w:eastAsia="Times New Roman" w:hAnsi="Arial" w:cs="Arial"/>
          <w:color w:val="000000"/>
          <w:sz w:val="20"/>
          <w:szCs w:val="20"/>
        </w:rPr>
        <w:t>On March 25, 2020, in response to amended complaints from the Tribes, the District Court found the Army Corps’ environmental review on remand was deficient and ordered the Army Corps to prepare an EIS to address unresolved controversy pertaining t</w:t>
      </w:r>
      <w:r>
        <w:rPr>
          <w:rFonts w:ascii="Arial" w:eastAsia="Times New Roman" w:hAnsi="Arial" w:cs="Arial"/>
          <w:color w:val="000000"/>
          <w:sz w:val="20"/>
          <w:szCs w:val="20"/>
        </w:rPr>
        <w:t xml:space="preserve">o potential spill impacts resulting from DAPL. On July 6, 2020, the District Court issued an order vacating the Army Corps’ easement for DAPL and ordering that the pipeline be shut down by August 5, 2020. Dakota Access, LLC and the Army Corps appealed the </w:t>
      </w:r>
      <w:r>
        <w:rPr>
          <w:rFonts w:ascii="Arial" w:eastAsia="Times New Roman" w:hAnsi="Arial" w:cs="Arial"/>
          <w:color w:val="000000"/>
          <w:sz w:val="20"/>
          <w:szCs w:val="20"/>
        </w:rPr>
        <w:t>decision and filed a motion for a stay pending appeal with the US Court of Appeals for the District of Columbia Circuit. On August 5, 2020, the US Court of Appeals stayed the District Court’s July 6 order to shut down and empty the pipeline, but did not st</w:t>
      </w:r>
      <w:r>
        <w:rPr>
          <w:rFonts w:ascii="Arial" w:eastAsia="Times New Roman" w:hAnsi="Arial" w:cs="Arial"/>
          <w:color w:val="000000"/>
          <w:sz w:val="20"/>
          <w:szCs w:val="20"/>
        </w:rPr>
        <w:t xml:space="preserve">ay the District Court’s March 25 order requiring the Army Corps to prepare an EIS or the District Court’s July 6 order vacating the DAPL easement. </w:t>
      </w:r>
    </w:p>
    <w:p w:rsidR="00000000" w:rsidRDefault="00EE1167">
      <w:pPr>
        <w:divId w:val="275216065"/>
        <w:rPr>
          <w:rFonts w:eastAsia="Times New Roman"/>
        </w:rPr>
      </w:pPr>
    </w:p>
    <w:p w:rsidR="00000000" w:rsidRDefault="00EE1167">
      <w:pPr>
        <w:divId w:val="1950818613"/>
        <w:rPr>
          <w:rFonts w:eastAsia="Times New Roman"/>
        </w:rPr>
      </w:pPr>
      <w:r>
        <w:rPr>
          <w:rFonts w:ascii="Arial" w:eastAsia="Times New Roman" w:hAnsi="Arial" w:cs="Arial"/>
          <w:color w:val="000000"/>
          <w:sz w:val="20"/>
          <w:szCs w:val="20"/>
        </w:rPr>
        <w:t>On January 26, 2021, the US Court of Appeals affirmed the District Court’s decision, holding that the Army</w:t>
      </w:r>
      <w:r>
        <w:rPr>
          <w:rFonts w:ascii="Arial" w:eastAsia="Times New Roman" w:hAnsi="Arial" w:cs="Arial"/>
          <w:color w:val="000000"/>
          <w:sz w:val="20"/>
          <w:szCs w:val="20"/>
        </w:rPr>
        <w:t xml:space="preserve"> Corps is required to prepare an EIS and that the Army Corps’ easement for DAPL is vacated. Dakota Access, LLC has since filed a petition asking the US Supreme Court to review the decision that an EIS is required. The US Court of Appeals also determined th</w:t>
      </w:r>
      <w:r>
        <w:rPr>
          <w:rFonts w:ascii="Arial" w:eastAsia="Times New Roman" w:hAnsi="Arial" w:cs="Arial"/>
          <w:color w:val="000000"/>
          <w:sz w:val="20"/>
          <w:szCs w:val="20"/>
        </w:rPr>
        <w:t>at, absent considering the closure of DAPL in the context of an injunction proceeding, the District Court could not order DAPL’s operations to cease. While not an issue before the US Court of Appeals, the US Court of Appeals also recognized that the Army C</w:t>
      </w:r>
      <w:r>
        <w:rPr>
          <w:rFonts w:ascii="Arial" w:eastAsia="Times New Roman" w:hAnsi="Arial" w:cs="Arial"/>
          <w:color w:val="000000"/>
          <w:sz w:val="20"/>
          <w:szCs w:val="20"/>
        </w:rPr>
        <w:t>orps could consider whether to allow DAPL to continue to operate in the absence of an easement.</w:t>
      </w:r>
    </w:p>
    <w:p w:rsidR="00000000" w:rsidRDefault="00EE1167">
      <w:pPr>
        <w:divId w:val="2098557561"/>
        <w:rPr>
          <w:rFonts w:eastAsia="Times New Roman"/>
        </w:rPr>
      </w:pPr>
      <w:r>
        <w:rPr>
          <w:rFonts w:ascii="Arial" w:eastAsia="Times New Roman" w:hAnsi="Arial" w:cs="Arial"/>
          <w:color w:val="000000"/>
          <w:sz w:val="20"/>
          <w:szCs w:val="20"/>
        </w:rPr>
        <w:t>On May 21, 2021, the District Court dismissed the plaintiff Tribes’ request for an injunction enjoining DAPL from operating until the Army Corps has completed i</w:t>
      </w:r>
      <w:r>
        <w:rPr>
          <w:rFonts w:ascii="Arial" w:eastAsia="Times New Roman" w:hAnsi="Arial" w:cs="Arial"/>
          <w:color w:val="000000"/>
          <w:sz w:val="20"/>
          <w:szCs w:val="20"/>
        </w:rPr>
        <w:t>ts EIS. The right of the plaintiff Tribes to appeal the denial of the injunction request expired on July 20, 2021. The Army Corps earlier indicated that it did not intend, at that time, to exercise its authority to bar DAPL’s continued operation, notwithst</w:t>
      </w:r>
      <w:r>
        <w:rPr>
          <w:rFonts w:ascii="Arial" w:eastAsia="Times New Roman" w:hAnsi="Arial" w:cs="Arial"/>
          <w:color w:val="000000"/>
          <w:sz w:val="20"/>
          <w:szCs w:val="20"/>
        </w:rPr>
        <w:t xml:space="preserve">anding the absence of an easement and that it anticipates completing its EIS by March 2022. </w:t>
      </w:r>
    </w:p>
    <w:p w:rsidR="00000000" w:rsidRDefault="00EE1167">
      <w:pPr>
        <w:divId w:val="1122380720"/>
        <w:rPr>
          <w:rFonts w:eastAsia="Times New Roman"/>
        </w:rPr>
      </w:pPr>
    </w:p>
    <w:p w:rsidR="00000000" w:rsidRDefault="00EE1167">
      <w:pPr>
        <w:jc w:val="center"/>
        <w:divId w:val="505633256"/>
        <w:rPr>
          <w:rFonts w:eastAsia="Times New Roman"/>
        </w:rPr>
      </w:pPr>
      <w:r>
        <w:rPr>
          <w:rFonts w:ascii="Arial" w:eastAsia="Times New Roman" w:hAnsi="Arial" w:cs="Arial"/>
          <w:color w:val="000000"/>
          <w:sz w:val="20"/>
          <w:szCs w:val="20"/>
        </w:rPr>
        <w:t>62</w:t>
      </w:r>
    </w:p>
    <w:p w:rsidR="00000000" w:rsidRDefault="00EE1167">
      <w:pPr>
        <w:rPr>
          <w:rFonts w:eastAsia="Times New Roman"/>
        </w:rPr>
      </w:pPr>
      <w:r>
        <w:rPr>
          <w:rFonts w:eastAsia="Times New Roman"/>
        </w:rPr>
        <w:pict>
          <v:rect id="_x0000_i1087" style="width:0;height:1.5pt" o:hralign="center" o:hrstd="t" o:hr="t" fillcolor="#a0a0a0" stroked="f"/>
        </w:pict>
      </w:r>
    </w:p>
    <w:p w:rsidR="00000000" w:rsidRDefault="00EE1167">
      <w:pPr>
        <w:jc w:val="center"/>
        <w:divId w:val="922372019"/>
        <w:rPr>
          <w:rFonts w:eastAsia="Times New Roman"/>
        </w:rPr>
      </w:pPr>
    </w:p>
    <w:p w:rsidR="00000000" w:rsidRDefault="00EE1167">
      <w:pPr>
        <w:divId w:val="1006251368"/>
        <w:rPr>
          <w:rFonts w:eastAsia="Times New Roman"/>
        </w:rPr>
      </w:pPr>
      <w:r>
        <w:rPr>
          <w:rFonts w:ascii="Arial" w:eastAsia="Times New Roman" w:hAnsi="Arial" w:cs="Arial"/>
          <w:color w:val="000000"/>
          <w:sz w:val="20"/>
          <w:szCs w:val="20"/>
        </w:rPr>
        <w:t>On July 22, 2021, the Army Corps filed a notice with the District Court advising that the Pipeline and Hazardous Materials Safety Administration (PHMSA) issued a notice asserting violations of federal safety regulations resulting from the operation of DAPL</w:t>
      </w:r>
      <w:r>
        <w:rPr>
          <w:rFonts w:ascii="Arial" w:eastAsia="Times New Roman" w:hAnsi="Arial" w:cs="Arial"/>
          <w:color w:val="000000"/>
          <w:sz w:val="20"/>
          <w:szCs w:val="20"/>
        </w:rPr>
        <w:t>. The Army Corps stated that it would consider PHMSA’s notice as part of its ongoing consideration of whether and how the Army Corps will enforce its rights on property crossed by the pipeline and in the context of the ongoing EIS. The Army Corps also gran</w:t>
      </w:r>
      <w:r>
        <w:rPr>
          <w:rFonts w:ascii="Arial" w:eastAsia="Times New Roman" w:hAnsi="Arial" w:cs="Arial"/>
          <w:color w:val="000000"/>
          <w:sz w:val="20"/>
          <w:szCs w:val="20"/>
        </w:rPr>
        <w:t xml:space="preserve">ted the request from the Tribes to extend the EIS completion date to September 2022. </w:t>
      </w:r>
    </w:p>
    <w:p w:rsidR="00000000" w:rsidRDefault="00EE1167">
      <w:pPr>
        <w:divId w:val="33434260"/>
        <w:rPr>
          <w:rFonts w:eastAsia="Times New Roman"/>
        </w:rPr>
      </w:pPr>
    </w:p>
    <w:p w:rsidR="00000000" w:rsidRDefault="00EE1167">
      <w:pPr>
        <w:divId w:val="33043874"/>
        <w:rPr>
          <w:rFonts w:eastAsia="Times New Roman"/>
        </w:rPr>
      </w:pPr>
      <w:r>
        <w:rPr>
          <w:rFonts w:ascii="Arial" w:eastAsia="Times New Roman" w:hAnsi="Arial" w:cs="Arial"/>
          <w:b/>
          <w:bCs/>
          <w:color w:val="000000"/>
          <w:sz w:val="20"/>
          <w:szCs w:val="20"/>
        </w:rPr>
        <w:t>OTHER LITIGATION</w:t>
      </w:r>
    </w:p>
    <w:p w:rsidR="00000000" w:rsidRDefault="00EE1167">
      <w:pPr>
        <w:divId w:val="315495929"/>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includ</w:t>
      </w:r>
      <w:r>
        <w:rPr>
          <w:rFonts w:ascii="Arial" w:eastAsia="Times New Roman" w:hAnsi="Arial" w:cs="Arial"/>
          <w:color w:val="000000"/>
          <w:sz w:val="20"/>
          <w:szCs w:val="20"/>
        </w:rPr>
        <w:t>ing interventions in regulatory proceedings and challenges to regulatory approvals and permits. While the final outcome of such actions and proceedings cannot be predicted with certainty, management believes that the resolution of such actions and proceedi</w:t>
      </w:r>
      <w:r>
        <w:rPr>
          <w:rFonts w:ascii="Arial" w:eastAsia="Times New Roman" w:hAnsi="Arial" w:cs="Arial"/>
          <w:color w:val="000000"/>
          <w:sz w:val="20"/>
          <w:szCs w:val="20"/>
        </w:rPr>
        <w:t>ngs will not have a material impact on our consolidated financial position or results of operations.</w:t>
      </w:r>
    </w:p>
    <w:p w:rsidR="00000000" w:rsidRDefault="00EE1167">
      <w:pPr>
        <w:divId w:val="187765009"/>
        <w:rPr>
          <w:rFonts w:eastAsia="Times New Roman"/>
        </w:rPr>
      </w:pPr>
    </w:p>
    <w:p w:rsidR="00000000" w:rsidRDefault="00EE1167">
      <w:pPr>
        <w:divId w:val="1409114979"/>
        <w:rPr>
          <w:rFonts w:eastAsia="Times New Roman"/>
        </w:rPr>
      </w:pPr>
      <w:r>
        <w:rPr>
          <w:rFonts w:ascii="Arial" w:eastAsia="Times New Roman" w:hAnsi="Arial" w:cs="Arial"/>
          <w:b/>
          <w:bCs/>
          <w:color w:val="000000"/>
          <w:sz w:val="20"/>
          <w:szCs w:val="20"/>
        </w:rPr>
        <w:t>CAPITAL EXPENDITURE COMMITMENTS</w:t>
      </w:r>
    </w:p>
    <w:p w:rsidR="00000000" w:rsidRDefault="00EE1167">
      <w:pPr>
        <w:divId w:val="1925214331"/>
        <w:rPr>
          <w:rFonts w:eastAsia="Times New Roman"/>
        </w:rPr>
      </w:pPr>
      <w:r>
        <w:rPr>
          <w:rFonts w:ascii="Arial" w:eastAsia="Times New Roman" w:hAnsi="Arial" w:cs="Arial"/>
          <w:color w:val="000000"/>
          <w:sz w:val="20"/>
          <w:szCs w:val="20"/>
        </w:rPr>
        <w:t>We have signed contracts for the purchase of services, pipe and other materials totaling approximately $1.8 billion which are expected to be paid over the next five years.</w:t>
      </w:r>
    </w:p>
    <w:p w:rsidR="00000000" w:rsidRDefault="00EE1167">
      <w:pPr>
        <w:divId w:val="1295142185"/>
        <w:rPr>
          <w:rFonts w:eastAsia="Times New Roman"/>
        </w:rPr>
      </w:pPr>
    </w:p>
    <w:p w:rsidR="00000000" w:rsidRDefault="00EE1167">
      <w:pPr>
        <w:divId w:val="1150050262"/>
        <w:rPr>
          <w:rFonts w:eastAsia="Times New Roman"/>
        </w:rPr>
      </w:pPr>
      <w:r>
        <w:rPr>
          <w:rFonts w:ascii="Arial" w:eastAsia="Times New Roman" w:hAnsi="Arial" w:cs="Arial"/>
          <w:b/>
          <w:bCs/>
          <w:color w:val="000000"/>
          <w:sz w:val="20"/>
          <w:szCs w:val="20"/>
        </w:rPr>
        <w:t>TAX MATTERS</w:t>
      </w:r>
    </w:p>
    <w:p w:rsidR="00000000" w:rsidRDefault="00EE1167">
      <w:pPr>
        <w:divId w:val="670135560"/>
        <w:rPr>
          <w:rFonts w:eastAsia="Times New Roman"/>
        </w:rPr>
      </w:pPr>
      <w:r>
        <w:rPr>
          <w:rFonts w:ascii="Arial" w:eastAsia="Times New Roman" w:hAnsi="Arial" w:cs="Arial"/>
          <w:color w:val="000000"/>
          <w:sz w:val="20"/>
          <w:szCs w:val="20"/>
        </w:rPr>
        <w:t xml:space="preserve">We and our subsidiaries maintain tax liabilities related to uncertain </w:t>
      </w:r>
      <w:r>
        <w:rPr>
          <w:rFonts w:ascii="Arial" w:eastAsia="Times New Roman" w:hAnsi="Arial" w:cs="Arial"/>
          <w:color w:val="000000"/>
          <w:sz w:val="20"/>
          <w:szCs w:val="20"/>
        </w:rPr>
        <w:t>tax positions. While fully supportable in our view, these tax positions, if challenged by tax authorities, may not be fully sustained on review.</w:t>
      </w:r>
    </w:p>
    <w:p w:rsidR="00000000" w:rsidRDefault="00EE1167">
      <w:pPr>
        <w:divId w:val="1456097631"/>
        <w:rPr>
          <w:rFonts w:eastAsia="Times New Roman"/>
        </w:rPr>
      </w:pPr>
    </w:p>
    <w:p w:rsidR="00000000" w:rsidRDefault="00EE1167">
      <w:pPr>
        <w:divId w:val="1511337840"/>
        <w:rPr>
          <w:rFonts w:eastAsia="Times New Roman"/>
        </w:rPr>
      </w:pPr>
      <w:r>
        <w:rPr>
          <w:rFonts w:ascii="Arial" w:eastAsia="Times New Roman" w:hAnsi="Arial" w:cs="Arial"/>
          <w:b/>
          <w:bCs/>
          <w:color w:val="000000"/>
          <w:sz w:val="26"/>
          <w:szCs w:val="26"/>
        </w:rPr>
        <w:t>CHANGES IN ACCOUNTING POLICIES</w:t>
      </w:r>
    </w:p>
    <w:p w:rsidR="00000000" w:rsidRDefault="00EE1167">
      <w:pPr>
        <w:divId w:val="1677609872"/>
        <w:rPr>
          <w:rFonts w:eastAsia="Times New Roman"/>
        </w:rPr>
      </w:pPr>
      <w:r>
        <w:rPr>
          <w:rFonts w:ascii="Arial" w:eastAsia="Times New Roman" w:hAnsi="Arial" w:cs="Arial"/>
          <w:color w:val="000000"/>
          <w:sz w:val="20"/>
          <w:szCs w:val="20"/>
        </w:rPr>
        <w:t> </w:t>
      </w:r>
    </w:p>
    <w:p w:rsidR="00000000" w:rsidRDefault="00EE1167">
      <w:pPr>
        <w:divId w:val="1969970441"/>
        <w:rPr>
          <w:rFonts w:eastAsia="Times New Roman"/>
        </w:rPr>
      </w:pPr>
      <w:r>
        <w:rPr>
          <w:rFonts w:ascii="Arial" w:eastAsia="Times New Roman" w:hAnsi="Arial" w:cs="Arial"/>
          <w:color w:val="000000"/>
          <w:sz w:val="20"/>
          <w:szCs w:val="20"/>
        </w:rPr>
        <w:t xml:space="preserve">Refer to Part I. </w:t>
      </w:r>
      <w:r>
        <w:rPr>
          <w:rFonts w:ascii="Arial" w:eastAsia="Times New Roman" w:hAnsi="Arial" w:cs="Arial"/>
          <w:i/>
          <w:iCs/>
          <w:color w:val="000000"/>
          <w:sz w:val="20"/>
          <w:szCs w:val="20"/>
        </w:rPr>
        <w:t>Item 1. Financial Statements - Note 2. Changes in Accountin</w:t>
      </w:r>
      <w:r>
        <w:rPr>
          <w:rFonts w:ascii="Arial" w:eastAsia="Times New Roman" w:hAnsi="Arial" w:cs="Arial"/>
          <w:i/>
          <w:iCs/>
          <w:color w:val="000000"/>
          <w:sz w:val="20"/>
          <w:szCs w:val="20"/>
        </w:rPr>
        <w:t>g Policies.</w:t>
      </w:r>
    </w:p>
    <w:p w:rsidR="00000000" w:rsidRDefault="00EE1167">
      <w:pPr>
        <w:divId w:val="1071076833"/>
        <w:rPr>
          <w:rFonts w:eastAsia="Times New Roman"/>
        </w:rPr>
      </w:pPr>
    </w:p>
    <w:p w:rsidR="00000000" w:rsidRDefault="00EE1167">
      <w:pPr>
        <w:divId w:val="1299144124"/>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EE1167">
      <w:pPr>
        <w:jc w:val="both"/>
        <w:rPr>
          <w:rFonts w:eastAsia="Times New Roman"/>
        </w:rPr>
      </w:pPr>
    </w:p>
    <w:p w:rsidR="00000000" w:rsidRDefault="00EE1167">
      <w:pPr>
        <w:divId w:val="391924412"/>
        <w:rPr>
          <w:rFonts w:eastAsia="Times New Roman"/>
        </w:rPr>
      </w:pPr>
      <w:r>
        <w:rPr>
          <w:rFonts w:ascii="Arial" w:eastAsia="Times New Roman" w:hAnsi="Arial" w:cs="Arial"/>
          <w:color w:val="000000"/>
          <w:sz w:val="20"/>
          <w:szCs w:val="20"/>
        </w:rPr>
        <w:t xml:space="preserve">Our exposure to market risk is described in Part II. </w:t>
      </w:r>
      <w:r>
        <w:rPr>
          <w:rFonts w:ascii="Arial" w:eastAsia="Times New Roman" w:hAnsi="Arial" w:cs="Arial"/>
          <w:i/>
          <w:iCs/>
          <w:color w:val="000000"/>
          <w:sz w:val="20"/>
          <w:szCs w:val="20"/>
        </w:rPr>
        <w:t>Item 7A.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Quantitative and Qualitative Disclosures About Market Risk</w:t>
      </w:r>
      <w:r>
        <w:rPr>
          <w:rFonts w:ascii="Arial" w:eastAsia="Times New Roman" w:hAnsi="Arial" w:cs="Arial"/>
          <w:color w:val="000000"/>
          <w:sz w:val="20"/>
          <w:szCs w:val="20"/>
        </w:rPr>
        <w:t xml:space="preserve"> of our annual report on Form 10-K for the year ended</w:t>
      </w:r>
      <w:r>
        <w:rPr>
          <w:rFonts w:ascii="Arial" w:eastAsia="Times New Roman" w:hAnsi="Arial" w:cs="Arial"/>
          <w:color w:val="000000"/>
          <w:sz w:val="20"/>
          <w:szCs w:val="20"/>
        </w:rPr>
        <w:t xml:space="preserve"> December 31, 2020. We believe our exposure to market risk has not changed materially since then.</w:t>
      </w:r>
    </w:p>
    <w:p w:rsidR="00000000" w:rsidRDefault="00EE1167">
      <w:pPr>
        <w:divId w:val="818887357"/>
        <w:rPr>
          <w:rFonts w:eastAsia="Times New Roman"/>
        </w:rPr>
      </w:pPr>
    </w:p>
    <w:p w:rsidR="00000000" w:rsidRDefault="00EE1167">
      <w:pPr>
        <w:divId w:val="27490419"/>
        <w:rPr>
          <w:rFonts w:eastAsia="Times New Roman"/>
        </w:rPr>
      </w:pPr>
      <w:r>
        <w:rPr>
          <w:rFonts w:ascii="Arial" w:eastAsia="Times New Roman" w:hAnsi="Arial" w:cs="Arial"/>
          <w:b/>
          <w:bCs/>
          <w:color w:val="000000"/>
          <w:sz w:val="28"/>
          <w:szCs w:val="28"/>
        </w:rPr>
        <w:t>ITEM 4. CONTROLS AND PROCEDURES</w:t>
      </w:r>
    </w:p>
    <w:p w:rsidR="00000000" w:rsidRDefault="00EE1167">
      <w:pPr>
        <w:divId w:val="87776038"/>
        <w:rPr>
          <w:rFonts w:eastAsia="Times New Roman"/>
        </w:rPr>
      </w:pPr>
    </w:p>
    <w:p w:rsidR="00000000" w:rsidRDefault="00EE1167">
      <w:pPr>
        <w:divId w:val="1869488080"/>
        <w:rPr>
          <w:rFonts w:eastAsia="Times New Roman"/>
        </w:rPr>
      </w:pPr>
      <w:r>
        <w:rPr>
          <w:rFonts w:ascii="Arial" w:eastAsia="Times New Roman" w:hAnsi="Arial" w:cs="Arial"/>
          <w:b/>
          <w:bCs/>
          <w:color w:val="000000"/>
          <w:sz w:val="20"/>
          <w:szCs w:val="20"/>
        </w:rPr>
        <w:t>Evaluation of Disclosure Controls and Procedures</w:t>
      </w:r>
    </w:p>
    <w:p w:rsidR="00000000" w:rsidRDefault="00EE1167">
      <w:pPr>
        <w:divId w:val="2054383763"/>
        <w:rPr>
          <w:rFonts w:eastAsia="Times New Roman"/>
        </w:rPr>
      </w:pPr>
      <w:r>
        <w:rPr>
          <w:rFonts w:ascii="Arial" w:eastAsia="Times New Roman" w:hAnsi="Arial" w:cs="Arial"/>
          <w:color w:val="000000"/>
          <w:sz w:val="20"/>
          <w:szCs w:val="20"/>
        </w:rPr>
        <w:t>Disclosure controls and procedures are controls and other procedures that</w:t>
      </w:r>
      <w:r>
        <w:rPr>
          <w:rFonts w:ascii="Arial" w:eastAsia="Times New Roman" w:hAnsi="Arial" w:cs="Arial"/>
          <w:color w:val="000000"/>
          <w:sz w:val="20"/>
          <w:szCs w:val="20"/>
        </w:rPr>
        <w:t xml:space="preserve"> are designed to ensure that information required to be disclosed by us in the reports we file or submit under the Exchange Act is recorded, processed, summarized and reported within the time periods specified by the SEC's rules and forms. Disclosure contr</w:t>
      </w:r>
      <w:r>
        <w:rPr>
          <w:rFonts w:ascii="Arial" w:eastAsia="Times New Roman" w:hAnsi="Arial" w:cs="Arial"/>
          <w:color w:val="000000"/>
          <w:sz w:val="20"/>
          <w:szCs w:val="20"/>
        </w:rPr>
        <w:t>ols and procedures include, without limitation, controls and procedures designed to provide reasonable assurance that information required to be disclosed by us in the reports we file or submit under the Exchange Act is accumulated and communicated to mana</w:t>
      </w:r>
      <w:r>
        <w:rPr>
          <w:rFonts w:ascii="Arial" w:eastAsia="Times New Roman" w:hAnsi="Arial" w:cs="Arial"/>
          <w:color w:val="000000"/>
          <w:sz w:val="20"/>
          <w:szCs w:val="20"/>
        </w:rPr>
        <w:t xml:space="preserve">gement, including the Chief Executive Officer and Chief Financial Officer, as appropriate, to allow timely decisions regarding required disclosure. </w:t>
      </w:r>
    </w:p>
    <w:p w:rsidR="00000000" w:rsidRDefault="00EE1167">
      <w:pPr>
        <w:divId w:val="1823696950"/>
        <w:rPr>
          <w:rFonts w:eastAsia="Times New Roman"/>
        </w:rPr>
      </w:pPr>
    </w:p>
    <w:p w:rsidR="00000000" w:rsidRDefault="00EE1167">
      <w:pPr>
        <w:jc w:val="center"/>
        <w:divId w:val="1974404805"/>
        <w:rPr>
          <w:rFonts w:eastAsia="Times New Roman"/>
        </w:rPr>
      </w:pPr>
      <w:r>
        <w:rPr>
          <w:rFonts w:ascii="Arial" w:eastAsia="Times New Roman" w:hAnsi="Arial" w:cs="Arial"/>
          <w:color w:val="000000"/>
          <w:sz w:val="20"/>
          <w:szCs w:val="20"/>
        </w:rPr>
        <w:t>63</w:t>
      </w:r>
    </w:p>
    <w:p w:rsidR="00000000" w:rsidRDefault="00EE1167">
      <w:pPr>
        <w:rPr>
          <w:rFonts w:eastAsia="Times New Roman"/>
        </w:rPr>
      </w:pPr>
      <w:r>
        <w:rPr>
          <w:rFonts w:eastAsia="Times New Roman"/>
        </w:rPr>
        <w:pict>
          <v:rect id="_x0000_i1088" style="width:0;height:1.5pt" o:hralign="center" o:hrstd="t" o:hr="t" fillcolor="#a0a0a0" stroked="f"/>
        </w:pict>
      </w:r>
    </w:p>
    <w:p w:rsidR="00000000" w:rsidRDefault="00EE1167">
      <w:pPr>
        <w:jc w:val="center"/>
        <w:divId w:val="44913482"/>
        <w:rPr>
          <w:rFonts w:eastAsia="Times New Roman"/>
        </w:rPr>
      </w:pPr>
    </w:p>
    <w:p w:rsidR="00000000" w:rsidRDefault="00EE1167">
      <w:pPr>
        <w:divId w:val="1521355903"/>
        <w:rPr>
          <w:rFonts w:eastAsia="Times New Roman"/>
        </w:rPr>
      </w:pPr>
      <w:r>
        <w:rPr>
          <w:rFonts w:ascii="Arial" w:eastAsia="Times New Roman" w:hAnsi="Arial" w:cs="Arial"/>
          <w:color w:val="000000"/>
          <w:sz w:val="20"/>
          <w:szCs w:val="20"/>
        </w:rPr>
        <w:t>Under the supervision of and with the participation of managemen</w:t>
      </w:r>
      <w:r>
        <w:rPr>
          <w:rFonts w:ascii="Arial" w:eastAsia="Times New Roman" w:hAnsi="Arial" w:cs="Arial"/>
          <w:color w:val="000000"/>
          <w:sz w:val="20"/>
          <w:szCs w:val="20"/>
        </w:rPr>
        <w:t xml:space="preserve">t, including the Chief Executive Officer and Chief Financial Officer, we have evaluated the effectiveness of our disclosure controls and procedures (as such term is defined in Rules 13a-15(e) and 15d-15(e) under the Exchange Act) as at September 30, 2021, </w:t>
      </w:r>
      <w:r>
        <w:rPr>
          <w:rFonts w:ascii="Arial" w:eastAsia="Times New Roman" w:hAnsi="Arial" w:cs="Arial"/>
          <w:color w:val="000000"/>
          <w:sz w:val="20"/>
          <w:szCs w:val="20"/>
        </w:rPr>
        <w:t>and based upon this evaluation, the Chief Executive Officer and Chief Financial Officer have concluded that these controls and procedures are effective in ensuring that information required to be disclosed by us in reports that we file with or submit to th</w:t>
      </w:r>
      <w:r>
        <w:rPr>
          <w:rFonts w:ascii="Arial" w:eastAsia="Times New Roman" w:hAnsi="Arial" w:cs="Arial"/>
          <w:color w:val="000000"/>
          <w:sz w:val="20"/>
          <w:szCs w:val="20"/>
        </w:rPr>
        <w:t>e SEC and the Canadian Securities Administrators is recorded, processed, summarized and reported within the time periods required.</w:t>
      </w:r>
    </w:p>
    <w:p w:rsidR="00000000" w:rsidRDefault="00EE1167">
      <w:pPr>
        <w:divId w:val="1855608669"/>
        <w:rPr>
          <w:rFonts w:eastAsia="Times New Roman"/>
        </w:rPr>
      </w:pPr>
    </w:p>
    <w:p w:rsidR="00000000" w:rsidRDefault="00EE1167">
      <w:pPr>
        <w:divId w:val="746003083"/>
        <w:rPr>
          <w:rFonts w:eastAsia="Times New Roman"/>
        </w:rPr>
      </w:pPr>
      <w:r>
        <w:rPr>
          <w:rFonts w:ascii="Arial" w:eastAsia="Times New Roman" w:hAnsi="Arial" w:cs="Arial"/>
          <w:b/>
          <w:bCs/>
          <w:color w:val="000000"/>
          <w:sz w:val="20"/>
          <w:szCs w:val="20"/>
        </w:rPr>
        <w:t>Changes in Internal Control over Financial Reporting</w:t>
      </w:r>
    </w:p>
    <w:p w:rsidR="00000000" w:rsidRDefault="00EE1167">
      <w:pPr>
        <w:divId w:val="1326010836"/>
        <w:rPr>
          <w:rFonts w:eastAsia="Times New Roman"/>
        </w:rPr>
      </w:pPr>
      <w:r>
        <w:rPr>
          <w:rFonts w:ascii="Arial" w:eastAsia="Times New Roman" w:hAnsi="Arial" w:cs="Arial"/>
          <w:color w:val="000000"/>
          <w:sz w:val="20"/>
          <w:szCs w:val="20"/>
        </w:rPr>
        <w:t>Under the supervision of and with the participation of management, inc</w:t>
      </w:r>
      <w:r>
        <w:rPr>
          <w:rFonts w:ascii="Arial" w:eastAsia="Times New Roman" w:hAnsi="Arial" w:cs="Arial"/>
          <w:color w:val="000000"/>
          <w:sz w:val="20"/>
          <w:szCs w:val="20"/>
        </w:rPr>
        <w:t>luding the Chief Executive Officer and Chief Financial Officer, we have evaluated changes in internal control over financial reporting (as such term is defined in Rules 13a-15(f) and 15d-15(f) under the Exchange Act) that occurred during the fiscal quarter</w:t>
      </w:r>
      <w:r>
        <w:rPr>
          <w:rFonts w:ascii="Arial" w:eastAsia="Times New Roman" w:hAnsi="Arial" w:cs="Arial"/>
          <w:color w:val="000000"/>
          <w:sz w:val="20"/>
          <w:szCs w:val="20"/>
        </w:rPr>
        <w:t xml:space="preserve"> ended September 30, 2021 and found no change that has materially affected, or is reasonably likely to materially affect, internal control over financial reporting.</w:t>
      </w:r>
    </w:p>
    <w:p w:rsidR="00000000" w:rsidRDefault="00EE1167">
      <w:pPr>
        <w:divId w:val="1255743699"/>
        <w:rPr>
          <w:rFonts w:eastAsia="Times New Roman"/>
        </w:rPr>
      </w:pPr>
    </w:p>
    <w:p w:rsidR="00000000" w:rsidRDefault="00EE1167">
      <w:pPr>
        <w:jc w:val="center"/>
        <w:rPr>
          <w:rFonts w:eastAsia="Times New Roman"/>
        </w:rPr>
      </w:pPr>
    </w:p>
    <w:p w:rsidR="00000000" w:rsidRDefault="00EE1167">
      <w:pPr>
        <w:jc w:val="center"/>
        <w:divId w:val="1560358918"/>
        <w:rPr>
          <w:rFonts w:eastAsia="Times New Roman"/>
        </w:rPr>
      </w:pPr>
      <w:r>
        <w:rPr>
          <w:rFonts w:ascii="Arial" w:eastAsia="Times New Roman" w:hAnsi="Arial" w:cs="Arial"/>
          <w:color w:val="000000"/>
          <w:sz w:val="20"/>
          <w:szCs w:val="20"/>
        </w:rPr>
        <w:t>64</w:t>
      </w:r>
    </w:p>
    <w:p w:rsidR="00000000" w:rsidRDefault="00EE1167">
      <w:pPr>
        <w:rPr>
          <w:rFonts w:eastAsia="Times New Roman"/>
        </w:rPr>
      </w:pPr>
      <w:r>
        <w:rPr>
          <w:rFonts w:eastAsia="Times New Roman"/>
        </w:rPr>
        <w:pict>
          <v:rect id="_x0000_i1089" style="width:0;height:1.5pt" o:hralign="center" o:hrstd="t" o:hr="t" fillcolor="#a0a0a0" stroked="f"/>
        </w:pict>
      </w:r>
    </w:p>
    <w:p w:rsidR="00000000" w:rsidRDefault="00EE1167">
      <w:pPr>
        <w:jc w:val="center"/>
        <w:divId w:val="455686323"/>
        <w:rPr>
          <w:rFonts w:eastAsia="Times New Roman"/>
        </w:rPr>
      </w:pPr>
    </w:p>
    <w:p w:rsidR="00000000" w:rsidRDefault="00EE1167">
      <w:pPr>
        <w:jc w:val="center"/>
        <w:rPr>
          <w:rFonts w:eastAsia="Times New Roman"/>
        </w:rPr>
      </w:pPr>
      <w:r>
        <w:rPr>
          <w:rFonts w:ascii="Arial" w:eastAsia="Times New Roman" w:hAnsi="Arial" w:cs="Arial"/>
          <w:b/>
          <w:bCs/>
          <w:color w:val="000000"/>
          <w:sz w:val="30"/>
          <w:szCs w:val="30"/>
        </w:rPr>
        <w:t>PART II - OTHER INFORMATION</w:t>
      </w:r>
    </w:p>
    <w:p w:rsidR="00000000" w:rsidRDefault="00EE1167">
      <w:pPr>
        <w:jc w:val="center"/>
        <w:rPr>
          <w:rFonts w:eastAsia="Times New Roman"/>
        </w:rPr>
      </w:pPr>
    </w:p>
    <w:p w:rsidR="00000000" w:rsidRDefault="00EE1167">
      <w:pPr>
        <w:divId w:val="1220626983"/>
        <w:rPr>
          <w:rFonts w:eastAsia="Times New Roman"/>
        </w:rPr>
      </w:pPr>
      <w:r>
        <w:rPr>
          <w:rFonts w:ascii="Arial" w:eastAsia="Times New Roman" w:hAnsi="Arial" w:cs="Arial"/>
          <w:b/>
          <w:bCs/>
          <w:color w:val="000000"/>
          <w:sz w:val="28"/>
          <w:szCs w:val="28"/>
        </w:rPr>
        <w:t xml:space="preserve">ITEM 1. LEGAL PROCEEDINGS </w:t>
      </w:r>
    </w:p>
    <w:p w:rsidR="00000000" w:rsidRDefault="00EE1167">
      <w:pPr>
        <w:divId w:val="1167021338"/>
        <w:rPr>
          <w:rFonts w:eastAsia="Times New Roman"/>
        </w:rPr>
      </w:pPr>
    </w:p>
    <w:p w:rsidR="00000000" w:rsidRDefault="00EE1167">
      <w:pPr>
        <w:divId w:val="1454835034"/>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 and proceedings cannot be predicted with certainty, management believes that the resolution of s</w:t>
      </w:r>
      <w:r>
        <w:rPr>
          <w:rFonts w:ascii="Arial" w:eastAsia="Times New Roman" w:hAnsi="Arial" w:cs="Arial"/>
          <w:color w:val="000000"/>
          <w:sz w:val="20"/>
          <w:szCs w:val="20"/>
        </w:rPr>
        <w:t xml:space="preserve">uch actions and proceedings will not have a material impact on our consolidated financial position or results of operations. Refer to Part I. </w:t>
      </w:r>
      <w:r>
        <w:rPr>
          <w:rFonts w:ascii="Arial" w:eastAsia="Times New Roman" w:hAnsi="Arial" w:cs="Arial"/>
          <w:i/>
          <w:iCs/>
          <w:color w:val="000000"/>
          <w:sz w:val="20"/>
          <w:szCs w:val="20"/>
        </w:rPr>
        <w:t>Item 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Management's Discussion and Analysis of Financial Condition and Results of Operations - Legal and Other Up</w:t>
      </w:r>
      <w:r>
        <w:rPr>
          <w:rFonts w:ascii="Arial" w:eastAsia="Times New Roman" w:hAnsi="Arial" w:cs="Arial"/>
          <w:i/>
          <w:iCs/>
          <w:color w:val="000000"/>
          <w:sz w:val="20"/>
          <w:szCs w:val="20"/>
        </w:rPr>
        <w:t>dates</w:t>
      </w:r>
      <w:r>
        <w:rPr>
          <w:rFonts w:ascii="Arial" w:eastAsia="Times New Roman" w:hAnsi="Arial" w:cs="Arial"/>
          <w:color w:val="000000"/>
          <w:sz w:val="20"/>
          <w:szCs w:val="20"/>
          <w:shd w:val="clear" w:color="auto" w:fill="FFFFFF"/>
        </w:rPr>
        <w:t xml:space="preserve"> for discussion of other legal proceedings.</w:t>
      </w:r>
    </w:p>
    <w:p w:rsidR="00000000" w:rsidRDefault="00EE1167">
      <w:pPr>
        <w:divId w:val="1428229394"/>
        <w:rPr>
          <w:rFonts w:eastAsia="Times New Roman"/>
        </w:rPr>
      </w:pPr>
    </w:p>
    <w:p w:rsidR="00000000" w:rsidRDefault="00EE1167">
      <w:pPr>
        <w:divId w:val="55981321"/>
        <w:rPr>
          <w:rFonts w:eastAsia="Times New Roman"/>
        </w:rPr>
      </w:pPr>
      <w:r>
        <w:rPr>
          <w:rFonts w:ascii="Arial" w:eastAsia="Times New Roman" w:hAnsi="Arial" w:cs="Arial"/>
          <w:color w:val="000000"/>
          <w:sz w:val="20"/>
          <w:szCs w:val="20"/>
        </w:rPr>
        <w:t>SEC regulations require the disclosure of any proceeding under environmental laws to which a governmental authority is a party unless the registrant reasonably believes it will not result in monetary sanct</w:t>
      </w:r>
      <w:r>
        <w:rPr>
          <w:rFonts w:ascii="Arial" w:eastAsia="Times New Roman" w:hAnsi="Arial" w:cs="Arial"/>
          <w:color w:val="000000"/>
          <w:sz w:val="20"/>
          <w:szCs w:val="20"/>
        </w:rPr>
        <w:t>ions over a certain threshold. Given the size of our operations, we have elected to use a threshold of US$1 million for the purposes of determining proceedings requiring disclosure.</w:t>
      </w:r>
    </w:p>
    <w:p w:rsidR="00000000" w:rsidRDefault="00EE1167">
      <w:pPr>
        <w:divId w:val="533494387"/>
        <w:rPr>
          <w:rFonts w:eastAsia="Times New Roman"/>
        </w:rPr>
      </w:pPr>
    </w:p>
    <w:p w:rsidR="00000000" w:rsidRDefault="00EE1167">
      <w:pPr>
        <w:divId w:val="1093014757"/>
        <w:rPr>
          <w:rFonts w:eastAsia="Times New Roman"/>
        </w:rPr>
      </w:pPr>
      <w:r>
        <w:rPr>
          <w:rFonts w:ascii="Arial" w:eastAsia="Times New Roman" w:hAnsi="Arial" w:cs="Arial"/>
          <w:color w:val="000000"/>
          <w:sz w:val="20"/>
          <w:szCs w:val="20"/>
        </w:rPr>
        <w:t>Due to an uncontrolled groundwater flow at Clearbrook, the Minnesota Dep</w:t>
      </w:r>
      <w:r>
        <w:rPr>
          <w:rFonts w:ascii="Arial" w:eastAsia="Times New Roman" w:hAnsi="Arial" w:cs="Arial"/>
          <w:color w:val="000000"/>
          <w:sz w:val="20"/>
          <w:szCs w:val="20"/>
        </w:rPr>
        <w:t>artment of Natural Resources (DNR) issued an Administrative Penalty Order on September 16, 2021. We are diligently implementing the steps required under the remedial action plan to address the issues at the Clearbrook site. We have also provided all requir</w:t>
      </w:r>
      <w:r>
        <w:rPr>
          <w:rFonts w:ascii="Arial" w:eastAsia="Times New Roman" w:hAnsi="Arial" w:cs="Arial"/>
          <w:color w:val="000000"/>
          <w:sz w:val="20"/>
          <w:szCs w:val="20"/>
        </w:rPr>
        <w:t xml:space="preserve">ed information to date. </w:t>
      </w:r>
    </w:p>
    <w:p w:rsidR="00000000" w:rsidRDefault="00EE1167">
      <w:pPr>
        <w:divId w:val="571235740"/>
        <w:rPr>
          <w:rFonts w:eastAsia="Times New Roman"/>
        </w:rPr>
      </w:pPr>
    </w:p>
    <w:p w:rsidR="00000000" w:rsidRDefault="00EE1167">
      <w:pPr>
        <w:divId w:val="983125691"/>
        <w:rPr>
          <w:rFonts w:eastAsia="Times New Roman"/>
        </w:rPr>
      </w:pPr>
      <w:r>
        <w:rPr>
          <w:rFonts w:ascii="Arial" w:eastAsia="Times New Roman" w:hAnsi="Arial" w:cs="Arial"/>
          <w:color w:val="000000"/>
          <w:sz w:val="20"/>
          <w:szCs w:val="20"/>
        </w:rPr>
        <w:t>We are not seeking a contested case in this matter; instead, we’ve paid the penalty and mitigation amounts as directed, for the Clearbrook site. A separate US$2.75 million escrow account is being established for any potential fut</w:t>
      </w:r>
      <w:r>
        <w:rPr>
          <w:rFonts w:ascii="Arial" w:eastAsia="Times New Roman" w:hAnsi="Arial" w:cs="Arial"/>
          <w:color w:val="000000"/>
          <w:sz w:val="20"/>
          <w:szCs w:val="20"/>
        </w:rPr>
        <w:t xml:space="preserve">ure monitoring and mitigation. In total, Enbridge has directed US$3.3 million to address this matter. </w:t>
      </w:r>
    </w:p>
    <w:p w:rsidR="00000000" w:rsidRDefault="00EE1167">
      <w:pPr>
        <w:divId w:val="1947150955"/>
        <w:rPr>
          <w:rFonts w:eastAsia="Times New Roman"/>
        </w:rPr>
      </w:pPr>
    </w:p>
    <w:p w:rsidR="00000000" w:rsidRDefault="00EE1167">
      <w:pPr>
        <w:divId w:val="1730835824"/>
        <w:rPr>
          <w:rFonts w:eastAsia="Times New Roman"/>
        </w:rPr>
      </w:pPr>
      <w:r>
        <w:rPr>
          <w:rFonts w:ascii="Arial" w:eastAsia="Times New Roman" w:hAnsi="Arial" w:cs="Arial"/>
          <w:color w:val="000000"/>
          <w:sz w:val="20"/>
          <w:szCs w:val="20"/>
        </w:rPr>
        <w:t>The DNR and Enbridge are working towards an agreement for ongoing restoration, monitoring, and mitigation for the Clearbrook site and two other locatio</w:t>
      </w:r>
      <w:r>
        <w:rPr>
          <w:rFonts w:ascii="Arial" w:eastAsia="Times New Roman" w:hAnsi="Arial" w:cs="Arial"/>
          <w:color w:val="000000"/>
          <w:sz w:val="20"/>
          <w:szCs w:val="20"/>
        </w:rPr>
        <w:t>ns that remain under evaluation. In the meantime, we are moving forward with DNR-approved restoration plans at Clearbrook and coordinating closely with the DNR at the other sites.</w:t>
      </w:r>
    </w:p>
    <w:p w:rsidR="00000000" w:rsidRDefault="00EE1167">
      <w:pPr>
        <w:divId w:val="1928727879"/>
        <w:rPr>
          <w:rFonts w:eastAsia="Times New Roman"/>
        </w:rPr>
      </w:pPr>
    </w:p>
    <w:p w:rsidR="00000000" w:rsidRDefault="00EE1167">
      <w:pPr>
        <w:divId w:val="1583224335"/>
        <w:rPr>
          <w:rFonts w:eastAsia="Times New Roman"/>
        </w:rPr>
      </w:pPr>
      <w:r>
        <w:rPr>
          <w:rFonts w:ascii="Arial" w:eastAsia="Times New Roman" w:hAnsi="Arial" w:cs="Arial"/>
          <w:b/>
          <w:bCs/>
          <w:color w:val="000000"/>
          <w:sz w:val="28"/>
          <w:szCs w:val="28"/>
        </w:rPr>
        <w:t xml:space="preserve">ITEM 1A. RISK FACTORS </w:t>
      </w:r>
    </w:p>
    <w:p w:rsidR="00000000" w:rsidRDefault="00EE1167">
      <w:pPr>
        <w:jc w:val="both"/>
        <w:rPr>
          <w:rFonts w:eastAsia="Times New Roman"/>
        </w:rPr>
      </w:pPr>
    </w:p>
    <w:p w:rsidR="00000000" w:rsidRDefault="00EE1167">
      <w:pPr>
        <w:divId w:val="1308586190"/>
        <w:rPr>
          <w:rFonts w:eastAsia="Times New Roman"/>
        </w:rPr>
      </w:pPr>
      <w:r>
        <w:rPr>
          <w:rFonts w:ascii="Arial" w:eastAsia="Times New Roman" w:hAnsi="Arial" w:cs="Arial"/>
          <w:color w:val="000000"/>
          <w:sz w:val="20"/>
          <w:szCs w:val="20"/>
        </w:rPr>
        <w:t>In addition to the other information set forth in</w:t>
      </w:r>
      <w:r>
        <w:rPr>
          <w:rFonts w:ascii="Arial" w:eastAsia="Times New Roman" w:hAnsi="Arial" w:cs="Arial"/>
          <w:color w:val="000000"/>
          <w:sz w:val="20"/>
          <w:szCs w:val="20"/>
        </w:rPr>
        <w:t xml:space="preserve"> this report, careful consideration should be given to the factors discussed in Part I.</w:t>
      </w:r>
      <w:r>
        <w:rPr>
          <w:rFonts w:ascii="Arial" w:eastAsia="Times New Roman" w:hAnsi="Arial" w:cs="Arial"/>
          <w:i/>
          <w:iCs/>
          <w:color w:val="000000"/>
          <w:sz w:val="20"/>
          <w:szCs w:val="20"/>
        </w:rPr>
        <w:t xml:space="preserve"> Item 1A</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2020, which could materially affect our financial condition or future results. T</w:t>
      </w:r>
      <w:r>
        <w:rPr>
          <w:rFonts w:ascii="Arial" w:eastAsia="Times New Roman" w:hAnsi="Arial" w:cs="Arial"/>
          <w:color w:val="000000"/>
          <w:sz w:val="20"/>
          <w:szCs w:val="20"/>
        </w:rPr>
        <w:t xml:space="preserve">here have been no material modifications to those risk factors. </w:t>
      </w:r>
    </w:p>
    <w:p w:rsidR="00000000" w:rsidRDefault="00EE1167">
      <w:pPr>
        <w:divId w:val="1249270848"/>
        <w:rPr>
          <w:rFonts w:eastAsia="Times New Roman"/>
        </w:rPr>
      </w:pPr>
    </w:p>
    <w:p w:rsidR="00000000" w:rsidRDefault="00EE1167">
      <w:pPr>
        <w:divId w:val="420613401"/>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EE1167">
      <w:pPr>
        <w:divId w:val="2103640751"/>
        <w:rPr>
          <w:rFonts w:eastAsia="Times New Roman"/>
        </w:rPr>
      </w:pPr>
    </w:p>
    <w:p w:rsidR="00000000" w:rsidRDefault="00EE1167">
      <w:pPr>
        <w:divId w:val="100028358"/>
        <w:rPr>
          <w:rFonts w:eastAsia="Times New Roman"/>
        </w:rPr>
      </w:pPr>
      <w:r>
        <w:rPr>
          <w:rFonts w:ascii="Arial" w:eastAsia="Times New Roman" w:hAnsi="Arial" w:cs="Arial"/>
          <w:color w:val="000000"/>
          <w:sz w:val="20"/>
          <w:szCs w:val="20"/>
        </w:rPr>
        <w:t>None.</w:t>
      </w:r>
    </w:p>
    <w:p w:rsidR="00000000" w:rsidRDefault="00EE1167">
      <w:pPr>
        <w:divId w:val="275144511"/>
        <w:rPr>
          <w:rFonts w:eastAsia="Times New Roman"/>
        </w:rPr>
      </w:pPr>
    </w:p>
    <w:p w:rsidR="00000000" w:rsidRDefault="00EE1167">
      <w:pPr>
        <w:divId w:val="379550513"/>
        <w:rPr>
          <w:rFonts w:eastAsia="Times New Roman"/>
        </w:rPr>
      </w:pPr>
      <w:r>
        <w:rPr>
          <w:rFonts w:ascii="Arial" w:eastAsia="Times New Roman" w:hAnsi="Arial" w:cs="Arial"/>
          <w:b/>
          <w:bCs/>
          <w:color w:val="000000"/>
          <w:sz w:val="28"/>
          <w:szCs w:val="28"/>
        </w:rPr>
        <w:t>ITEM 3. DEFAULTS UPON SENIOR SECURITIES</w:t>
      </w:r>
    </w:p>
    <w:p w:rsidR="00000000" w:rsidRDefault="00EE1167">
      <w:pPr>
        <w:divId w:val="927080655"/>
        <w:rPr>
          <w:rFonts w:eastAsia="Times New Roman"/>
        </w:rPr>
      </w:pPr>
    </w:p>
    <w:p w:rsidR="00000000" w:rsidRDefault="00EE1167">
      <w:pPr>
        <w:divId w:val="941956359"/>
        <w:rPr>
          <w:rFonts w:eastAsia="Times New Roman"/>
        </w:rPr>
      </w:pPr>
      <w:r>
        <w:rPr>
          <w:rFonts w:ascii="Arial" w:eastAsia="Times New Roman" w:hAnsi="Arial" w:cs="Arial"/>
          <w:color w:val="000000"/>
          <w:sz w:val="20"/>
          <w:szCs w:val="20"/>
        </w:rPr>
        <w:t>None.</w:t>
      </w:r>
    </w:p>
    <w:p w:rsidR="00000000" w:rsidRDefault="00EE1167">
      <w:pPr>
        <w:divId w:val="689337870"/>
        <w:rPr>
          <w:rFonts w:eastAsia="Times New Roman"/>
        </w:rPr>
      </w:pPr>
    </w:p>
    <w:p w:rsidR="00000000" w:rsidRDefault="00EE1167">
      <w:pPr>
        <w:divId w:val="278995609"/>
        <w:rPr>
          <w:rFonts w:eastAsia="Times New Roman"/>
        </w:rPr>
      </w:pPr>
      <w:r>
        <w:rPr>
          <w:rFonts w:ascii="Arial" w:eastAsia="Times New Roman" w:hAnsi="Arial" w:cs="Arial"/>
          <w:b/>
          <w:bCs/>
          <w:color w:val="000000"/>
          <w:sz w:val="28"/>
          <w:szCs w:val="28"/>
        </w:rPr>
        <w:t>ITEM 4. MINE SAFETY DISCLOSURES</w:t>
      </w:r>
    </w:p>
    <w:p w:rsidR="00000000" w:rsidRDefault="00EE1167">
      <w:pPr>
        <w:divId w:val="1291285952"/>
        <w:rPr>
          <w:rFonts w:eastAsia="Times New Roman"/>
        </w:rPr>
      </w:pPr>
    </w:p>
    <w:p w:rsidR="00000000" w:rsidRDefault="00EE1167">
      <w:pPr>
        <w:divId w:val="1757164250"/>
        <w:rPr>
          <w:rFonts w:eastAsia="Times New Roman"/>
        </w:rPr>
      </w:pPr>
      <w:r>
        <w:rPr>
          <w:rFonts w:ascii="Arial" w:eastAsia="Times New Roman" w:hAnsi="Arial" w:cs="Arial"/>
          <w:color w:val="000000"/>
          <w:sz w:val="20"/>
          <w:szCs w:val="20"/>
        </w:rPr>
        <w:t>Not applicable.</w:t>
      </w:r>
    </w:p>
    <w:p w:rsidR="00000000" w:rsidRDefault="00EE1167">
      <w:pPr>
        <w:divId w:val="2043243753"/>
        <w:rPr>
          <w:rFonts w:eastAsia="Times New Roman"/>
        </w:rPr>
      </w:pPr>
    </w:p>
    <w:p w:rsidR="00000000" w:rsidRDefault="00EE1167">
      <w:pPr>
        <w:jc w:val="center"/>
        <w:divId w:val="1472210814"/>
        <w:rPr>
          <w:rFonts w:eastAsia="Times New Roman"/>
        </w:rPr>
      </w:pPr>
      <w:r>
        <w:rPr>
          <w:rFonts w:ascii="Arial" w:eastAsia="Times New Roman" w:hAnsi="Arial" w:cs="Arial"/>
          <w:color w:val="000000"/>
          <w:sz w:val="20"/>
          <w:szCs w:val="20"/>
        </w:rPr>
        <w:t>65</w:t>
      </w:r>
    </w:p>
    <w:p w:rsidR="00000000" w:rsidRDefault="00EE1167">
      <w:pPr>
        <w:rPr>
          <w:rFonts w:eastAsia="Times New Roman"/>
        </w:rPr>
      </w:pPr>
      <w:r>
        <w:rPr>
          <w:rFonts w:eastAsia="Times New Roman"/>
        </w:rPr>
        <w:pict>
          <v:rect id="_x0000_i1090" style="width:0;height:1.5pt" o:hralign="center" o:hrstd="t" o:hr="t" fillcolor="#a0a0a0" stroked="f"/>
        </w:pict>
      </w:r>
    </w:p>
    <w:p w:rsidR="00000000" w:rsidRDefault="00EE1167">
      <w:pPr>
        <w:jc w:val="center"/>
        <w:divId w:val="211700083"/>
        <w:rPr>
          <w:rFonts w:eastAsia="Times New Roman"/>
        </w:rPr>
      </w:pPr>
    </w:p>
    <w:p w:rsidR="00000000" w:rsidRDefault="00EE1167">
      <w:pPr>
        <w:divId w:val="1602758771"/>
        <w:rPr>
          <w:rFonts w:eastAsia="Times New Roman"/>
        </w:rPr>
      </w:pPr>
      <w:r>
        <w:rPr>
          <w:rFonts w:ascii="Arial" w:eastAsia="Times New Roman" w:hAnsi="Arial" w:cs="Arial"/>
          <w:b/>
          <w:bCs/>
          <w:color w:val="000000"/>
          <w:sz w:val="28"/>
          <w:szCs w:val="28"/>
        </w:rPr>
        <w:t>ITEM 5. OTHER INFORMATION</w:t>
      </w:r>
    </w:p>
    <w:p w:rsidR="00000000" w:rsidRDefault="00EE1167">
      <w:pPr>
        <w:divId w:val="1204828678"/>
        <w:rPr>
          <w:rFonts w:eastAsia="Times New Roman"/>
        </w:rPr>
      </w:pPr>
    </w:p>
    <w:p w:rsidR="00000000" w:rsidRDefault="00EE1167">
      <w:pPr>
        <w:divId w:val="312417785"/>
        <w:rPr>
          <w:rFonts w:eastAsia="Times New Roman"/>
        </w:rPr>
      </w:pPr>
      <w:r>
        <w:rPr>
          <w:rFonts w:ascii="Arial" w:eastAsia="Times New Roman" w:hAnsi="Arial" w:cs="Arial"/>
          <w:b/>
          <w:bCs/>
          <w:color w:val="000000"/>
          <w:sz w:val="20"/>
          <w:szCs w:val="20"/>
        </w:rPr>
        <w:t>Departure of Directors or Certain Officers; Election of Directors; Appointment of Certain Officers; Compensatory Arrangements of Certa</w:t>
      </w:r>
      <w:r>
        <w:rPr>
          <w:rFonts w:ascii="Arial" w:eastAsia="Times New Roman" w:hAnsi="Arial" w:cs="Arial"/>
          <w:b/>
          <w:bCs/>
          <w:color w:val="000000"/>
          <w:sz w:val="20"/>
          <w:szCs w:val="20"/>
        </w:rPr>
        <w:t>in Officers</w:t>
      </w:r>
    </w:p>
    <w:p w:rsidR="00000000" w:rsidRDefault="00EE1167">
      <w:pPr>
        <w:divId w:val="1678730875"/>
        <w:rPr>
          <w:rFonts w:eastAsia="Times New Roman"/>
        </w:rPr>
      </w:pPr>
    </w:p>
    <w:p w:rsidR="00000000" w:rsidRDefault="00EE1167">
      <w:pPr>
        <w:divId w:val="646282276"/>
        <w:rPr>
          <w:rFonts w:eastAsia="Times New Roman"/>
        </w:rPr>
      </w:pPr>
      <w:r>
        <w:rPr>
          <w:rFonts w:ascii="Arial" w:eastAsia="Times New Roman" w:hAnsi="Arial" w:cs="Arial"/>
          <w:color w:val="000000"/>
          <w:sz w:val="20"/>
          <w:szCs w:val="20"/>
        </w:rPr>
        <w:t>On November 1, 2021, Marcel R. Coutu and V. Maureen Kempston Darkes each notified us of their intention to resign from the Board of Directors of Enbridge Inc., effective November 1, 2021, to avoid future potential or perceived conflicts of in</w:t>
      </w:r>
      <w:r>
        <w:rPr>
          <w:rFonts w:ascii="Arial" w:eastAsia="Times New Roman" w:hAnsi="Arial" w:cs="Arial"/>
          <w:color w:val="000000"/>
          <w:sz w:val="20"/>
          <w:szCs w:val="20"/>
        </w:rPr>
        <w:t>terest. Mr. Coutu served on the Board of Directors since 2014 and Ms. Kempston Darkes served on the Board of Directors since 2010. Neither Mr. Coutu’s nor Ms. Kempston Darkes’ decision to resign from the Board of Directors was the result of any disagreemen</w:t>
      </w:r>
      <w:r>
        <w:rPr>
          <w:rFonts w:ascii="Arial" w:eastAsia="Times New Roman" w:hAnsi="Arial" w:cs="Arial"/>
          <w:color w:val="000000"/>
          <w:sz w:val="20"/>
          <w:szCs w:val="20"/>
        </w:rPr>
        <w:t>t relating to our operations, policies or practices.</w:t>
      </w:r>
    </w:p>
    <w:p w:rsidR="00000000" w:rsidRDefault="00EE1167">
      <w:pPr>
        <w:divId w:val="809127451"/>
        <w:rPr>
          <w:rFonts w:eastAsia="Times New Roman"/>
        </w:rPr>
      </w:pPr>
    </w:p>
    <w:p w:rsidR="00000000" w:rsidRDefault="00EE1167">
      <w:pPr>
        <w:divId w:val="273293042"/>
        <w:rPr>
          <w:rFonts w:eastAsia="Times New Roman"/>
        </w:rPr>
      </w:pPr>
      <w:r>
        <w:rPr>
          <w:rFonts w:ascii="Arial" w:eastAsia="Times New Roman" w:hAnsi="Arial" w:cs="Arial"/>
          <w:b/>
          <w:bCs/>
          <w:color w:val="000000"/>
          <w:sz w:val="28"/>
          <w:szCs w:val="28"/>
        </w:rPr>
        <w:t>ITEM 6. EXHIBITS</w:t>
      </w:r>
    </w:p>
    <w:p w:rsidR="00000000" w:rsidRDefault="00EE1167">
      <w:pPr>
        <w:divId w:val="727074181"/>
        <w:rPr>
          <w:rFonts w:eastAsia="Times New Roman"/>
        </w:rPr>
      </w:pPr>
      <w:r>
        <w:rPr>
          <w:rFonts w:ascii="Arial" w:eastAsia="Times New Roman" w:hAnsi="Arial" w:cs="Arial"/>
          <w:color w:val="000000"/>
          <w:sz w:val="20"/>
          <w:szCs w:val="20"/>
        </w:rPr>
        <w:t>Each exhibit identified below is included as a part of this quarterly report. Exhibits included in this filing are designated by an asterisk (“*”); all exhibits not so designated are incorporated by reference to a prior filing as indicated.</w:t>
      </w: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8"/>
        <w:gridCol w:w="36"/>
        <w:gridCol w:w="36"/>
        <w:gridCol w:w="36"/>
        <w:gridCol w:w="52"/>
        <w:gridCol w:w="7075"/>
        <w:gridCol w:w="36"/>
      </w:tblGrid>
      <w:tr w:rsidR="00000000">
        <w:trPr>
          <w:divId w:val="1668678522"/>
        </w:trPr>
        <w:tc>
          <w:tcPr>
            <w:tcW w:w="50" w:type="pct"/>
            <w:vAlign w:val="center"/>
            <w:hideMark/>
          </w:tcPr>
          <w:p w:rsidR="00000000" w:rsidRDefault="00EE1167">
            <w:pPr>
              <w:rPr>
                <w:rFonts w:eastAsia="Times New Roman"/>
              </w:rPr>
            </w:pPr>
          </w:p>
        </w:tc>
        <w:tc>
          <w:tcPr>
            <w:tcW w:w="578"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30"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427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1668678522"/>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b/>
                <w:bCs/>
                <w:color w:val="000000"/>
                <w:sz w:val="20"/>
                <w:szCs w:val="20"/>
              </w:rPr>
              <w:t>Description</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hyperlink r:id="rId5" w:history="1">
              <w:r>
                <w:rPr>
                  <w:rStyle w:val="a3"/>
                  <w:rFonts w:ascii="Arial" w:eastAsia="Times New Roman" w:hAnsi="Arial" w:cs="Arial"/>
                  <w:sz w:val="20"/>
                  <w:szCs w:val="20"/>
                </w:rPr>
                <w:t>22.1*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divId w:val="399444909"/>
              <w:rPr>
                <w:rFonts w:eastAsia="Times New Roman"/>
              </w:rPr>
            </w:pPr>
            <w:hyperlink r:id="rId6" w:history="1">
              <w:r>
                <w:rPr>
                  <w:rStyle w:val="a3"/>
                  <w:rFonts w:ascii="Arial" w:eastAsia="Times New Roman" w:hAnsi="Arial" w:cs="Arial"/>
                  <w:sz w:val="20"/>
                  <w:szCs w:val="20"/>
                </w:rPr>
                <w:t>Subsidiary Guarantors</w:t>
              </w:r>
            </w:hyperlink>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hyperlink r:id="rId7" w:history="1">
              <w:r>
                <w:rPr>
                  <w:rStyle w:val="a3"/>
                  <w:rFonts w:ascii="Arial" w:eastAsia="Times New Roman" w:hAnsi="Arial" w:cs="Arial"/>
                  <w:sz w:val="20"/>
                  <w:szCs w:val="20"/>
                </w:rPr>
                <w:t>31.1*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divId w:val="132333057"/>
              <w:rPr>
                <w:rFonts w:eastAsia="Times New Roman"/>
              </w:rPr>
            </w:pPr>
            <w:hyperlink r:id="rId8" w:history="1">
              <w:r>
                <w:rPr>
                  <w:rStyle w:val="a3"/>
                  <w:rFonts w:ascii="Arial" w:eastAsia="Times New Roman" w:hAnsi="Arial" w:cs="Arial"/>
                  <w:sz w:val="20"/>
                  <w:szCs w:val="20"/>
                </w:rPr>
                <w:t>Certification Pursuant to Section 302 of the Sarbanes-Oxley Act of 2002.</w:t>
              </w:r>
            </w:hyperlink>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hyperlink r:id="rId9" w:history="1">
              <w:r>
                <w:rPr>
                  <w:rStyle w:val="a3"/>
                  <w:rFonts w:ascii="Arial" w:eastAsia="Times New Roman" w:hAnsi="Arial" w:cs="Arial"/>
                  <w:sz w:val="20"/>
                  <w:szCs w:val="20"/>
                </w:rPr>
                <w:t>31.2*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divId w:val="1477530596"/>
              <w:rPr>
                <w:rFonts w:eastAsia="Times New Roman"/>
              </w:rPr>
            </w:pPr>
            <w:hyperlink r:id="rId10" w:history="1">
              <w:r>
                <w:rPr>
                  <w:rStyle w:val="a3"/>
                  <w:rFonts w:ascii="Arial" w:eastAsia="Times New Roman" w:hAnsi="Arial" w:cs="Arial"/>
                  <w:sz w:val="20"/>
                  <w:szCs w:val="20"/>
                </w:rPr>
                <w:t>Certification Pursuant to Secti</w:t>
              </w:r>
              <w:r>
                <w:rPr>
                  <w:rStyle w:val="a3"/>
                  <w:rFonts w:ascii="Arial" w:eastAsia="Times New Roman" w:hAnsi="Arial" w:cs="Arial"/>
                  <w:sz w:val="20"/>
                  <w:szCs w:val="20"/>
                </w:rPr>
                <w:t>on 302 of the Sarbanes-Oxley Act of 2002.</w:t>
              </w:r>
            </w:hyperlink>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hyperlink r:id="rId11" w:history="1">
              <w:r>
                <w:rPr>
                  <w:rStyle w:val="a3"/>
                  <w:rFonts w:ascii="Arial" w:eastAsia="Times New Roman" w:hAnsi="Arial" w:cs="Arial"/>
                  <w:sz w:val="20"/>
                  <w:szCs w:val="20"/>
                </w:rPr>
                <w:t>32.1*</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divId w:val="2116511717"/>
              <w:rPr>
                <w:rFonts w:eastAsia="Times New Roman"/>
              </w:rPr>
            </w:pPr>
            <w:hyperlink r:id="rId12" w:history="1">
              <w:r>
                <w:rPr>
                  <w:rStyle w:val="a3"/>
                  <w:rFonts w:ascii="Arial" w:eastAsia="Times New Roman" w:hAnsi="Arial" w:cs="Arial"/>
                  <w:sz w:val="20"/>
                  <w:szCs w:val="20"/>
                </w:rPr>
                <w:t>Certification Pursuant to Section 906 of the Sarbanes-Oxley Act of 2002.</w:t>
              </w:r>
            </w:hyperlink>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hyperlink r:id="rId13" w:history="1">
              <w:r>
                <w:rPr>
                  <w:rStyle w:val="a3"/>
                  <w:rFonts w:ascii="Arial" w:eastAsia="Times New Roman" w:hAnsi="Arial" w:cs="Arial"/>
                  <w:sz w:val="20"/>
                  <w:szCs w:val="20"/>
                </w:rPr>
                <w:t>32.2*</w:t>
              </w:r>
            </w:hyperlink>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divId w:val="1487168828"/>
              <w:rPr>
                <w:rFonts w:eastAsia="Times New Roman"/>
              </w:rPr>
            </w:pPr>
            <w:hyperlink r:id="rId14" w:history="1">
              <w:r>
                <w:rPr>
                  <w:rStyle w:val="a3"/>
                  <w:rFonts w:ascii="Arial" w:eastAsia="Times New Roman" w:hAnsi="Arial" w:cs="Arial"/>
                  <w:sz w:val="20"/>
                  <w:szCs w:val="20"/>
                </w:rPr>
                <w:t>Certification Pursuant to Section 906 of the Sarbanes-Oxley Act of 2002.</w:t>
              </w:r>
            </w:hyperlink>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01.INS*</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XBRL Instance Document.</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Inline XBRL Taxonomy Extension Schema Document.</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Inline XBRL Taxonomy Extension Label Linkbase Document.</w:t>
            </w:r>
          </w:p>
        </w:tc>
      </w:tr>
      <w:tr w:rsidR="00000000">
        <w:trPr>
          <w:divId w:val="1668678522"/>
        </w:trPr>
        <w:tc>
          <w:tcPr>
            <w:tcW w:w="0" w:type="auto"/>
            <w:gridSpan w:val="3"/>
            <w:tcBorders>
              <w:top w:val="single" w:sz="4" w:space="0" w:color="000000"/>
              <w:left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4" w:space="0" w:color="000000"/>
              <w:left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1668678522"/>
        </w:trPr>
        <w:tc>
          <w:tcPr>
            <w:tcW w:w="0" w:type="auto"/>
            <w:gridSpan w:val="3"/>
            <w:tcBorders>
              <w:top w:val="single" w:sz="4"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104</w:t>
            </w:r>
          </w:p>
        </w:tc>
        <w:tc>
          <w:tcPr>
            <w:tcW w:w="0" w:type="auto"/>
            <w:gridSpan w:val="3"/>
            <w:tcBorders>
              <w:top w:val="single" w:sz="4"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EE1167">
            <w:pPr>
              <w:spacing w:after="100"/>
              <w:jc w:val="right"/>
              <w:rPr>
                <w:rFonts w:eastAsia="Times New Roman"/>
              </w:rPr>
            </w:pPr>
          </w:p>
        </w:tc>
        <w:tc>
          <w:tcPr>
            <w:tcW w:w="0" w:type="auto"/>
            <w:gridSpan w:val="3"/>
            <w:tcBorders>
              <w:top w:val="single" w:sz="4"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EE1167">
            <w:pPr>
              <w:spacing w:after="100"/>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r>
    </w:tbl>
    <w:p w:rsidR="00000000" w:rsidRDefault="00EE1167">
      <w:pPr>
        <w:divId w:val="2042826038"/>
        <w:rPr>
          <w:rFonts w:eastAsia="Times New Roman"/>
        </w:rPr>
      </w:pPr>
    </w:p>
    <w:p w:rsidR="00000000" w:rsidRDefault="00EE1167">
      <w:pPr>
        <w:jc w:val="center"/>
        <w:divId w:val="1352223342"/>
        <w:rPr>
          <w:rFonts w:eastAsia="Times New Roman"/>
        </w:rPr>
      </w:pPr>
      <w:r>
        <w:rPr>
          <w:rFonts w:ascii="Arial" w:eastAsia="Times New Roman" w:hAnsi="Arial" w:cs="Arial"/>
          <w:color w:val="000000"/>
          <w:sz w:val="20"/>
          <w:szCs w:val="20"/>
        </w:rPr>
        <w:t>66</w:t>
      </w:r>
    </w:p>
    <w:p w:rsidR="00000000" w:rsidRDefault="00EE1167">
      <w:pPr>
        <w:rPr>
          <w:rFonts w:eastAsia="Times New Roman"/>
        </w:rPr>
      </w:pPr>
      <w:r>
        <w:rPr>
          <w:rFonts w:eastAsia="Times New Roman"/>
        </w:rPr>
        <w:pict>
          <v:rect id="_x0000_i1091" style="width:0;height:1.5pt" o:hralign="center" o:hrstd="t" o:hr="t" fillcolor="#a0a0a0" stroked="f"/>
        </w:pict>
      </w:r>
    </w:p>
    <w:p w:rsidR="00000000" w:rsidRDefault="00EE1167">
      <w:pPr>
        <w:jc w:val="center"/>
        <w:divId w:val="1039013832"/>
        <w:rPr>
          <w:rFonts w:eastAsia="Times New Roman"/>
        </w:rPr>
      </w:pPr>
    </w:p>
    <w:p w:rsidR="00000000" w:rsidRDefault="00EE1167">
      <w:pPr>
        <w:jc w:val="center"/>
        <w:rPr>
          <w:rFonts w:eastAsia="Times New Roman"/>
        </w:rPr>
      </w:pPr>
      <w:r>
        <w:rPr>
          <w:rFonts w:ascii="Arial" w:eastAsia="Times New Roman" w:hAnsi="Arial" w:cs="Arial"/>
          <w:b/>
          <w:bCs/>
          <w:color w:val="000000"/>
          <w:sz w:val="26"/>
          <w:szCs w:val="26"/>
        </w:rPr>
        <w:t>SIGNATURES</w:t>
      </w:r>
    </w:p>
    <w:p w:rsidR="00000000" w:rsidRDefault="00EE1167">
      <w:pPr>
        <w:divId w:val="1527793837"/>
        <w:rPr>
          <w:rFonts w:eastAsia="Times New Roman"/>
        </w:rPr>
      </w:pPr>
      <w:r>
        <w:rPr>
          <w:rFonts w:ascii="Arial" w:eastAsia="Times New Roman" w:hAnsi="Arial" w:cs="Arial"/>
          <w:color w:val="000000"/>
          <w:sz w:val="20"/>
          <w:szCs w:val="20"/>
        </w:rPr>
        <w:t> </w:t>
      </w:r>
    </w:p>
    <w:p w:rsidR="00000000" w:rsidRDefault="00EE1167">
      <w:pPr>
        <w:divId w:val="1020623345"/>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EE1167">
      <w:pPr>
        <w:divId w:val="806701799"/>
        <w:rPr>
          <w:rFonts w:eastAsia="Times New Roman"/>
        </w:rPr>
      </w:pPr>
      <w:r>
        <w:rPr>
          <w:rFonts w:ascii="Arial" w:eastAsia="Times New Roman" w:hAnsi="Arial" w:cs="Arial"/>
          <w:color w:val="000000"/>
          <w:sz w:val="20"/>
          <w:szCs w:val="20"/>
        </w:rPr>
        <w:t> </w:t>
      </w:r>
    </w:p>
    <w:p w:rsidR="00000000" w:rsidRDefault="00EE1167">
      <w:pPr>
        <w:divId w:val="565920385"/>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586"/>
        <w:gridCol w:w="36"/>
        <w:gridCol w:w="69"/>
        <w:gridCol w:w="2916"/>
        <w:gridCol w:w="36"/>
        <w:gridCol w:w="69"/>
        <w:gridCol w:w="587"/>
        <w:gridCol w:w="36"/>
        <w:gridCol w:w="70"/>
        <w:gridCol w:w="3796"/>
        <w:gridCol w:w="36"/>
      </w:tblGrid>
      <w:tr w:rsidR="00000000">
        <w:trPr>
          <w:divId w:val="336688875"/>
        </w:trPr>
        <w:tc>
          <w:tcPr>
            <w:tcW w:w="50" w:type="pct"/>
            <w:vAlign w:val="center"/>
            <w:hideMark/>
          </w:tcPr>
          <w:p w:rsidR="00000000" w:rsidRDefault="00EE1167">
            <w:pPr>
              <w:rPr>
                <w:rFonts w:eastAsia="Times New Roman"/>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1763"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361"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c>
          <w:tcPr>
            <w:tcW w:w="50" w:type="pct"/>
            <w:vAlign w:val="center"/>
            <w:hideMark/>
          </w:tcPr>
          <w:p w:rsidR="00000000" w:rsidRDefault="00EE1167">
            <w:pPr>
              <w:spacing w:after="100"/>
              <w:rPr>
                <w:rFonts w:eastAsia="Times New Roman"/>
                <w:sz w:val="20"/>
                <w:szCs w:val="20"/>
              </w:rPr>
            </w:pPr>
          </w:p>
        </w:tc>
        <w:tc>
          <w:tcPr>
            <w:tcW w:w="2292" w:type="pct"/>
            <w:vAlign w:val="center"/>
            <w:hideMark/>
          </w:tcPr>
          <w:p w:rsidR="00000000" w:rsidRDefault="00EE1167">
            <w:pPr>
              <w:spacing w:after="100"/>
              <w:rPr>
                <w:rFonts w:eastAsia="Times New Roman"/>
                <w:sz w:val="20"/>
                <w:szCs w:val="20"/>
              </w:rPr>
            </w:pPr>
          </w:p>
        </w:tc>
        <w:tc>
          <w:tcPr>
            <w:tcW w:w="5" w:type="pct"/>
            <w:vAlign w:val="center"/>
            <w:hideMark/>
          </w:tcPr>
          <w:p w:rsidR="00000000" w:rsidRDefault="00EE1167">
            <w:pPr>
              <w:spacing w:after="100"/>
              <w:rPr>
                <w:rFonts w:eastAsia="Times New Roman"/>
                <w:sz w:val="20"/>
                <w:szCs w:val="20"/>
              </w:rPr>
            </w:pPr>
          </w:p>
        </w:tc>
      </w:tr>
      <w:tr w:rsidR="00000000">
        <w:trPr>
          <w:divId w:val="336688875"/>
        </w:trPr>
        <w:tc>
          <w:tcPr>
            <w:tcW w:w="0" w:type="auto"/>
            <w:gridSpan w:val="6"/>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ENBRIDGE INC.</w:t>
            </w:r>
          </w:p>
        </w:tc>
      </w:tr>
      <w:tr w:rsidR="00000000">
        <w:trPr>
          <w:divId w:val="336688875"/>
        </w:trPr>
        <w:tc>
          <w:tcPr>
            <w:tcW w:w="0" w:type="auto"/>
            <w:gridSpan w:val="6"/>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(Registrant)</w:t>
            </w:r>
          </w:p>
        </w:tc>
      </w:tr>
      <w:tr w:rsidR="00000000">
        <w:trPr>
          <w:divId w:val="336688875"/>
        </w:trPr>
        <w:tc>
          <w:tcPr>
            <w:tcW w:w="0" w:type="auto"/>
            <w:gridSpan w:val="6"/>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r>
      <w:tr w:rsidR="00000000">
        <w:trPr>
          <w:divId w:val="336688875"/>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Date: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November 5, 2021</w:t>
            </w:r>
          </w:p>
        </w:tc>
        <w:tc>
          <w:tcPr>
            <w:tcW w:w="0" w:type="auto"/>
            <w:gridSpan w:val="3"/>
            <w:tcMar>
              <w:top w:w="30" w:type="dxa"/>
              <w:left w:w="20" w:type="dxa"/>
              <w:bottom w:w="30" w:type="dxa"/>
              <w:right w:w="20" w:type="dxa"/>
            </w:tcMar>
            <w:hideMark/>
          </w:tcPr>
          <w:p w:rsidR="00000000" w:rsidRDefault="00EE1167">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/s/ Al Monaco</w:t>
            </w:r>
          </w:p>
        </w:tc>
      </w:tr>
      <w:tr w:rsidR="00000000">
        <w:trPr>
          <w:divId w:val="336688875"/>
        </w:trPr>
        <w:tc>
          <w:tcPr>
            <w:tcW w:w="0" w:type="auto"/>
            <w:gridSpan w:val="6"/>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E1167">
            <w:pPr>
              <w:spacing w:after="100"/>
              <w:divId w:val="1871450212"/>
              <w:rPr>
                <w:rFonts w:eastAsia="Times New Roman"/>
              </w:rPr>
            </w:pPr>
            <w:r>
              <w:rPr>
                <w:rFonts w:ascii="Arial" w:eastAsia="Times New Roman" w:hAnsi="Arial" w:cs="Arial"/>
                <w:color w:val="000000"/>
                <w:sz w:val="20"/>
                <w:szCs w:val="20"/>
              </w:rPr>
              <w:t>Al Monaco</w:t>
            </w:r>
          </w:p>
          <w:p w:rsidR="00000000" w:rsidRDefault="00EE1167">
            <w:pPr>
              <w:spacing w:after="100"/>
              <w:divId w:val="1461729707"/>
              <w:rPr>
                <w:rFonts w:eastAsia="Times New Roman"/>
              </w:rPr>
            </w:pPr>
            <w:r>
              <w:rPr>
                <w:rFonts w:ascii="Arial" w:eastAsia="Times New Roman" w:hAnsi="Arial" w:cs="Arial"/>
                <w:color w:val="000000"/>
                <w:sz w:val="16"/>
                <w:szCs w:val="16"/>
              </w:rPr>
              <w:t>President and Chief Executive Officer</w:t>
            </w:r>
          </w:p>
          <w:p w:rsidR="00000000" w:rsidRDefault="00EE1167">
            <w:pPr>
              <w:spacing w:after="100"/>
              <w:divId w:val="2017152004"/>
              <w:rPr>
                <w:rFonts w:eastAsia="Times New Roman"/>
              </w:rPr>
            </w:pPr>
            <w:r>
              <w:rPr>
                <w:rFonts w:ascii="Arial" w:eastAsia="Times New Roman" w:hAnsi="Arial" w:cs="Arial"/>
                <w:color w:val="000000"/>
                <w:sz w:val="16"/>
                <w:szCs w:val="16"/>
              </w:rPr>
              <w:t>(Principal Executive Officer)</w:t>
            </w:r>
          </w:p>
        </w:tc>
      </w:tr>
      <w:tr w:rsidR="00000000">
        <w:trPr>
          <w:divId w:val="336688875"/>
          <w:trHeight w:val="54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r w:rsidR="00000000">
        <w:trPr>
          <w:divId w:val="336688875"/>
        </w:trPr>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EE1167">
            <w:pPr>
              <w:spacing w:after="100"/>
              <w:rPr>
                <w:rFonts w:eastAsia="Times New Roman"/>
              </w:rPr>
            </w:pPr>
            <w:r>
              <w:rPr>
                <w:rFonts w:ascii="Arial" w:eastAsia="Times New Roman" w:hAnsi="Arial" w:cs="Arial"/>
                <w:color w:val="000000"/>
                <w:sz w:val="20"/>
                <w:szCs w:val="20"/>
              </w:rPr>
              <w:t>November 5, 2021</w:t>
            </w:r>
          </w:p>
        </w:tc>
        <w:tc>
          <w:tcPr>
            <w:tcW w:w="0" w:type="auto"/>
            <w:gridSpan w:val="3"/>
            <w:tcMar>
              <w:top w:w="30" w:type="dxa"/>
              <w:left w:w="20" w:type="dxa"/>
              <w:bottom w:w="30" w:type="dxa"/>
              <w:right w:w="20" w:type="dxa"/>
            </w:tcMar>
            <w:vAlign w:val="bottom"/>
            <w:hideMark/>
          </w:tcPr>
          <w:p w:rsidR="00000000" w:rsidRDefault="00EE1167">
            <w:pPr>
              <w:spacing w:after="100"/>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EE1167">
            <w:pPr>
              <w:spacing w:after="100"/>
              <w:rPr>
                <w:rFonts w:eastAsia="Times New Roman"/>
              </w:rPr>
            </w:pPr>
            <w:r>
              <w:rPr>
                <w:rFonts w:ascii="Arial" w:eastAsia="Times New Roman" w:hAnsi="Arial" w:cs="Arial"/>
                <w:b/>
                <w:bCs/>
                <w:color w:val="000000"/>
                <w:sz w:val="20"/>
                <w:szCs w:val="20"/>
              </w:rPr>
              <w:t>/s/ Vern D. Yu</w:t>
            </w:r>
          </w:p>
        </w:tc>
      </w:tr>
      <w:tr w:rsidR="00000000">
        <w:trPr>
          <w:divId w:val="336688875"/>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EE1167">
            <w:pPr>
              <w:spacing w:after="100"/>
              <w:divId w:val="1309553270"/>
              <w:rPr>
                <w:rFonts w:eastAsia="Times New Roman"/>
              </w:rPr>
            </w:pPr>
            <w:r>
              <w:rPr>
                <w:rFonts w:ascii="Arial" w:eastAsia="Times New Roman" w:hAnsi="Arial" w:cs="Arial"/>
                <w:color w:val="000000"/>
                <w:sz w:val="20"/>
                <w:szCs w:val="20"/>
              </w:rPr>
              <w:t>Vern D. Yu</w:t>
            </w:r>
          </w:p>
          <w:p w:rsidR="00000000" w:rsidRDefault="00EE1167">
            <w:pPr>
              <w:spacing w:after="100"/>
              <w:divId w:val="1621493675"/>
              <w:rPr>
                <w:rFonts w:eastAsia="Times New Roman"/>
              </w:rPr>
            </w:pPr>
            <w:r>
              <w:rPr>
                <w:rFonts w:ascii="Arial" w:eastAsia="Times New Roman" w:hAnsi="Arial" w:cs="Arial"/>
                <w:color w:val="000000"/>
                <w:sz w:val="16"/>
                <w:szCs w:val="16"/>
              </w:rPr>
              <w:t>Executive Vice President and Chief Financial Officer</w:t>
            </w:r>
          </w:p>
          <w:p w:rsidR="00000000" w:rsidRDefault="00EE1167">
            <w:pPr>
              <w:spacing w:after="100"/>
              <w:divId w:val="665061000"/>
              <w:rPr>
                <w:rFonts w:eastAsia="Times New Roman"/>
              </w:rPr>
            </w:pPr>
            <w:r>
              <w:rPr>
                <w:rFonts w:ascii="Arial" w:eastAsia="Times New Roman" w:hAnsi="Arial" w:cs="Arial"/>
                <w:color w:val="000000"/>
                <w:sz w:val="16"/>
                <w:szCs w:val="16"/>
              </w:rPr>
              <w:t>(Principal Financial Officer)</w:t>
            </w:r>
          </w:p>
        </w:tc>
      </w:tr>
      <w:tr w:rsidR="00000000">
        <w:trPr>
          <w:divId w:val="336688875"/>
          <w:trHeight w:val="1000"/>
        </w:trPr>
        <w:tc>
          <w:tcPr>
            <w:tcW w:w="0" w:type="auto"/>
            <w:gridSpan w:val="3"/>
            <w:tcMar>
              <w:top w:w="0" w:type="dxa"/>
              <w:left w:w="20" w:type="dxa"/>
              <w:bottom w:w="0" w:type="dxa"/>
              <w:right w:w="20" w:type="dxa"/>
            </w:tcMar>
            <w:vAlign w:val="center"/>
            <w:hideMark/>
          </w:tcPr>
          <w:p w:rsidR="00000000" w:rsidRDefault="00EE116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E1167">
            <w:pPr>
              <w:spacing w:after="100"/>
              <w:rPr>
                <w:rFonts w:eastAsia="Times New Roman"/>
                <w:sz w:val="20"/>
                <w:szCs w:val="20"/>
              </w:rPr>
            </w:pPr>
          </w:p>
        </w:tc>
      </w:tr>
    </w:tbl>
    <w:p w:rsidR="00EE1167" w:rsidRDefault="00EE1167">
      <w:pPr>
        <w:jc w:val="center"/>
        <w:divId w:val="950236894"/>
        <w:rPr>
          <w:rFonts w:eastAsia="Times New Roman"/>
        </w:rPr>
      </w:pPr>
      <w:r>
        <w:rPr>
          <w:rFonts w:ascii="Arial" w:eastAsia="Times New Roman" w:hAnsi="Arial" w:cs="Arial"/>
          <w:color w:val="000000"/>
          <w:sz w:val="20"/>
          <w:szCs w:val="20"/>
        </w:rPr>
        <w:t>67</w:t>
      </w:r>
    </w:p>
    <w:sectPr w:rsidR="00EE116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1167"/>
    <w:rsid w:val="00EE1167"/>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2009/utr"/>
  <w:attachedSchema w:val="http://fasb.org/us-gaap/2021-01-31"/>
  <w:attachedSchema w:val="http://www.xbrl.org/2003/instance"/>
  <w:attachedSchema w:val="http://xbrl.sec.gov/dei/2021"/>
  <w:attachedSchema w:val="http://fasb.org/srt/2021-01-31"/>
  <w:attachedSchema w:val="http://www.enbridge.com/20210930"/>
  <w:attachedSchema w:val="http://www.xbrl.org/inlineXBRL/transformation/2020-02-12"/>
  <w:attachedSchema w:val="http://www.sec.gov/inlineXBRL/transformation/2015-08-31"/>
  <w:attachedSchema w:val="http://www.xbrl.org/2003/iso4217"/>
  <w:attachedSchema w:val="http://www.w3.org/1999/xlink"/>
  <w:attachedSchema w:val="http://xbrl.sec.gov/currency/2021"/>
  <w:attachedSchema w:val="http://xbrl.org/2006/xbrldi"/>
  <w:attachedSchema w:val="http://www.xbrl.org/2003/linkbas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138">
      <w:marLeft w:val="0"/>
      <w:marRight w:val="0"/>
      <w:marTop w:val="0"/>
      <w:marBottom w:val="0"/>
      <w:divBdr>
        <w:top w:val="none" w:sz="0" w:space="0" w:color="auto"/>
        <w:left w:val="none" w:sz="0" w:space="0" w:color="auto"/>
        <w:bottom w:val="none" w:sz="0" w:space="0" w:color="auto"/>
        <w:right w:val="none" w:sz="0" w:space="0" w:color="auto"/>
      </w:divBdr>
      <w:divsChild>
        <w:div w:id="1068041927">
          <w:marLeft w:val="0"/>
          <w:marRight w:val="0"/>
          <w:marTop w:val="0"/>
          <w:marBottom w:val="0"/>
          <w:divBdr>
            <w:top w:val="none" w:sz="0" w:space="0" w:color="auto"/>
            <w:left w:val="none" w:sz="0" w:space="0" w:color="auto"/>
            <w:bottom w:val="none" w:sz="0" w:space="0" w:color="auto"/>
            <w:right w:val="none" w:sz="0" w:space="0" w:color="auto"/>
          </w:divBdr>
        </w:div>
      </w:divsChild>
    </w:div>
    <w:div w:id="4526551">
      <w:marLeft w:val="0"/>
      <w:marRight w:val="0"/>
      <w:marTop w:val="0"/>
      <w:marBottom w:val="0"/>
      <w:divBdr>
        <w:top w:val="none" w:sz="0" w:space="0" w:color="auto"/>
        <w:left w:val="none" w:sz="0" w:space="0" w:color="auto"/>
        <w:bottom w:val="none" w:sz="0" w:space="0" w:color="auto"/>
        <w:right w:val="none" w:sz="0" w:space="0" w:color="auto"/>
      </w:divBdr>
      <w:divsChild>
        <w:div w:id="1177429301">
          <w:marLeft w:val="0"/>
          <w:marRight w:val="0"/>
          <w:marTop w:val="0"/>
          <w:marBottom w:val="0"/>
          <w:divBdr>
            <w:top w:val="none" w:sz="0" w:space="0" w:color="auto"/>
            <w:left w:val="none" w:sz="0" w:space="0" w:color="auto"/>
            <w:bottom w:val="none" w:sz="0" w:space="0" w:color="auto"/>
            <w:right w:val="none" w:sz="0" w:space="0" w:color="auto"/>
          </w:divBdr>
        </w:div>
      </w:divsChild>
    </w:div>
    <w:div w:id="6251413">
      <w:marLeft w:val="0"/>
      <w:marRight w:val="0"/>
      <w:marTop w:val="0"/>
      <w:marBottom w:val="0"/>
      <w:divBdr>
        <w:top w:val="none" w:sz="0" w:space="0" w:color="auto"/>
        <w:left w:val="none" w:sz="0" w:space="0" w:color="auto"/>
        <w:bottom w:val="none" w:sz="0" w:space="0" w:color="auto"/>
        <w:right w:val="none" w:sz="0" w:space="0" w:color="auto"/>
      </w:divBdr>
    </w:div>
    <w:div w:id="6442883">
      <w:marLeft w:val="0"/>
      <w:marRight w:val="0"/>
      <w:marTop w:val="0"/>
      <w:marBottom w:val="0"/>
      <w:divBdr>
        <w:top w:val="none" w:sz="0" w:space="0" w:color="auto"/>
        <w:left w:val="none" w:sz="0" w:space="0" w:color="auto"/>
        <w:bottom w:val="none" w:sz="0" w:space="0" w:color="auto"/>
        <w:right w:val="none" w:sz="0" w:space="0" w:color="auto"/>
      </w:divBdr>
    </w:div>
    <w:div w:id="9186482">
      <w:marLeft w:val="0"/>
      <w:marRight w:val="0"/>
      <w:marTop w:val="0"/>
      <w:marBottom w:val="0"/>
      <w:divBdr>
        <w:top w:val="none" w:sz="0" w:space="0" w:color="auto"/>
        <w:left w:val="none" w:sz="0" w:space="0" w:color="auto"/>
        <w:bottom w:val="none" w:sz="0" w:space="0" w:color="auto"/>
        <w:right w:val="none" w:sz="0" w:space="0" w:color="auto"/>
      </w:divBdr>
    </w:div>
    <w:div w:id="10184248">
      <w:marLeft w:val="0"/>
      <w:marRight w:val="0"/>
      <w:marTop w:val="0"/>
      <w:marBottom w:val="0"/>
      <w:divBdr>
        <w:top w:val="none" w:sz="0" w:space="0" w:color="auto"/>
        <w:left w:val="none" w:sz="0" w:space="0" w:color="auto"/>
        <w:bottom w:val="none" w:sz="0" w:space="0" w:color="auto"/>
        <w:right w:val="none" w:sz="0" w:space="0" w:color="auto"/>
      </w:divBdr>
    </w:div>
    <w:div w:id="12464783">
      <w:marLeft w:val="0"/>
      <w:marRight w:val="0"/>
      <w:marTop w:val="0"/>
      <w:marBottom w:val="0"/>
      <w:divBdr>
        <w:top w:val="none" w:sz="0" w:space="0" w:color="auto"/>
        <w:left w:val="none" w:sz="0" w:space="0" w:color="auto"/>
        <w:bottom w:val="none" w:sz="0" w:space="0" w:color="auto"/>
        <w:right w:val="none" w:sz="0" w:space="0" w:color="auto"/>
      </w:divBdr>
    </w:div>
    <w:div w:id="14237479">
      <w:marLeft w:val="0"/>
      <w:marRight w:val="0"/>
      <w:marTop w:val="0"/>
      <w:marBottom w:val="0"/>
      <w:divBdr>
        <w:top w:val="none" w:sz="0" w:space="0" w:color="auto"/>
        <w:left w:val="none" w:sz="0" w:space="0" w:color="auto"/>
        <w:bottom w:val="none" w:sz="0" w:space="0" w:color="auto"/>
        <w:right w:val="none" w:sz="0" w:space="0" w:color="auto"/>
      </w:divBdr>
    </w:div>
    <w:div w:id="14380851">
      <w:marLeft w:val="0"/>
      <w:marRight w:val="0"/>
      <w:marTop w:val="0"/>
      <w:marBottom w:val="0"/>
      <w:divBdr>
        <w:top w:val="none" w:sz="0" w:space="0" w:color="auto"/>
        <w:left w:val="none" w:sz="0" w:space="0" w:color="auto"/>
        <w:bottom w:val="none" w:sz="0" w:space="0" w:color="auto"/>
        <w:right w:val="none" w:sz="0" w:space="0" w:color="auto"/>
      </w:divBdr>
      <w:divsChild>
        <w:div w:id="494146942">
          <w:marLeft w:val="0"/>
          <w:marRight w:val="0"/>
          <w:marTop w:val="0"/>
          <w:marBottom w:val="0"/>
          <w:divBdr>
            <w:top w:val="none" w:sz="0" w:space="0" w:color="auto"/>
            <w:left w:val="none" w:sz="0" w:space="0" w:color="auto"/>
            <w:bottom w:val="none" w:sz="0" w:space="0" w:color="auto"/>
            <w:right w:val="none" w:sz="0" w:space="0" w:color="auto"/>
          </w:divBdr>
        </w:div>
      </w:divsChild>
    </w:div>
    <w:div w:id="14816053">
      <w:marLeft w:val="0"/>
      <w:marRight w:val="0"/>
      <w:marTop w:val="0"/>
      <w:marBottom w:val="0"/>
      <w:divBdr>
        <w:top w:val="none" w:sz="0" w:space="0" w:color="auto"/>
        <w:left w:val="none" w:sz="0" w:space="0" w:color="auto"/>
        <w:bottom w:val="none" w:sz="0" w:space="0" w:color="auto"/>
        <w:right w:val="none" w:sz="0" w:space="0" w:color="auto"/>
      </w:divBdr>
    </w:div>
    <w:div w:id="16349937">
      <w:marLeft w:val="0"/>
      <w:marRight w:val="0"/>
      <w:marTop w:val="0"/>
      <w:marBottom w:val="0"/>
      <w:divBdr>
        <w:top w:val="none" w:sz="0" w:space="0" w:color="auto"/>
        <w:left w:val="none" w:sz="0" w:space="0" w:color="auto"/>
        <w:bottom w:val="none" w:sz="0" w:space="0" w:color="auto"/>
        <w:right w:val="none" w:sz="0" w:space="0" w:color="auto"/>
      </w:divBdr>
    </w:div>
    <w:div w:id="18049188">
      <w:marLeft w:val="0"/>
      <w:marRight w:val="0"/>
      <w:marTop w:val="0"/>
      <w:marBottom w:val="0"/>
      <w:divBdr>
        <w:top w:val="none" w:sz="0" w:space="0" w:color="auto"/>
        <w:left w:val="none" w:sz="0" w:space="0" w:color="auto"/>
        <w:bottom w:val="none" w:sz="0" w:space="0" w:color="auto"/>
        <w:right w:val="none" w:sz="0" w:space="0" w:color="auto"/>
      </w:divBdr>
    </w:div>
    <w:div w:id="19938917">
      <w:marLeft w:val="0"/>
      <w:marRight w:val="0"/>
      <w:marTop w:val="0"/>
      <w:marBottom w:val="0"/>
      <w:divBdr>
        <w:top w:val="none" w:sz="0" w:space="0" w:color="auto"/>
        <w:left w:val="none" w:sz="0" w:space="0" w:color="auto"/>
        <w:bottom w:val="none" w:sz="0" w:space="0" w:color="auto"/>
        <w:right w:val="none" w:sz="0" w:space="0" w:color="auto"/>
      </w:divBdr>
      <w:divsChild>
        <w:div w:id="901254512">
          <w:marLeft w:val="0"/>
          <w:marRight w:val="0"/>
          <w:marTop w:val="0"/>
          <w:marBottom w:val="0"/>
          <w:divBdr>
            <w:top w:val="none" w:sz="0" w:space="0" w:color="auto"/>
            <w:left w:val="none" w:sz="0" w:space="0" w:color="auto"/>
            <w:bottom w:val="none" w:sz="0" w:space="0" w:color="auto"/>
            <w:right w:val="none" w:sz="0" w:space="0" w:color="auto"/>
          </w:divBdr>
        </w:div>
      </w:divsChild>
    </w:div>
    <w:div w:id="20861222">
      <w:marLeft w:val="0"/>
      <w:marRight w:val="0"/>
      <w:marTop w:val="0"/>
      <w:marBottom w:val="0"/>
      <w:divBdr>
        <w:top w:val="none" w:sz="0" w:space="0" w:color="auto"/>
        <w:left w:val="none" w:sz="0" w:space="0" w:color="auto"/>
        <w:bottom w:val="none" w:sz="0" w:space="0" w:color="auto"/>
        <w:right w:val="none" w:sz="0" w:space="0" w:color="auto"/>
      </w:divBdr>
    </w:div>
    <w:div w:id="21248103">
      <w:marLeft w:val="0"/>
      <w:marRight w:val="0"/>
      <w:marTop w:val="0"/>
      <w:marBottom w:val="0"/>
      <w:divBdr>
        <w:top w:val="none" w:sz="0" w:space="0" w:color="auto"/>
        <w:left w:val="none" w:sz="0" w:space="0" w:color="auto"/>
        <w:bottom w:val="none" w:sz="0" w:space="0" w:color="auto"/>
        <w:right w:val="none" w:sz="0" w:space="0" w:color="auto"/>
      </w:divBdr>
    </w:div>
    <w:div w:id="25103009">
      <w:marLeft w:val="0"/>
      <w:marRight w:val="0"/>
      <w:marTop w:val="0"/>
      <w:marBottom w:val="0"/>
      <w:divBdr>
        <w:top w:val="none" w:sz="0" w:space="0" w:color="auto"/>
        <w:left w:val="none" w:sz="0" w:space="0" w:color="auto"/>
        <w:bottom w:val="none" w:sz="0" w:space="0" w:color="auto"/>
        <w:right w:val="none" w:sz="0" w:space="0" w:color="auto"/>
      </w:divBdr>
    </w:div>
    <w:div w:id="26027940">
      <w:marLeft w:val="0"/>
      <w:marRight w:val="0"/>
      <w:marTop w:val="0"/>
      <w:marBottom w:val="0"/>
      <w:divBdr>
        <w:top w:val="none" w:sz="0" w:space="0" w:color="auto"/>
        <w:left w:val="none" w:sz="0" w:space="0" w:color="auto"/>
        <w:bottom w:val="none" w:sz="0" w:space="0" w:color="auto"/>
        <w:right w:val="none" w:sz="0" w:space="0" w:color="auto"/>
      </w:divBdr>
    </w:div>
    <w:div w:id="27490419">
      <w:marLeft w:val="0"/>
      <w:marRight w:val="0"/>
      <w:marTop w:val="0"/>
      <w:marBottom w:val="0"/>
      <w:divBdr>
        <w:top w:val="none" w:sz="0" w:space="0" w:color="auto"/>
        <w:left w:val="none" w:sz="0" w:space="0" w:color="auto"/>
        <w:bottom w:val="none" w:sz="0" w:space="0" w:color="auto"/>
        <w:right w:val="none" w:sz="0" w:space="0" w:color="auto"/>
      </w:divBdr>
    </w:div>
    <w:div w:id="33043874">
      <w:marLeft w:val="0"/>
      <w:marRight w:val="0"/>
      <w:marTop w:val="0"/>
      <w:marBottom w:val="0"/>
      <w:divBdr>
        <w:top w:val="none" w:sz="0" w:space="0" w:color="auto"/>
        <w:left w:val="none" w:sz="0" w:space="0" w:color="auto"/>
        <w:bottom w:val="none" w:sz="0" w:space="0" w:color="auto"/>
        <w:right w:val="none" w:sz="0" w:space="0" w:color="auto"/>
      </w:divBdr>
    </w:div>
    <w:div w:id="33434260">
      <w:marLeft w:val="0"/>
      <w:marRight w:val="0"/>
      <w:marTop w:val="0"/>
      <w:marBottom w:val="0"/>
      <w:divBdr>
        <w:top w:val="none" w:sz="0" w:space="0" w:color="auto"/>
        <w:left w:val="none" w:sz="0" w:space="0" w:color="auto"/>
        <w:bottom w:val="none" w:sz="0" w:space="0" w:color="auto"/>
        <w:right w:val="none" w:sz="0" w:space="0" w:color="auto"/>
      </w:divBdr>
    </w:div>
    <w:div w:id="38361584">
      <w:marLeft w:val="0"/>
      <w:marRight w:val="0"/>
      <w:marTop w:val="0"/>
      <w:marBottom w:val="0"/>
      <w:divBdr>
        <w:top w:val="none" w:sz="0" w:space="0" w:color="auto"/>
        <w:left w:val="none" w:sz="0" w:space="0" w:color="auto"/>
        <w:bottom w:val="none" w:sz="0" w:space="0" w:color="auto"/>
        <w:right w:val="none" w:sz="0" w:space="0" w:color="auto"/>
      </w:divBdr>
    </w:div>
    <w:div w:id="38551896">
      <w:marLeft w:val="0"/>
      <w:marRight w:val="0"/>
      <w:marTop w:val="0"/>
      <w:marBottom w:val="0"/>
      <w:divBdr>
        <w:top w:val="none" w:sz="0" w:space="0" w:color="auto"/>
        <w:left w:val="none" w:sz="0" w:space="0" w:color="auto"/>
        <w:bottom w:val="none" w:sz="0" w:space="0" w:color="auto"/>
        <w:right w:val="none" w:sz="0" w:space="0" w:color="auto"/>
      </w:divBdr>
    </w:div>
    <w:div w:id="39208969">
      <w:marLeft w:val="0"/>
      <w:marRight w:val="0"/>
      <w:marTop w:val="0"/>
      <w:marBottom w:val="0"/>
      <w:divBdr>
        <w:top w:val="none" w:sz="0" w:space="0" w:color="auto"/>
        <w:left w:val="none" w:sz="0" w:space="0" w:color="auto"/>
        <w:bottom w:val="none" w:sz="0" w:space="0" w:color="auto"/>
        <w:right w:val="none" w:sz="0" w:space="0" w:color="auto"/>
      </w:divBdr>
    </w:div>
    <w:div w:id="39744694">
      <w:marLeft w:val="0"/>
      <w:marRight w:val="0"/>
      <w:marTop w:val="0"/>
      <w:marBottom w:val="0"/>
      <w:divBdr>
        <w:top w:val="none" w:sz="0" w:space="0" w:color="auto"/>
        <w:left w:val="none" w:sz="0" w:space="0" w:color="auto"/>
        <w:bottom w:val="none" w:sz="0" w:space="0" w:color="auto"/>
        <w:right w:val="none" w:sz="0" w:space="0" w:color="auto"/>
      </w:divBdr>
    </w:div>
    <w:div w:id="40443465">
      <w:marLeft w:val="0"/>
      <w:marRight w:val="0"/>
      <w:marTop w:val="0"/>
      <w:marBottom w:val="0"/>
      <w:divBdr>
        <w:top w:val="none" w:sz="0" w:space="0" w:color="auto"/>
        <w:left w:val="none" w:sz="0" w:space="0" w:color="auto"/>
        <w:bottom w:val="none" w:sz="0" w:space="0" w:color="auto"/>
        <w:right w:val="none" w:sz="0" w:space="0" w:color="auto"/>
      </w:divBdr>
    </w:div>
    <w:div w:id="40518215">
      <w:marLeft w:val="0"/>
      <w:marRight w:val="0"/>
      <w:marTop w:val="0"/>
      <w:marBottom w:val="0"/>
      <w:divBdr>
        <w:top w:val="none" w:sz="0" w:space="0" w:color="auto"/>
        <w:left w:val="none" w:sz="0" w:space="0" w:color="auto"/>
        <w:bottom w:val="none" w:sz="0" w:space="0" w:color="auto"/>
        <w:right w:val="none" w:sz="0" w:space="0" w:color="auto"/>
      </w:divBdr>
    </w:div>
    <w:div w:id="41946991">
      <w:marLeft w:val="0"/>
      <w:marRight w:val="0"/>
      <w:marTop w:val="0"/>
      <w:marBottom w:val="0"/>
      <w:divBdr>
        <w:top w:val="none" w:sz="0" w:space="0" w:color="auto"/>
        <w:left w:val="none" w:sz="0" w:space="0" w:color="auto"/>
        <w:bottom w:val="none" w:sz="0" w:space="0" w:color="auto"/>
        <w:right w:val="none" w:sz="0" w:space="0" w:color="auto"/>
      </w:divBdr>
    </w:div>
    <w:div w:id="42292522">
      <w:marLeft w:val="0"/>
      <w:marRight w:val="0"/>
      <w:marTop w:val="0"/>
      <w:marBottom w:val="0"/>
      <w:divBdr>
        <w:top w:val="none" w:sz="0" w:space="0" w:color="auto"/>
        <w:left w:val="none" w:sz="0" w:space="0" w:color="auto"/>
        <w:bottom w:val="none" w:sz="0" w:space="0" w:color="auto"/>
        <w:right w:val="none" w:sz="0" w:space="0" w:color="auto"/>
      </w:divBdr>
    </w:div>
    <w:div w:id="44376731">
      <w:marLeft w:val="0"/>
      <w:marRight w:val="0"/>
      <w:marTop w:val="0"/>
      <w:marBottom w:val="0"/>
      <w:divBdr>
        <w:top w:val="none" w:sz="0" w:space="0" w:color="auto"/>
        <w:left w:val="none" w:sz="0" w:space="0" w:color="auto"/>
        <w:bottom w:val="none" w:sz="0" w:space="0" w:color="auto"/>
        <w:right w:val="none" w:sz="0" w:space="0" w:color="auto"/>
      </w:divBdr>
    </w:div>
    <w:div w:id="44913482">
      <w:marLeft w:val="0"/>
      <w:marRight w:val="0"/>
      <w:marTop w:val="0"/>
      <w:marBottom w:val="0"/>
      <w:divBdr>
        <w:top w:val="none" w:sz="0" w:space="0" w:color="auto"/>
        <w:left w:val="none" w:sz="0" w:space="0" w:color="auto"/>
        <w:bottom w:val="none" w:sz="0" w:space="0" w:color="auto"/>
        <w:right w:val="none" w:sz="0" w:space="0" w:color="auto"/>
      </w:divBdr>
    </w:div>
    <w:div w:id="46145670">
      <w:marLeft w:val="0"/>
      <w:marRight w:val="0"/>
      <w:marTop w:val="0"/>
      <w:marBottom w:val="0"/>
      <w:divBdr>
        <w:top w:val="none" w:sz="0" w:space="0" w:color="auto"/>
        <w:left w:val="none" w:sz="0" w:space="0" w:color="auto"/>
        <w:bottom w:val="none" w:sz="0" w:space="0" w:color="auto"/>
        <w:right w:val="none" w:sz="0" w:space="0" w:color="auto"/>
      </w:divBdr>
    </w:div>
    <w:div w:id="46338110">
      <w:marLeft w:val="0"/>
      <w:marRight w:val="0"/>
      <w:marTop w:val="0"/>
      <w:marBottom w:val="0"/>
      <w:divBdr>
        <w:top w:val="none" w:sz="0" w:space="0" w:color="auto"/>
        <w:left w:val="none" w:sz="0" w:space="0" w:color="auto"/>
        <w:bottom w:val="none" w:sz="0" w:space="0" w:color="auto"/>
        <w:right w:val="none" w:sz="0" w:space="0" w:color="auto"/>
      </w:divBdr>
      <w:divsChild>
        <w:div w:id="1683243007">
          <w:marLeft w:val="0"/>
          <w:marRight w:val="0"/>
          <w:marTop w:val="0"/>
          <w:marBottom w:val="0"/>
          <w:divBdr>
            <w:top w:val="none" w:sz="0" w:space="0" w:color="auto"/>
            <w:left w:val="none" w:sz="0" w:space="0" w:color="auto"/>
            <w:bottom w:val="none" w:sz="0" w:space="0" w:color="auto"/>
            <w:right w:val="none" w:sz="0" w:space="0" w:color="auto"/>
          </w:divBdr>
        </w:div>
        <w:div w:id="773283607">
          <w:marLeft w:val="0"/>
          <w:marRight w:val="0"/>
          <w:marTop w:val="0"/>
          <w:marBottom w:val="0"/>
          <w:divBdr>
            <w:top w:val="none" w:sz="0" w:space="0" w:color="auto"/>
            <w:left w:val="none" w:sz="0" w:space="0" w:color="auto"/>
            <w:bottom w:val="none" w:sz="0" w:space="0" w:color="auto"/>
            <w:right w:val="none" w:sz="0" w:space="0" w:color="auto"/>
          </w:divBdr>
        </w:div>
      </w:divsChild>
    </w:div>
    <w:div w:id="51317425">
      <w:marLeft w:val="0"/>
      <w:marRight w:val="0"/>
      <w:marTop w:val="0"/>
      <w:marBottom w:val="0"/>
      <w:divBdr>
        <w:top w:val="none" w:sz="0" w:space="0" w:color="auto"/>
        <w:left w:val="none" w:sz="0" w:space="0" w:color="auto"/>
        <w:bottom w:val="none" w:sz="0" w:space="0" w:color="auto"/>
        <w:right w:val="none" w:sz="0" w:space="0" w:color="auto"/>
      </w:divBdr>
    </w:div>
    <w:div w:id="51468126">
      <w:marLeft w:val="0"/>
      <w:marRight w:val="0"/>
      <w:marTop w:val="0"/>
      <w:marBottom w:val="0"/>
      <w:divBdr>
        <w:top w:val="none" w:sz="0" w:space="0" w:color="auto"/>
        <w:left w:val="none" w:sz="0" w:space="0" w:color="auto"/>
        <w:bottom w:val="none" w:sz="0" w:space="0" w:color="auto"/>
        <w:right w:val="none" w:sz="0" w:space="0" w:color="auto"/>
      </w:divBdr>
    </w:div>
    <w:div w:id="52891303">
      <w:marLeft w:val="0"/>
      <w:marRight w:val="0"/>
      <w:marTop w:val="0"/>
      <w:marBottom w:val="0"/>
      <w:divBdr>
        <w:top w:val="none" w:sz="0" w:space="0" w:color="auto"/>
        <w:left w:val="none" w:sz="0" w:space="0" w:color="auto"/>
        <w:bottom w:val="none" w:sz="0" w:space="0" w:color="auto"/>
        <w:right w:val="none" w:sz="0" w:space="0" w:color="auto"/>
      </w:divBdr>
      <w:divsChild>
        <w:div w:id="1768230543">
          <w:marLeft w:val="0"/>
          <w:marRight w:val="0"/>
          <w:marTop w:val="0"/>
          <w:marBottom w:val="0"/>
          <w:divBdr>
            <w:top w:val="none" w:sz="0" w:space="0" w:color="auto"/>
            <w:left w:val="none" w:sz="0" w:space="0" w:color="auto"/>
            <w:bottom w:val="none" w:sz="0" w:space="0" w:color="auto"/>
            <w:right w:val="none" w:sz="0" w:space="0" w:color="auto"/>
          </w:divBdr>
        </w:div>
        <w:div w:id="2138797630">
          <w:marLeft w:val="0"/>
          <w:marRight w:val="0"/>
          <w:marTop w:val="0"/>
          <w:marBottom w:val="0"/>
          <w:divBdr>
            <w:top w:val="none" w:sz="0" w:space="0" w:color="auto"/>
            <w:left w:val="none" w:sz="0" w:space="0" w:color="auto"/>
            <w:bottom w:val="none" w:sz="0" w:space="0" w:color="auto"/>
            <w:right w:val="none" w:sz="0" w:space="0" w:color="auto"/>
          </w:divBdr>
        </w:div>
      </w:divsChild>
    </w:div>
    <w:div w:id="53704938">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5248440">
      <w:marLeft w:val="0"/>
      <w:marRight w:val="0"/>
      <w:marTop w:val="0"/>
      <w:marBottom w:val="0"/>
      <w:divBdr>
        <w:top w:val="none" w:sz="0" w:space="0" w:color="auto"/>
        <w:left w:val="none" w:sz="0" w:space="0" w:color="auto"/>
        <w:bottom w:val="none" w:sz="0" w:space="0" w:color="auto"/>
        <w:right w:val="none" w:sz="0" w:space="0" w:color="auto"/>
      </w:divBdr>
    </w:div>
    <w:div w:id="55981321">
      <w:marLeft w:val="0"/>
      <w:marRight w:val="0"/>
      <w:marTop w:val="0"/>
      <w:marBottom w:val="0"/>
      <w:divBdr>
        <w:top w:val="none" w:sz="0" w:space="0" w:color="auto"/>
        <w:left w:val="none" w:sz="0" w:space="0" w:color="auto"/>
        <w:bottom w:val="none" w:sz="0" w:space="0" w:color="auto"/>
        <w:right w:val="none" w:sz="0" w:space="0" w:color="auto"/>
      </w:divBdr>
    </w:div>
    <w:div w:id="56249952">
      <w:marLeft w:val="0"/>
      <w:marRight w:val="0"/>
      <w:marTop w:val="0"/>
      <w:marBottom w:val="0"/>
      <w:divBdr>
        <w:top w:val="none" w:sz="0" w:space="0" w:color="auto"/>
        <w:left w:val="none" w:sz="0" w:space="0" w:color="auto"/>
        <w:bottom w:val="none" w:sz="0" w:space="0" w:color="auto"/>
        <w:right w:val="none" w:sz="0" w:space="0" w:color="auto"/>
      </w:divBdr>
    </w:div>
    <w:div w:id="57940396">
      <w:marLeft w:val="0"/>
      <w:marRight w:val="0"/>
      <w:marTop w:val="0"/>
      <w:marBottom w:val="0"/>
      <w:divBdr>
        <w:top w:val="none" w:sz="0" w:space="0" w:color="auto"/>
        <w:left w:val="none" w:sz="0" w:space="0" w:color="auto"/>
        <w:bottom w:val="none" w:sz="0" w:space="0" w:color="auto"/>
        <w:right w:val="none" w:sz="0" w:space="0" w:color="auto"/>
      </w:divBdr>
    </w:div>
    <w:div w:id="59058060">
      <w:marLeft w:val="0"/>
      <w:marRight w:val="0"/>
      <w:marTop w:val="0"/>
      <w:marBottom w:val="0"/>
      <w:divBdr>
        <w:top w:val="none" w:sz="0" w:space="0" w:color="auto"/>
        <w:left w:val="none" w:sz="0" w:space="0" w:color="auto"/>
        <w:bottom w:val="none" w:sz="0" w:space="0" w:color="auto"/>
        <w:right w:val="none" w:sz="0" w:space="0" w:color="auto"/>
      </w:divBdr>
    </w:div>
    <w:div w:id="59180691">
      <w:marLeft w:val="0"/>
      <w:marRight w:val="0"/>
      <w:marTop w:val="0"/>
      <w:marBottom w:val="0"/>
      <w:divBdr>
        <w:top w:val="none" w:sz="0" w:space="0" w:color="auto"/>
        <w:left w:val="none" w:sz="0" w:space="0" w:color="auto"/>
        <w:bottom w:val="none" w:sz="0" w:space="0" w:color="auto"/>
        <w:right w:val="none" w:sz="0" w:space="0" w:color="auto"/>
      </w:divBdr>
    </w:div>
    <w:div w:id="61608813">
      <w:marLeft w:val="0"/>
      <w:marRight w:val="0"/>
      <w:marTop w:val="0"/>
      <w:marBottom w:val="0"/>
      <w:divBdr>
        <w:top w:val="none" w:sz="0" w:space="0" w:color="auto"/>
        <w:left w:val="none" w:sz="0" w:space="0" w:color="auto"/>
        <w:bottom w:val="none" w:sz="0" w:space="0" w:color="auto"/>
        <w:right w:val="none" w:sz="0" w:space="0" w:color="auto"/>
      </w:divBdr>
    </w:div>
    <w:div w:id="62021590">
      <w:marLeft w:val="0"/>
      <w:marRight w:val="0"/>
      <w:marTop w:val="0"/>
      <w:marBottom w:val="0"/>
      <w:divBdr>
        <w:top w:val="none" w:sz="0" w:space="0" w:color="auto"/>
        <w:left w:val="none" w:sz="0" w:space="0" w:color="auto"/>
        <w:bottom w:val="none" w:sz="0" w:space="0" w:color="auto"/>
        <w:right w:val="none" w:sz="0" w:space="0" w:color="auto"/>
      </w:divBdr>
    </w:div>
    <w:div w:id="62487793">
      <w:marLeft w:val="0"/>
      <w:marRight w:val="0"/>
      <w:marTop w:val="0"/>
      <w:marBottom w:val="0"/>
      <w:divBdr>
        <w:top w:val="none" w:sz="0" w:space="0" w:color="auto"/>
        <w:left w:val="none" w:sz="0" w:space="0" w:color="auto"/>
        <w:bottom w:val="none" w:sz="0" w:space="0" w:color="auto"/>
        <w:right w:val="none" w:sz="0" w:space="0" w:color="auto"/>
      </w:divBdr>
    </w:div>
    <w:div w:id="62681611">
      <w:marLeft w:val="0"/>
      <w:marRight w:val="0"/>
      <w:marTop w:val="0"/>
      <w:marBottom w:val="0"/>
      <w:divBdr>
        <w:top w:val="none" w:sz="0" w:space="0" w:color="auto"/>
        <w:left w:val="none" w:sz="0" w:space="0" w:color="auto"/>
        <w:bottom w:val="none" w:sz="0" w:space="0" w:color="auto"/>
        <w:right w:val="none" w:sz="0" w:space="0" w:color="auto"/>
      </w:divBdr>
    </w:div>
    <w:div w:id="63727137">
      <w:marLeft w:val="0"/>
      <w:marRight w:val="0"/>
      <w:marTop w:val="0"/>
      <w:marBottom w:val="0"/>
      <w:divBdr>
        <w:top w:val="none" w:sz="0" w:space="0" w:color="auto"/>
        <w:left w:val="none" w:sz="0" w:space="0" w:color="auto"/>
        <w:bottom w:val="none" w:sz="0" w:space="0" w:color="auto"/>
        <w:right w:val="none" w:sz="0" w:space="0" w:color="auto"/>
      </w:divBdr>
    </w:div>
    <w:div w:id="66349450">
      <w:marLeft w:val="0"/>
      <w:marRight w:val="0"/>
      <w:marTop w:val="0"/>
      <w:marBottom w:val="0"/>
      <w:divBdr>
        <w:top w:val="none" w:sz="0" w:space="0" w:color="auto"/>
        <w:left w:val="none" w:sz="0" w:space="0" w:color="auto"/>
        <w:bottom w:val="none" w:sz="0" w:space="0" w:color="auto"/>
        <w:right w:val="none" w:sz="0" w:space="0" w:color="auto"/>
      </w:divBdr>
    </w:div>
    <w:div w:id="68844556">
      <w:marLeft w:val="0"/>
      <w:marRight w:val="0"/>
      <w:marTop w:val="0"/>
      <w:marBottom w:val="0"/>
      <w:divBdr>
        <w:top w:val="none" w:sz="0" w:space="0" w:color="auto"/>
        <w:left w:val="none" w:sz="0" w:space="0" w:color="auto"/>
        <w:bottom w:val="none" w:sz="0" w:space="0" w:color="auto"/>
        <w:right w:val="none" w:sz="0" w:space="0" w:color="auto"/>
      </w:divBdr>
    </w:div>
    <w:div w:id="75372510">
      <w:marLeft w:val="0"/>
      <w:marRight w:val="0"/>
      <w:marTop w:val="0"/>
      <w:marBottom w:val="0"/>
      <w:divBdr>
        <w:top w:val="none" w:sz="0" w:space="0" w:color="auto"/>
        <w:left w:val="none" w:sz="0" w:space="0" w:color="auto"/>
        <w:bottom w:val="none" w:sz="0" w:space="0" w:color="auto"/>
        <w:right w:val="none" w:sz="0" w:space="0" w:color="auto"/>
      </w:divBdr>
    </w:div>
    <w:div w:id="78063464">
      <w:marLeft w:val="0"/>
      <w:marRight w:val="0"/>
      <w:marTop w:val="0"/>
      <w:marBottom w:val="0"/>
      <w:divBdr>
        <w:top w:val="none" w:sz="0" w:space="0" w:color="auto"/>
        <w:left w:val="none" w:sz="0" w:space="0" w:color="auto"/>
        <w:bottom w:val="none" w:sz="0" w:space="0" w:color="auto"/>
        <w:right w:val="none" w:sz="0" w:space="0" w:color="auto"/>
      </w:divBdr>
    </w:div>
    <w:div w:id="80758822">
      <w:marLeft w:val="0"/>
      <w:marRight w:val="0"/>
      <w:marTop w:val="0"/>
      <w:marBottom w:val="0"/>
      <w:divBdr>
        <w:top w:val="none" w:sz="0" w:space="0" w:color="auto"/>
        <w:left w:val="none" w:sz="0" w:space="0" w:color="auto"/>
        <w:bottom w:val="none" w:sz="0" w:space="0" w:color="auto"/>
        <w:right w:val="none" w:sz="0" w:space="0" w:color="auto"/>
      </w:divBdr>
      <w:divsChild>
        <w:div w:id="1245991168">
          <w:marLeft w:val="0"/>
          <w:marRight w:val="0"/>
          <w:marTop w:val="0"/>
          <w:marBottom w:val="0"/>
          <w:divBdr>
            <w:top w:val="none" w:sz="0" w:space="0" w:color="auto"/>
            <w:left w:val="none" w:sz="0" w:space="0" w:color="auto"/>
            <w:bottom w:val="none" w:sz="0" w:space="0" w:color="auto"/>
            <w:right w:val="none" w:sz="0" w:space="0" w:color="auto"/>
          </w:divBdr>
        </w:div>
      </w:divsChild>
    </w:div>
    <w:div w:id="85620671">
      <w:marLeft w:val="0"/>
      <w:marRight w:val="0"/>
      <w:marTop w:val="0"/>
      <w:marBottom w:val="180"/>
      <w:divBdr>
        <w:top w:val="none" w:sz="0" w:space="0" w:color="auto"/>
        <w:left w:val="none" w:sz="0" w:space="0" w:color="auto"/>
        <w:bottom w:val="none" w:sz="0" w:space="0" w:color="auto"/>
        <w:right w:val="none" w:sz="0" w:space="0" w:color="auto"/>
      </w:divBdr>
    </w:div>
    <w:div w:id="87776038">
      <w:marLeft w:val="0"/>
      <w:marRight w:val="0"/>
      <w:marTop w:val="0"/>
      <w:marBottom w:val="0"/>
      <w:divBdr>
        <w:top w:val="none" w:sz="0" w:space="0" w:color="auto"/>
        <w:left w:val="none" w:sz="0" w:space="0" w:color="auto"/>
        <w:bottom w:val="none" w:sz="0" w:space="0" w:color="auto"/>
        <w:right w:val="none" w:sz="0" w:space="0" w:color="auto"/>
      </w:divBdr>
    </w:div>
    <w:div w:id="89005563">
      <w:marLeft w:val="0"/>
      <w:marRight w:val="0"/>
      <w:marTop w:val="0"/>
      <w:marBottom w:val="0"/>
      <w:divBdr>
        <w:top w:val="none" w:sz="0" w:space="0" w:color="auto"/>
        <w:left w:val="none" w:sz="0" w:space="0" w:color="auto"/>
        <w:bottom w:val="none" w:sz="0" w:space="0" w:color="auto"/>
        <w:right w:val="none" w:sz="0" w:space="0" w:color="auto"/>
      </w:divBdr>
    </w:div>
    <w:div w:id="94249504">
      <w:marLeft w:val="0"/>
      <w:marRight w:val="0"/>
      <w:marTop w:val="0"/>
      <w:marBottom w:val="0"/>
      <w:divBdr>
        <w:top w:val="none" w:sz="0" w:space="0" w:color="auto"/>
        <w:left w:val="none" w:sz="0" w:space="0" w:color="auto"/>
        <w:bottom w:val="none" w:sz="0" w:space="0" w:color="auto"/>
        <w:right w:val="none" w:sz="0" w:space="0" w:color="auto"/>
      </w:divBdr>
    </w:div>
    <w:div w:id="94833873">
      <w:marLeft w:val="0"/>
      <w:marRight w:val="0"/>
      <w:marTop w:val="0"/>
      <w:marBottom w:val="0"/>
      <w:divBdr>
        <w:top w:val="none" w:sz="0" w:space="0" w:color="auto"/>
        <w:left w:val="none" w:sz="0" w:space="0" w:color="auto"/>
        <w:bottom w:val="none" w:sz="0" w:space="0" w:color="auto"/>
        <w:right w:val="none" w:sz="0" w:space="0" w:color="auto"/>
      </w:divBdr>
    </w:div>
    <w:div w:id="100028358">
      <w:marLeft w:val="0"/>
      <w:marRight w:val="0"/>
      <w:marTop w:val="0"/>
      <w:marBottom w:val="0"/>
      <w:divBdr>
        <w:top w:val="none" w:sz="0" w:space="0" w:color="auto"/>
        <w:left w:val="none" w:sz="0" w:space="0" w:color="auto"/>
        <w:bottom w:val="none" w:sz="0" w:space="0" w:color="auto"/>
        <w:right w:val="none" w:sz="0" w:space="0" w:color="auto"/>
      </w:divBdr>
    </w:div>
    <w:div w:id="101727788">
      <w:marLeft w:val="0"/>
      <w:marRight w:val="0"/>
      <w:marTop w:val="0"/>
      <w:marBottom w:val="0"/>
      <w:divBdr>
        <w:top w:val="none" w:sz="0" w:space="0" w:color="auto"/>
        <w:left w:val="none" w:sz="0" w:space="0" w:color="auto"/>
        <w:bottom w:val="none" w:sz="0" w:space="0" w:color="auto"/>
        <w:right w:val="none" w:sz="0" w:space="0" w:color="auto"/>
      </w:divBdr>
    </w:div>
    <w:div w:id="102304903">
      <w:marLeft w:val="0"/>
      <w:marRight w:val="0"/>
      <w:marTop w:val="0"/>
      <w:marBottom w:val="0"/>
      <w:divBdr>
        <w:top w:val="none" w:sz="0" w:space="0" w:color="auto"/>
        <w:left w:val="none" w:sz="0" w:space="0" w:color="auto"/>
        <w:bottom w:val="none" w:sz="0" w:space="0" w:color="auto"/>
        <w:right w:val="none" w:sz="0" w:space="0" w:color="auto"/>
      </w:divBdr>
    </w:div>
    <w:div w:id="104232272">
      <w:marLeft w:val="0"/>
      <w:marRight w:val="0"/>
      <w:marTop w:val="0"/>
      <w:marBottom w:val="0"/>
      <w:divBdr>
        <w:top w:val="none" w:sz="0" w:space="0" w:color="auto"/>
        <w:left w:val="none" w:sz="0" w:space="0" w:color="auto"/>
        <w:bottom w:val="none" w:sz="0" w:space="0" w:color="auto"/>
        <w:right w:val="none" w:sz="0" w:space="0" w:color="auto"/>
      </w:divBdr>
    </w:div>
    <w:div w:id="106002435">
      <w:marLeft w:val="0"/>
      <w:marRight w:val="0"/>
      <w:marTop w:val="0"/>
      <w:marBottom w:val="0"/>
      <w:divBdr>
        <w:top w:val="none" w:sz="0" w:space="0" w:color="auto"/>
        <w:left w:val="none" w:sz="0" w:space="0" w:color="auto"/>
        <w:bottom w:val="none" w:sz="0" w:space="0" w:color="auto"/>
        <w:right w:val="none" w:sz="0" w:space="0" w:color="auto"/>
      </w:divBdr>
    </w:div>
    <w:div w:id="107163328">
      <w:marLeft w:val="0"/>
      <w:marRight w:val="0"/>
      <w:marTop w:val="0"/>
      <w:marBottom w:val="0"/>
      <w:divBdr>
        <w:top w:val="none" w:sz="0" w:space="0" w:color="auto"/>
        <w:left w:val="none" w:sz="0" w:space="0" w:color="auto"/>
        <w:bottom w:val="none" w:sz="0" w:space="0" w:color="auto"/>
        <w:right w:val="none" w:sz="0" w:space="0" w:color="auto"/>
      </w:divBdr>
    </w:div>
    <w:div w:id="109058186">
      <w:marLeft w:val="0"/>
      <w:marRight w:val="0"/>
      <w:marTop w:val="0"/>
      <w:marBottom w:val="0"/>
      <w:divBdr>
        <w:top w:val="none" w:sz="0" w:space="0" w:color="auto"/>
        <w:left w:val="none" w:sz="0" w:space="0" w:color="auto"/>
        <w:bottom w:val="none" w:sz="0" w:space="0" w:color="auto"/>
        <w:right w:val="none" w:sz="0" w:space="0" w:color="auto"/>
      </w:divBdr>
    </w:div>
    <w:div w:id="117647832">
      <w:marLeft w:val="0"/>
      <w:marRight w:val="0"/>
      <w:marTop w:val="0"/>
      <w:marBottom w:val="0"/>
      <w:divBdr>
        <w:top w:val="none" w:sz="0" w:space="0" w:color="auto"/>
        <w:left w:val="none" w:sz="0" w:space="0" w:color="auto"/>
        <w:bottom w:val="none" w:sz="0" w:space="0" w:color="auto"/>
        <w:right w:val="none" w:sz="0" w:space="0" w:color="auto"/>
      </w:divBdr>
    </w:div>
    <w:div w:id="118962801">
      <w:marLeft w:val="0"/>
      <w:marRight w:val="0"/>
      <w:marTop w:val="0"/>
      <w:marBottom w:val="0"/>
      <w:divBdr>
        <w:top w:val="none" w:sz="0" w:space="0" w:color="auto"/>
        <w:left w:val="none" w:sz="0" w:space="0" w:color="auto"/>
        <w:bottom w:val="none" w:sz="0" w:space="0" w:color="auto"/>
        <w:right w:val="none" w:sz="0" w:space="0" w:color="auto"/>
      </w:divBdr>
    </w:div>
    <w:div w:id="120347509">
      <w:marLeft w:val="0"/>
      <w:marRight w:val="0"/>
      <w:marTop w:val="0"/>
      <w:marBottom w:val="0"/>
      <w:divBdr>
        <w:top w:val="none" w:sz="0" w:space="0" w:color="auto"/>
        <w:left w:val="none" w:sz="0" w:space="0" w:color="auto"/>
        <w:bottom w:val="none" w:sz="0" w:space="0" w:color="auto"/>
        <w:right w:val="none" w:sz="0" w:space="0" w:color="auto"/>
      </w:divBdr>
    </w:div>
    <w:div w:id="122694974">
      <w:marLeft w:val="0"/>
      <w:marRight w:val="0"/>
      <w:marTop w:val="0"/>
      <w:marBottom w:val="0"/>
      <w:divBdr>
        <w:top w:val="none" w:sz="0" w:space="0" w:color="auto"/>
        <w:left w:val="none" w:sz="0" w:space="0" w:color="auto"/>
        <w:bottom w:val="none" w:sz="0" w:space="0" w:color="auto"/>
        <w:right w:val="none" w:sz="0" w:space="0" w:color="auto"/>
      </w:divBdr>
    </w:div>
    <w:div w:id="125128953">
      <w:marLeft w:val="0"/>
      <w:marRight w:val="0"/>
      <w:marTop w:val="0"/>
      <w:marBottom w:val="0"/>
      <w:divBdr>
        <w:top w:val="none" w:sz="0" w:space="0" w:color="auto"/>
        <w:left w:val="none" w:sz="0" w:space="0" w:color="auto"/>
        <w:bottom w:val="none" w:sz="0" w:space="0" w:color="auto"/>
        <w:right w:val="none" w:sz="0" w:space="0" w:color="auto"/>
      </w:divBdr>
    </w:div>
    <w:div w:id="129397567">
      <w:marLeft w:val="0"/>
      <w:marRight w:val="0"/>
      <w:marTop w:val="0"/>
      <w:marBottom w:val="0"/>
      <w:divBdr>
        <w:top w:val="none" w:sz="0" w:space="0" w:color="auto"/>
        <w:left w:val="none" w:sz="0" w:space="0" w:color="auto"/>
        <w:bottom w:val="none" w:sz="0" w:space="0" w:color="auto"/>
        <w:right w:val="none" w:sz="0" w:space="0" w:color="auto"/>
      </w:divBdr>
    </w:div>
    <w:div w:id="130294838">
      <w:marLeft w:val="0"/>
      <w:marRight w:val="0"/>
      <w:marTop w:val="0"/>
      <w:marBottom w:val="0"/>
      <w:divBdr>
        <w:top w:val="none" w:sz="0" w:space="0" w:color="auto"/>
        <w:left w:val="none" w:sz="0" w:space="0" w:color="auto"/>
        <w:bottom w:val="none" w:sz="0" w:space="0" w:color="auto"/>
        <w:right w:val="none" w:sz="0" w:space="0" w:color="auto"/>
      </w:divBdr>
    </w:div>
    <w:div w:id="135417582">
      <w:marLeft w:val="0"/>
      <w:marRight w:val="0"/>
      <w:marTop w:val="0"/>
      <w:marBottom w:val="0"/>
      <w:divBdr>
        <w:top w:val="none" w:sz="0" w:space="0" w:color="auto"/>
        <w:left w:val="none" w:sz="0" w:space="0" w:color="auto"/>
        <w:bottom w:val="none" w:sz="0" w:space="0" w:color="auto"/>
        <w:right w:val="none" w:sz="0" w:space="0" w:color="auto"/>
      </w:divBdr>
    </w:div>
    <w:div w:id="137963918">
      <w:marLeft w:val="0"/>
      <w:marRight w:val="0"/>
      <w:marTop w:val="0"/>
      <w:marBottom w:val="0"/>
      <w:divBdr>
        <w:top w:val="none" w:sz="0" w:space="0" w:color="auto"/>
        <w:left w:val="none" w:sz="0" w:space="0" w:color="auto"/>
        <w:bottom w:val="none" w:sz="0" w:space="0" w:color="auto"/>
        <w:right w:val="none" w:sz="0" w:space="0" w:color="auto"/>
      </w:divBdr>
    </w:div>
    <w:div w:id="139855288">
      <w:marLeft w:val="0"/>
      <w:marRight w:val="0"/>
      <w:marTop w:val="0"/>
      <w:marBottom w:val="0"/>
      <w:divBdr>
        <w:top w:val="none" w:sz="0" w:space="0" w:color="auto"/>
        <w:left w:val="none" w:sz="0" w:space="0" w:color="auto"/>
        <w:bottom w:val="none" w:sz="0" w:space="0" w:color="auto"/>
        <w:right w:val="none" w:sz="0" w:space="0" w:color="auto"/>
      </w:divBdr>
    </w:div>
    <w:div w:id="140317891">
      <w:marLeft w:val="0"/>
      <w:marRight w:val="0"/>
      <w:marTop w:val="0"/>
      <w:marBottom w:val="0"/>
      <w:divBdr>
        <w:top w:val="none" w:sz="0" w:space="0" w:color="auto"/>
        <w:left w:val="none" w:sz="0" w:space="0" w:color="auto"/>
        <w:bottom w:val="none" w:sz="0" w:space="0" w:color="auto"/>
        <w:right w:val="none" w:sz="0" w:space="0" w:color="auto"/>
      </w:divBdr>
    </w:div>
    <w:div w:id="141431105">
      <w:marLeft w:val="0"/>
      <w:marRight w:val="0"/>
      <w:marTop w:val="0"/>
      <w:marBottom w:val="0"/>
      <w:divBdr>
        <w:top w:val="none" w:sz="0" w:space="0" w:color="auto"/>
        <w:left w:val="none" w:sz="0" w:space="0" w:color="auto"/>
        <w:bottom w:val="none" w:sz="0" w:space="0" w:color="auto"/>
        <w:right w:val="none" w:sz="0" w:space="0" w:color="auto"/>
      </w:divBdr>
    </w:div>
    <w:div w:id="141626499">
      <w:marLeft w:val="0"/>
      <w:marRight w:val="0"/>
      <w:marTop w:val="0"/>
      <w:marBottom w:val="0"/>
      <w:divBdr>
        <w:top w:val="none" w:sz="0" w:space="0" w:color="auto"/>
        <w:left w:val="none" w:sz="0" w:space="0" w:color="auto"/>
        <w:bottom w:val="none" w:sz="0" w:space="0" w:color="auto"/>
        <w:right w:val="none" w:sz="0" w:space="0" w:color="auto"/>
      </w:divBdr>
    </w:div>
    <w:div w:id="150491700">
      <w:marLeft w:val="0"/>
      <w:marRight w:val="0"/>
      <w:marTop w:val="0"/>
      <w:marBottom w:val="0"/>
      <w:divBdr>
        <w:top w:val="none" w:sz="0" w:space="0" w:color="auto"/>
        <w:left w:val="none" w:sz="0" w:space="0" w:color="auto"/>
        <w:bottom w:val="none" w:sz="0" w:space="0" w:color="auto"/>
        <w:right w:val="none" w:sz="0" w:space="0" w:color="auto"/>
      </w:divBdr>
    </w:div>
    <w:div w:id="154299946">
      <w:marLeft w:val="0"/>
      <w:marRight w:val="0"/>
      <w:marTop w:val="0"/>
      <w:marBottom w:val="0"/>
      <w:divBdr>
        <w:top w:val="none" w:sz="0" w:space="0" w:color="auto"/>
        <w:left w:val="none" w:sz="0" w:space="0" w:color="auto"/>
        <w:bottom w:val="none" w:sz="0" w:space="0" w:color="auto"/>
        <w:right w:val="none" w:sz="0" w:space="0" w:color="auto"/>
      </w:divBdr>
    </w:div>
    <w:div w:id="156115992">
      <w:marLeft w:val="0"/>
      <w:marRight w:val="0"/>
      <w:marTop w:val="0"/>
      <w:marBottom w:val="0"/>
      <w:divBdr>
        <w:top w:val="none" w:sz="0" w:space="0" w:color="auto"/>
        <w:left w:val="none" w:sz="0" w:space="0" w:color="auto"/>
        <w:bottom w:val="none" w:sz="0" w:space="0" w:color="auto"/>
        <w:right w:val="none" w:sz="0" w:space="0" w:color="auto"/>
      </w:divBdr>
    </w:div>
    <w:div w:id="157380136">
      <w:marLeft w:val="0"/>
      <w:marRight w:val="0"/>
      <w:marTop w:val="0"/>
      <w:marBottom w:val="0"/>
      <w:divBdr>
        <w:top w:val="none" w:sz="0" w:space="0" w:color="auto"/>
        <w:left w:val="none" w:sz="0" w:space="0" w:color="auto"/>
        <w:bottom w:val="none" w:sz="0" w:space="0" w:color="auto"/>
        <w:right w:val="none" w:sz="0" w:space="0" w:color="auto"/>
      </w:divBdr>
    </w:div>
    <w:div w:id="157699488">
      <w:marLeft w:val="0"/>
      <w:marRight w:val="0"/>
      <w:marTop w:val="0"/>
      <w:marBottom w:val="0"/>
      <w:divBdr>
        <w:top w:val="none" w:sz="0" w:space="0" w:color="auto"/>
        <w:left w:val="none" w:sz="0" w:space="0" w:color="auto"/>
        <w:bottom w:val="none" w:sz="0" w:space="0" w:color="auto"/>
        <w:right w:val="none" w:sz="0" w:space="0" w:color="auto"/>
      </w:divBdr>
    </w:div>
    <w:div w:id="158542973">
      <w:marLeft w:val="0"/>
      <w:marRight w:val="0"/>
      <w:marTop w:val="0"/>
      <w:marBottom w:val="0"/>
      <w:divBdr>
        <w:top w:val="none" w:sz="0" w:space="0" w:color="auto"/>
        <w:left w:val="none" w:sz="0" w:space="0" w:color="auto"/>
        <w:bottom w:val="none" w:sz="0" w:space="0" w:color="auto"/>
        <w:right w:val="none" w:sz="0" w:space="0" w:color="auto"/>
      </w:divBdr>
    </w:div>
    <w:div w:id="160434637">
      <w:marLeft w:val="0"/>
      <w:marRight w:val="0"/>
      <w:marTop w:val="0"/>
      <w:marBottom w:val="0"/>
      <w:divBdr>
        <w:top w:val="none" w:sz="0" w:space="0" w:color="auto"/>
        <w:left w:val="none" w:sz="0" w:space="0" w:color="auto"/>
        <w:bottom w:val="none" w:sz="0" w:space="0" w:color="auto"/>
        <w:right w:val="none" w:sz="0" w:space="0" w:color="auto"/>
      </w:divBdr>
    </w:div>
    <w:div w:id="162014863">
      <w:marLeft w:val="0"/>
      <w:marRight w:val="0"/>
      <w:marTop w:val="0"/>
      <w:marBottom w:val="0"/>
      <w:divBdr>
        <w:top w:val="none" w:sz="0" w:space="0" w:color="auto"/>
        <w:left w:val="none" w:sz="0" w:space="0" w:color="auto"/>
        <w:bottom w:val="none" w:sz="0" w:space="0" w:color="auto"/>
        <w:right w:val="none" w:sz="0" w:space="0" w:color="auto"/>
      </w:divBdr>
    </w:div>
    <w:div w:id="162598155">
      <w:marLeft w:val="0"/>
      <w:marRight w:val="0"/>
      <w:marTop w:val="0"/>
      <w:marBottom w:val="0"/>
      <w:divBdr>
        <w:top w:val="none" w:sz="0" w:space="0" w:color="auto"/>
        <w:left w:val="none" w:sz="0" w:space="0" w:color="auto"/>
        <w:bottom w:val="none" w:sz="0" w:space="0" w:color="auto"/>
        <w:right w:val="none" w:sz="0" w:space="0" w:color="auto"/>
      </w:divBdr>
    </w:div>
    <w:div w:id="167015387">
      <w:marLeft w:val="0"/>
      <w:marRight w:val="0"/>
      <w:marTop w:val="0"/>
      <w:marBottom w:val="0"/>
      <w:divBdr>
        <w:top w:val="none" w:sz="0" w:space="0" w:color="auto"/>
        <w:left w:val="none" w:sz="0" w:space="0" w:color="auto"/>
        <w:bottom w:val="none" w:sz="0" w:space="0" w:color="auto"/>
        <w:right w:val="none" w:sz="0" w:space="0" w:color="auto"/>
      </w:divBdr>
    </w:div>
    <w:div w:id="167140807">
      <w:marLeft w:val="0"/>
      <w:marRight w:val="0"/>
      <w:marTop w:val="0"/>
      <w:marBottom w:val="0"/>
      <w:divBdr>
        <w:top w:val="none" w:sz="0" w:space="0" w:color="auto"/>
        <w:left w:val="none" w:sz="0" w:space="0" w:color="auto"/>
        <w:bottom w:val="none" w:sz="0" w:space="0" w:color="auto"/>
        <w:right w:val="none" w:sz="0" w:space="0" w:color="auto"/>
      </w:divBdr>
    </w:div>
    <w:div w:id="171798166">
      <w:marLeft w:val="0"/>
      <w:marRight w:val="0"/>
      <w:marTop w:val="0"/>
      <w:marBottom w:val="0"/>
      <w:divBdr>
        <w:top w:val="none" w:sz="0" w:space="0" w:color="auto"/>
        <w:left w:val="none" w:sz="0" w:space="0" w:color="auto"/>
        <w:bottom w:val="none" w:sz="0" w:space="0" w:color="auto"/>
        <w:right w:val="none" w:sz="0" w:space="0" w:color="auto"/>
      </w:divBdr>
    </w:div>
    <w:div w:id="172114491">
      <w:marLeft w:val="0"/>
      <w:marRight w:val="0"/>
      <w:marTop w:val="0"/>
      <w:marBottom w:val="0"/>
      <w:divBdr>
        <w:top w:val="none" w:sz="0" w:space="0" w:color="auto"/>
        <w:left w:val="none" w:sz="0" w:space="0" w:color="auto"/>
        <w:bottom w:val="none" w:sz="0" w:space="0" w:color="auto"/>
        <w:right w:val="none" w:sz="0" w:space="0" w:color="auto"/>
      </w:divBdr>
    </w:div>
    <w:div w:id="178667058">
      <w:marLeft w:val="0"/>
      <w:marRight w:val="0"/>
      <w:marTop w:val="0"/>
      <w:marBottom w:val="0"/>
      <w:divBdr>
        <w:top w:val="none" w:sz="0" w:space="0" w:color="auto"/>
        <w:left w:val="none" w:sz="0" w:space="0" w:color="auto"/>
        <w:bottom w:val="none" w:sz="0" w:space="0" w:color="auto"/>
        <w:right w:val="none" w:sz="0" w:space="0" w:color="auto"/>
      </w:divBdr>
      <w:divsChild>
        <w:div w:id="1114713135">
          <w:marLeft w:val="0"/>
          <w:marRight w:val="0"/>
          <w:marTop w:val="0"/>
          <w:marBottom w:val="0"/>
          <w:divBdr>
            <w:top w:val="none" w:sz="0" w:space="0" w:color="auto"/>
            <w:left w:val="none" w:sz="0" w:space="0" w:color="auto"/>
            <w:bottom w:val="none" w:sz="0" w:space="0" w:color="auto"/>
            <w:right w:val="none" w:sz="0" w:space="0" w:color="auto"/>
          </w:divBdr>
        </w:div>
      </w:divsChild>
    </w:div>
    <w:div w:id="178862267">
      <w:marLeft w:val="0"/>
      <w:marRight w:val="0"/>
      <w:marTop w:val="0"/>
      <w:marBottom w:val="0"/>
      <w:divBdr>
        <w:top w:val="none" w:sz="0" w:space="0" w:color="auto"/>
        <w:left w:val="none" w:sz="0" w:space="0" w:color="auto"/>
        <w:bottom w:val="none" w:sz="0" w:space="0" w:color="auto"/>
        <w:right w:val="none" w:sz="0" w:space="0" w:color="auto"/>
      </w:divBdr>
      <w:divsChild>
        <w:div w:id="1101299524">
          <w:marLeft w:val="0"/>
          <w:marRight w:val="0"/>
          <w:marTop w:val="0"/>
          <w:marBottom w:val="0"/>
          <w:divBdr>
            <w:top w:val="none" w:sz="0" w:space="0" w:color="auto"/>
            <w:left w:val="none" w:sz="0" w:space="0" w:color="auto"/>
            <w:bottom w:val="none" w:sz="0" w:space="0" w:color="auto"/>
            <w:right w:val="none" w:sz="0" w:space="0" w:color="auto"/>
          </w:divBdr>
        </w:div>
      </w:divsChild>
    </w:div>
    <w:div w:id="179512510">
      <w:marLeft w:val="0"/>
      <w:marRight w:val="0"/>
      <w:marTop w:val="0"/>
      <w:marBottom w:val="0"/>
      <w:divBdr>
        <w:top w:val="none" w:sz="0" w:space="0" w:color="auto"/>
        <w:left w:val="none" w:sz="0" w:space="0" w:color="auto"/>
        <w:bottom w:val="none" w:sz="0" w:space="0" w:color="auto"/>
        <w:right w:val="none" w:sz="0" w:space="0" w:color="auto"/>
      </w:divBdr>
    </w:div>
    <w:div w:id="182017173">
      <w:marLeft w:val="0"/>
      <w:marRight w:val="0"/>
      <w:marTop w:val="0"/>
      <w:marBottom w:val="0"/>
      <w:divBdr>
        <w:top w:val="none" w:sz="0" w:space="0" w:color="auto"/>
        <w:left w:val="none" w:sz="0" w:space="0" w:color="auto"/>
        <w:bottom w:val="none" w:sz="0" w:space="0" w:color="auto"/>
        <w:right w:val="none" w:sz="0" w:space="0" w:color="auto"/>
      </w:divBdr>
    </w:div>
    <w:div w:id="182331539">
      <w:marLeft w:val="0"/>
      <w:marRight w:val="0"/>
      <w:marTop w:val="0"/>
      <w:marBottom w:val="0"/>
      <w:divBdr>
        <w:top w:val="none" w:sz="0" w:space="0" w:color="auto"/>
        <w:left w:val="none" w:sz="0" w:space="0" w:color="auto"/>
        <w:bottom w:val="none" w:sz="0" w:space="0" w:color="auto"/>
        <w:right w:val="none" w:sz="0" w:space="0" w:color="auto"/>
      </w:divBdr>
    </w:div>
    <w:div w:id="183440890">
      <w:marLeft w:val="0"/>
      <w:marRight w:val="0"/>
      <w:marTop w:val="0"/>
      <w:marBottom w:val="0"/>
      <w:divBdr>
        <w:top w:val="none" w:sz="0" w:space="0" w:color="auto"/>
        <w:left w:val="none" w:sz="0" w:space="0" w:color="auto"/>
        <w:bottom w:val="none" w:sz="0" w:space="0" w:color="auto"/>
        <w:right w:val="none" w:sz="0" w:space="0" w:color="auto"/>
      </w:divBdr>
      <w:divsChild>
        <w:div w:id="1307708520">
          <w:marLeft w:val="0"/>
          <w:marRight w:val="0"/>
          <w:marTop w:val="0"/>
          <w:marBottom w:val="0"/>
          <w:divBdr>
            <w:top w:val="none" w:sz="0" w:space="0" w:color="auto"/>
            <w:left w:val="none" w:sz="0" w:space="0" w:color="auto"/>
            <w:bottom w:val="none" w:sz="0" w:space="0" w:color="auto"/>
            <w:right w:val="none" w:sz="0" w:space="0" w:color="auto"/>
          </w:divBdr>
        </w:div>
      </w:divsChild>
    </w:div>
    <w:div w:id="186211816">
      <w:marLeft w:val="0"/>
      <w:marRight w:val="0"/>
      <w:marTop w:val="0"/>
      <w:marBottom w:val="0"/>
      <w:divBdr>
        <w:top w:val="none" w:sz="0" w:space="0" w:color="auto"/>
        <w:left w:val="none" w:sz="0" w:space="0" w:color="auto"/>
        <w:bottom w:val="none" w:sz="0" w:space="0" w:color="auto"/>
        <w:right w:val="none" w:sz="0" w:space="0" w:color="auto"/>
      </w:divBdr>
    </w:div>
    <w:div w:id="186215298">
      <w:marLeft w:val="0"/>
      <w:marRight w:val="0"/>
      <w:marTop w:val="0"/>
      <w:marBottom w:val="0"/>
      <w:divBdr>
        <w:top w:val="none" w:sz="0" w:space="0" w:color="auto"/>
        <w:left w:val="none" w:sz="0" w:space="0" w:color="auto"/>
        <w:bottom w:val="none" w:sz="0" w:space="0" w:color="auto"/>
        <w:right w:val="none" w:sz="0" w:space="0" w:color="auto"/>
      </w:divBdr>
    </w:div>
    <w:div w:id="187107037">
      <w:marLeft w:val="0"/>
      <w:marRight w:val="0"/>
      <w:marTop w:val="0"/>
      <w:marBottom w:val="0"/>
      <w:divBdr>
        <w:top w:val="none" w:sz="0" w:space="0" w:color="auto"/>
        <w:left w:val="none" w:sz="0" w:space="0" w:color="auto"/>
        <w:bottom w:val="none" w:sz="0" w:space="0" w:color="auto"/>
        <w:right w:val="none" w:sz="0" w:space="0" w:color="auto"/>
      </w:divBdr>
    </w:div>
    <w:div w:id="187765009">
      <w:marLeft w:val="0"/>
      <w:marRight w:val="0"/>
      <w:marTop w:val="0"/>
      <w:marBottom w:val="0"/>
      <w:divBdr>
        <w:top w:val="none" w:sz="0" w:space="0" w:color="auto"/>
        <w:left w:val="none" w:sz="0" w:space="0" w:color="auto"/>
        <w:bottom w:val="none" w:sz="0" w:space="0" w:color="auto"/>
        <w:right w:val="none" w:sz="0" w:space="0" w:color="auto"/>
      </w:divBdr>
    </w:div>
    <w:div w:id="188181390">
      <w:marLeft w:val="0"/>
      <w:marRight w:val="0"/>
      <w:marTop w:val="0"/>
      <w:marBottom w:val="0"/>
      <w:divBdr>
        <w:top w:val="none" w:sz="0" w:space="0" w:color="auto"/>
        <w:left w:val="none" w:sz="0" w:space="0" w:color="auto"/>
        <w:bottom w:val="none" w:sz="0" w:space="0" w:color="auto"/>
        <w:right w:val="none" w:sz="0" w:space="0" w:color="auto"/>
      </w:divBdr>
    </w:div>
    <w:div w:id="188613267">
      <w:marLeft w:val="0"/>
      <w:marRight w:val="0"/>
      <w:marTop w:val="0"/>
      <w:marBottom w:val="0"/>
      <w:divBdr>
        <w:top w:val="none" w:sz="0" w:space="0" w:color="auto"/>
        <w:left w:val="none" w:sz="0" w:space="0" w:color="auto"/>
        <w:bottom w:val="none" w:sz="0" w:space="0" w:color="auto"/>
        <w:right w:val="none" w:sz="0" w:space="0" w:color="auto"/>
      </w:divBdr>
    </w:div>
    <w:div w:id="188765226">
      <w:marLeft w:val="0"/>
      <w:marRight w:val="0"/>
      <w:marTop w:val="0"/>
      <w:marBottom w:val="0"/>
      <w:divBdr>
        <w:top w:val="none" w:sz="0" w:space="0" w:color="auto"/>
        <w:left w:val="none" w:sz="0" w:space="0" w:color="auto"/>
        <w:bottom w:val="none" w:sz="0" w:space="0" w:color="auto"/>
        <w:right w:val="none" w:sz="0" w:space="0" w:color="auto"/>
      </w:divBdr>
    </w:div>
    <w:div w:id="191653261">
      <w:marLeft w:val="0"/>
      <w:marRight w:val="0"/>
      <w:marTop w:val="0"/>
      <w:marBottom w:val="0"/>
      <w:divBdr>
        <w:top w:val="none" w:sz="0" w:space="0" w:color="auto"/>
        <w:left w:val="none" w:sz="0" w:space="0" w:color="auto"/>
        <w:bottom w:val="none" w:sz="0" w:space="0" w:color="auto"/>
        <w:right w:val="none" w:sz="0" w:space="0" w:color="auto"/>
      </w:divBdr>
    </w:div>
    <w:div w:id="192966876">
      <w:marLeft w:val="0"/>
      <w:marRight w:val="0"/>
      <w:marTop w:val="0"/>
      <w:marBottom w:val="0"/>
      <w:divBdr>
        <w:top w:val="none" w:sz="0" w:space="0" w:color="auto"/>
        <w:left w:val="none" w:sz="0" w:space="0" w:color="auto"/>
        <w:bottom w:val="none" w:sz="0" w:space="0" w:color="auto"/>
        <w:right w:val="none" w:sz="0" w:space="0" w:color="auto"/>
      </w:divBdr>
    </w:div>
    <w:div w:id="194196276">
      <w:marLeft w:val="0"/>
      <w:marRight w:val="0"/>
      <w:marTop w:val="0"/>
      <w:marBottom w:val="0"/>
      <w:divBdr>
        <w:top w:val="none" w:sz="0" w:space="0" w:color="auto"/>
        <w:left w:val="none" w:sz="0" w:space="0" w:color="auto"/>
        <w:bottom w:val="none" w:sz="0" w:space="0" w:color="auto"/>
        <w:right w:val="none" w:sz="0" w:space="0" w:color="auto"/>
      </w:divBdr>
      <w:divsChild>
        <w:div w:id="1758481677">
          <w:marLeft w:val="0"/>
          <w:marRight w:val="0"/>
          <w:marTop w:val="0"/>
          <w:marBottom w:val="0"/>
          <w:divBdr>
            <w:top w:val="none" w:sz="0" w:space="0" w:color="auto"/>
            <w:left w:val="none" w:sz="0" w:space="0" w:color="auto"/>
            <w:bottom w:val="none" w:sz="0" w:space="0" w:color="auto"/>
            <w:right w:val="none" w:sz="0" w:space="0" w:color="auto"/>
          </w:divBdr>
        </w:div>
      </w:divsChild>
    </w:div>
    <w:div w:id="195042753">
      <w:marLeft w:val="0"/>
      <w:marRight w:val="0"/>
      <w:marTop w:val="0"/>
      <w:marBottom w:val="0"/>
      <w:divBdr>
        <w:top w:val="none" w:sz="0" w:space="0" w:color="auto"/>
        <w:left w:val="none" w:sz="0" w:space="0" w:color="auto"/>
        <w:bottom w:val="none" w:sz="0" w:space="0" w:color="auto"/>
        <w:right w:val="none" w:sz="0" w:space="0" w:color="auto"/>
      </w:divBdr>
    </w:div>
    <w:div w:id="201987028">
      <w:marLeft w:val="0"/>
      <w:marRight w:val="0"/>
      <w:marTop w:val="100"/>
      <w:marBottom w:val="80"/>
      <w:divBdr>
        <w:top w:val="none" w:sz="0" w:space="0" w:color="auto"/>
        <w:left w:val="none" w:sz="0" w:space="0" w:color="auto"/>
        <w:bottom w:val="none" w:sz="0" w:space="0" w:color="auto"/>
        <w:right w:val="none" w:sz="0" w:space="0" w:color="auto"/>
      </w:divBdr>
    </w:div>
    <w:div w:id="202451308">
      <w:marLeft w:val="0"/>
      <w:marRight w:val="0"/>
      <w:marTop w:val="0"/>
      <w:marBottom w:val="0"/>
      <w:divBdr>
        <w:top w:val="none" w:sz="0" w:space="0" w:color="auto"/>
        <w:left w:val="none" w:sz="0" w:space="0" w:color="auto"/>
        <w:bottom w:val="none" w:sz="0" w:space="0" w:color="auto"/>
        <w:right w:val="none" w:sz="0" w:space="0" w:color="auto"/>
      </w:divBdr>
    </w:div>
    <w:div w:id="209195452">
      <w:marLeft w:val="0"/>
      <w:marRight w:val="0"/>
      <w:marTop w:val="0"/>
      <w:marBottom w:val="0"/>
      <w:divBdr>
        <w:top w:val="none" w:sz="0" w:space="0" w:color="auto"/>
        <w:left w:val="none" w:sz="0" w:space="0" w:color="auto"/>
        <w:bottom w:val="none" w:sz="0" w:space="0" w:color="auto"/>
        <w:right w:val="none" w:sz="0" w:space="0" w:color="auto"/>
      </w:divBdr>
    </w:div>
    <w:div w:id="210000680">
      <w:marLeft w:val="0"/>
      <w:marRight w:val="0"/>
      <w:marTop w:val="0"/>
      <w:marBottom w:val="0"/>
      <w:divBdr>
        <w:top w:val="none" w:sz="0" w:space="0" w:color="auto"/>
        <w:left w:val="none" w:sz="0" w:space="0" w:color="auto"/>
        <w:bottom w:val="none" w:sz="0" w:space="0" w:color="auto"/>
        <w:right w:val="none" w:sz="0" w:space="0" w:color="auto"/>
      </w:divBdr>
      <w:divsChild>
        <w:div w:id="1226647178">
          <w:marLeft w:val="0"/>
          <w:marRight w:val="0"/>
          <w:marTop w:val="0"/>
          <w:marBottom w:val="0"/>
          <w:divBdr>
            <w:top w:val="none" w:sz="0" w:space="0" w:color="auto"/>
            <w:left w:val="none" w:sz="0" w:space="0" w:color="auto"/>
            <w:bottom w:val="none" w:sz="0" w:space="0" w:color="auto"/>
            <w:right w:val="none" w:sz="0" w:space="0" w:color="auto"/>
          </w:divBdr>
        </w:div>
      </w:divsChild>
    </w:div>
    <w:div w:id="210727693">
      <w:marLeft w:val="0"/>
      <w:marRight w:val="0"/>
      <w:marTop w:val="0"/>
      <w:marBottom w:val="0"/>
      <w:divBdr>
        <w:top w:val="none" w:sz="0" w:space="0" w:color="auto"/>
        <w:left w:val="none" w:sz="0" w:space="0" w:color="auto"/>
        <w:bottom w:val="none" w:sz="0" w:space="0" w:color="auto"/>
        <w:right w:val="none" w:sz="0" w:space="0" w:color="auto"/>
      </w:divBdr>
    </w:div>
    <w:div w:id="211700083">
      <w:marLeft w:val="0"/>
      <w:marRight w:val="0"/>
      <w:marTop w:val="0"/>
      <w:marBottom w:val="0"/>
      <w:divBdr>
        <w:top w:val="none" w:sz="0" w:space="0" w:color="auto"/>
        <w:left w:val="none" w:sz="0" w:space="0" w:color="auto"/>
        <w:bottom w:val="none" w:sz="0" w:space="0" w:color="auto"/>
        <w:right w:val="none" w:sz="0" w:space="0" w:color="auto"/>
      </w:divBdr>
    </w:div>
    <w:div w:id="213203497">
      <w:marLeft w:val="0"/>
      <w:marRight w:val="0"/>
      <w:marTop w:val="0"/>
      <w:marBottom w:val="0"/>
      <w:divBdr>
        <w:top w:val="none" w:sz="0" w:space="0" w:color="auto"/>
        <w:left w:val="none" w:sz="0" w:space="0" w:color="auto"/>
        <w:bottom w:val="none" w:sz="0" w:space="0" w:color="auto"/>
        <w:right w:val="none" w:sz="0" w:space="0" w:color="auto"/>
      </w:divBdr>
    </w:div>
    <w:div w:id="216167246">
      <w:marLeft w:val="0"/>
      <w:marRight w:val="0"/>
      <w:marTop w:val="0"/>
      <w:marBottom w:val="0"/>
      <w:divBdr>
        <w:top w:val="none" w:sz="0" w:space="0" w:color="auto"/>
        <w:left w:val="none" w:sz="0" w:space="0" w:color="auto"/>
        <w:bottom w:val="none" w:sz="0" w:space="0" w:color="auto"/>
        <w:right w:val="none" w:sz="0" w:space="0" w:color="auto"/>
      </w:divBdr>
    </w:div>
    <w:div w:id="216357058">
      <w:marLeft w:val="0"/>
      <w:marRight w:val="0"/>
      <w:marTop w:val="0"/>
      <w:marBottom w:val="0"/>
      <w:divBdr>
        <w:top w:val="none" w:sz="0" w:space="0" w:color="auto"/>
        <w:left w:val="none" w:sz="0" w:space="0" w:color="auto"/>
        <w:bottom w:val="none" w:sz="0" w:space="0" w:color="auto"/>
        <w:right w:val="none" w:sz="0" w:space="0" w:color="auto"/>
      </w:divBdr>
    </w:div>
    <w:div w:id="217398161">
      <w:marLeft w:val="0"/>
      <w:marRight w:val="0"/>
      <w:marTop w:val="0"/>
      <w:marBottom w:val="0"/>
      <w:divBdr>
        <w:top w:val="none" w:sz="0" w:space="0" w:color="auto"/>
        <w:left w:val="none" w:sz="0" w:space="0" w:color="auto"/>
        <w:bottom w:val="none" w:sz="0" w:space="0" w:color="auto"/>
        <w:right w:val="none" w:sz="0" w:space="0" w:color="auto"/>
      </w:divBdr>
      <w:divsChild>
        <w:div w:id="1352223342">
          <w:marLeft w:val="0"/>
          <w:marRight w:val="0"/>
          <w:marTop w:val="0"/>
          <w:marBottom w:val="0"/>
          <w:divBdr>
            <w:top w:val="none" w:sz="0" w:space="0" w:color="auto"/>
            <w:left w:val="none" w:sz="0" w:space="0" w:color="auto"/>
            <w:bottom w:val="none" w:sz="0" w:space="0" w:color="auto"/>
            <w:right w:val="none" w:sz="0" w:space="0" w:color="auto"/>
          </w:divBdr>
        </w:div>
      </w:divsChild>
    </w:div>
    <w:div w:id="220485403">
      <w:marLeft w:val="0"/>
      <w:marRight w:val="0"/>
      <w:marTop w:val="0"/>
      <w:marBottom w:val="0"/>
      <w:divBdr>
        <w:top w:val="none" w:sz="0" w:space="0" w:color="auto"/>
        <w:left w:val="none" w:sz="0" w:space="0" w:color="auto"/>
        <w:bottom w:val="none" w:sz="0" w:space="0" w:color="auto"/>
        <w:right w:val="none" w:sz="0" w:space="0" w:color="auto"/>
      </w:divBdr>
    </w:div>
    <w:div w:id="221411236">
      <w:marLeft w:val="0"/>
      <w:marRight w:val="0"/>
      <w:marTop w:val="100"/>
      <w:marBottom w:val="0"/>
      <w:divBdr>
        <w:top w:val="none" w:sz="0" w:space="0" w:color="auto"/>
        <w:left w:val="none" w:sz="0" w:space="0" w:color="auto"/>
        <w:bottom w:val="none" w:sz="0" w:space="0" w:color="auto"/>
        <w:right w:val="none" w:sz="0" w:space="0" w:color="auto"/>
      </w:divBdr>
    </w:div>
    <w:div w:id="222378174">
      <w:marLeft w:val="0"/>
      <w:marRight w:val="0"/>
      <w:marTop w:val="0"/>
      <w:marBottom w:val="0"/>
      <w:divBdr>
        <w:top w:val="none" w:sz="0" w:space="0" w:color="auto"/>
        <w:left w:val="none" w:sz="0" w:space="0" w:color="auto"/>
        <w:bottom w:val="none" w:sz="0" w:space="0" w:color="auto"/>
        <w:right w:val="none" w:sz="0" w:space="0" w:color="auto"/>
      </w:divBdr>
    </w:div>
    <w:div w:id="225262144">
      <w:marLeft w:val="0"/>
      <w:marRight w:val="0"/>
      <w:marTop w:val="0"/>
      <w:marBottom w:val="0"/>
      <w:divBdr>
        <w:top w:val="none" w:sz="0" w:space="0" w:color="auto"/>
        <w:left w:val="none" w:sz="0" w:space="0" w:color="auto"/>
        <w:bottom w:val="none" w:sz="0" w:space="0" w:color="auto"/>
        <w:right w:val="none" w:sz="0" w:space="0" w:color="auto"/>
      </w:divBdr>
      <w:divsChild>
        <w:div w:id="2030372614">
          <w:marLeft w:val="0"/>
          <w:marRight w:val="0"/>
          <w:marTop w:val="0"/>
          <w:marBottom w:val="0"/>
          <w:divBdr>
            <w:top w:val="none" w:sz="0" w:space="0" w:color="auto"/>
            <w:left w:val="none" w:sz="0" w:space="0" w:color="auto"/>
            <w:bottom w:val="none" w:sz="0" w:space="0" w:color="auto"/>
            <w:right w:val="none" w:sz="0" w:space="0" w:color="auto"/>
          </w:divBdr>
        </w:div>
        <w:div w:id="42337881">
          <w:marLeft w:val="0"/>
          <w:marRight w:val="0"/>
          <w:marTop w:val="0"/>
          <w:marBottom w:val="0"/>
          <w:divBdr>
            <w:top w:val="none" w:sz="0" w:space="0" w:color="auto"/>
            <w:left w:val="none" w:sz="0" w:space="0" w:color="auto"/>
            <w:bottom w:val="none" w:sz="0" w:space="0" w:color="auto"/>
            <w:right w:val="none" w:sz="0" w:space="0" w:color="auto"/>
          </w:divBdr>
        </w:div>
        <w:div w:id="316569958">
          <w:marLeft w:val="0"/>
          <w:marRight w:val="0"/>
          <w:marTop w:val="0"/>
          <w:marBottom w:val="0"/>
          <w:divBdr>
            <w:top w:val="none" w:sz="0" w:space="0" w:color="auto"/>
            <w:left w:val="none" w:sz="0" w:space="0" w:color="auto"/>
            <w:bottom w:val="none" w:sz="0" w:space="0" w:color="auto"/>
            <w:right w:val="none" w:sz="0" w:space="0" w:color="auto"/>
          </w:divBdr>
        </w:div>
        <w:div w:id="1549805204">
          <w:marLeft w:val="0"/>
          <w:marRight w:val="0"/>
          <w:marTop w:val="0"/>
          <w:marBottom w:val="0"/>
          <w:divBdr>
            <w:top w:val="none" w:sz="0" w:space="0" w:color="auto"/>
            <w:left w:val="none" w:sz="0" w:space="0" w:color="auto"/>
            <w:bottom w:val="none" w:sz="0" w:space="0" w:color="auto"/>
            <w:right w:val="none" w:sz="0" w:space="0" w:color="auto"/>
          </w:divBdr>
        </w:div>
        <w:div w:id="407846288">
          <w:marLeft w:val="0"/>
          <w:marRight w:val="0"/>
          <w:marTop w:val="0"/>
          <w:marBottom w:val="0"/>
          <w:divBdr>
            <w:top w:val="none" w:sz="0" w:space="0" w:color="auto"/>
            <w:left w:val="none" w:sz="0" w:space="0" w:color="auto"/>
            <w:bottom w:val="none" w:sz="0" w:space="0" w:color="auto"/>
            <w:right w:val="none" w:sz="0" w:space="0" w:color="auto"/>
          </w:divBdr>
        </w:div>
        <w:div w:id="1171145341">
          <w:marLeft w:val="0"/>
          <w:marRight w:val="0"/>
          <w:marTop w:val="0"/>
          <w:marBottom w:val="0"/>
          <w:divBdr>
            <w:top w:val="none" w:sz="0" w:space="0" w:color="auto"/>
            <w:left w:val="none" w:sz="0" w:space="0" w:color="auto"/>
            <w:bottom w:val="none" w:sz="0" w:space="0" w:color="auto"/>
            <w:right w:val="none" w:sz="0" w:space="0" w:color="auto"/>
          </w:divBdr>
        </w:div>
        <w:div w:id="1472138685">
          <w:marLeft w:val="0"/>
          <w:marRight w:val="0"/>
          <w:marTop w:val="0"/>
          <w:marBottom w:val="0"/>
          <w:divBdr>
            <w:top w:val="none" w:sz="0" w:space="0" w:color="auto"/>
            <w:left w:val="none" w:sz="0" w:space="0" w:color="auto"/>
            <w:bottom w:val="none" w:sz="0" w:space="0" w:color="auto"/>
            <w:right w:val="none" w:sz="0" w:space="0" w:color="auto"/>
          </w:divBdr>
        </w:div>
        <w:div w:id="471563234">
          <w:marLeft w:val="0"/>
          <w:marRight w:val="0"/>
          <w:marTop w:val="0"/>
          <w:marBottom w:val="0"/>
          <w:divBdr>
            <w:top w:val="none" w:sz="0" w:space="0" w:color="auto"/>
            <w:left w:val="none" w:sz="0" w:space="0" w:color="auto"/>
            <w:bottom w:val="none" w:sz="0" w:space="0" w:color="auto"/>
            <w:right w:val="none" w:sz="0" w:space="0" w:color="auto"/>
          </w:divBdr>
        </w:div>
        <w:div w:id="814840012">
          <w:marLeft w:val="0"/>
          <w:marRight w:val="0"/>
          <w:marTop w:val="0"/>
          <w:marBottom w:val="0"/>
          <w:divBdr>
            <w:top w:val="none" w:sz="0" w:space="0" w:color="auto"/>
            <w:left w:val="none" w:sz="0" w:space="0" w:color="auto"/>
            <w:bottom w:val="none" w:sz="0" w:space="0" w:color="auto"/>
            <w:right w:val="none" w:sz="0" w:space="0" w:color="auto"/>
          </w:divBdr>
        </w:div>
        <w:div w:id="1576545826">
          <w:marLeft w:val="0"/>
          <w:marRight w:val="0"/>
          <w:marTop w:val="0"/>
          <w:marBottom w:val="0"/>
          <w:divBdr>
            <w:top w:val="none" w:sz="0" w:space="0" w:color="auto"/>
            <w:left w:val="none" w:sz="0" w:space="0" w:color="auto"/>
            <w:bottom w:val="none" w:sz="0" w:space="0" w:color="auto"/>
            <w:right w:val="none" w:sz="0" w:space="0" w:color="auto"/>
          </w:divBdr>
        </w:div>
        <w:div w:id="1770269634">
          <w:marLeft w:val="0"/>
          <w:marRight w:val="0"/>
          <w:marTop w:val="0"/>
          <w:marBottom w:val="0"/>
          <w:divBdr>
            <w:top w:val="none" w:sz="0" w:space="0" w:color="auto"/>
            <w:left w:val="none" w:sz="0" w:space="0" w:color="auto"/>
            <w:bottom w:val="none" w:sz="0" w:space="0" w:color="auto"/>
            <w:right w:val="none" w:sz="0" w:space="0" w:color="auto"/>
          </w:divBdr>
        </w:div>
        <w:div w:id="1332441519">
          <w:marLeft w:val="0"/>
          <w:marRight w:val="0"/>
          <w:marTop w:val="0"/>
          <w:marBottom w:val="0"/>
          <w:divBdr>
            <w:top w:val="none" w:sz="0" w:space="0" w:color="auto"/>
            <w:left w:val="none" w:sz="0" w:space="0" w:color="auto"/>
            <w:bottom w:val="none" w:sz="0" w:space="0" w:color="auto"/>
            <w:right w:val="none" w:sz="0" w:space="0" w:color="auto"/>
          </w:divBdr>
        </w:div>
        <w:div w:id="1668249350">
          <w:marLeft w:val="0"/>
          <w:marRight w:val="0"/>
          <w:marTop w:val="0"/>
          <w:marBottom w:val="0"/>
          <w:divBdr>
            <w:top w:val="none" w:sz="0" w:space="0" w:color="auto"/>
            <w:left w:val="none" w:sz="0" w:space="0" w:color="auto"/>
            <w:bottom w:val="none" w:sz="0" w:space="0" w:color="auto"/>
            <w:right w:val="none" w:sz="0" w:space="0" w:color="auto"/>
          </w:divBdr>
        </w:div>
        <w:div w:id="1077437901">
          <w:marLeft w:val="0"/>
          <w:marRight w:val="0"/>
          <w:marTop w:val="0"/>
          <w:marBottom w:val="0"/>
          <w:divBdr>
            <w:top w:val="none" w:sz="0" w:space="0" w:color="auto"/>
            <w:left w:val="none" w:sz="0" w:space="0" w:color="auto"/>
            <w:bottom w:val="none" w:sz="0" w:space="0" w:color="auto"/>
            <w:right w:val="none" w:sz="0" w:space="0" w:color="auto"/>
          </w:divBdr>
        </w:div>
        <w:div w:id="570962801">
          <w:marLeft w:val="0"/>
          <w:marRight w:val="0"/>
          <w:marTop w:val="0"/>
          <w:marBottom w:val="0"/>
          <w:divBdr>
            <w:top w:val="none" w:sz="0" w:space="0" w:color="auto"/>
            <w:left w:val="none" w:sz="0" w:space="0" w:color="auto"/>
            <w:bottom w:val="none" w:sz="0" w:space="0" w:color="auto"/>
            <w:right w:val="none" w:sz="0" w:space="0" w:color="auto"/>
          </w:divBdr>
        </w:div>
        <w:div w:id="2146390126">
          <w:marLeft w:val="0"/>
          <w:marRight w:val="0"/>
          <w:marTop w:val="0"/>
          <w:marBottom w:val="0"/>
          <w:divBdr>
            <w:top w:val="none" w:sz="0" w:space="0" w:color="auto"/>
            <w:left w:val="none" w:sz="0" w:space="0" w:color="auto"/>
            <w:bottom w:val="none" w:sz="0" w:space="0" w:color="auto"/>
            <w:right w:val="none" w:sz="0" w:space="0" w:color="auto"/>
          </w:divBdr>
        </w:div>
        <w:div w:id="518009371">
          <w:marLeft w:val="0"/>
          <w:marRight w:val="0"/>
          <w:marTop w:val="0"/>
          <w:marBottom w:val="0"/>
          <w:divBdr>
            <w:top w:val="none" w:sz="0" w:space="0" w:color="auto"/>
            <w:left w:val="none" w:sz="0" w:space="0" w:color="auto"/>
            <w:bottom w:val="none" w:sz="0" w:space="0" w:color="auto"/>
            <w:right w:val="none" w:sz="0" w:space="0" w:color="auto"/>
          </w:divBdr>
        </w:div>
        <w:div w:id="993492309">
          <w:marLeft w:val="0"/>
          <w:marRight w:val="0"/>
          <w:marTop w:val="0"/>
          <w:marBottom w:val="0"/>
          <w:divBdr>
            <w:top w:val="none" w:sz="0" w:space="0" w:color="auto"/>
            <w:left w:val="none" w:sz="0" w:space="0" w:color="auto"/>
            <w:bottom w:val="none" w:sz="0" w:space="0" w:color="auto"/>
            <w:right w:val="none" w:sz="0" w:space="0" w:color="auto"/>
          </w:divBdr>
        </w:div>
      </w:divsChild>
    </w:div>
    <w:div w:id="231156493">
      <w:marLeft w:val="0"/>
      <w:marRight w:val="0"/>
      <w:marTop w:val="0"/>
      <w:marBottom w:val="0"/>
      <w:divBdr>
        <w:top w:val="none" w:sz="0" w:space="0" w:color="auto"/>
        <w:left w:val="none" w:sz="0" w:space="0" w:color="auto"/>
        <w:bottom w:val="none" w:sz="0" w:space="0" w:color="auto"/>
        <w:right w:val="none" w:sz="0" w:space="0" w:color="auto"/>
      </w:divBdr>
    </w:div>
    <w:div w:id="232128933">
      <w:marLeft w:val="0"/>
      <w:marRight w:val="0"/>
      <w:marTop w:val="0"/>
      <w:marBottom w:val="0"/>
      <w:divBdr>
        <w:top w:val="none" w:sz="0" w:space="0" w:color="auto"/>
        <w:left w:val="none" w:sz="0" w:space="0" w:color="auto"/>
        <w:bottom w:val="none" w:sz="0" w:space="0" w:color="auto"/>
        <w:right w:val="none" w:sz="0" w:space="0" w:color="auto"/>
      </w:divBdr>
    </w:div>
    <w:div w:id="233442440">
      <w:marLeft w:val="0"/>
      <w:marRight w:val="0"/>
      <w:marTop w:val="0"/>
      <w:marBottom w:val="0"/>
      <w:divBdr>
        <w:top w:val="none" w:sz="0" w:space="0" w:color="auto"/>
        <w:left w:val="none" w:sz="0" w:space="0" w:color="auto"/>
        <w:bottom w:val="none" w:sz="0" w:space="0" w:color="auto"/>
        <w:right w:val="none" w:sz="0" w:space="0" w:color="auto"/>
      </w:divBdr>
    </w:div>
    <w:div w:id="233509620">
      <w:marLeft w:val="0"/>
      <w:marRight w:val="0"/>
      <w:marTop w:val="0"/>
      <w:marBottom w:val="0"/>
      <w:divBdr>
        <w:top w:val="none" w:sz="0" w:space="0" w:color="auto"/>
        <w:left w:val="none" w:sz="0" w:space="0" w:color="auto"/>
        <w:bottom w:val="none" w:sz="0" w:space="0" w:color="auto"/>
        <w:right w:val="none" w:sz="0" w:space="0" w:color="auto"/>
      </w:divBdr>
    </w:div>
    <w:div w:id="238639710">
      <w:marLeft w:val="0"/>
      <w:marRight w:val="0"/>
      <w:marTop w:val="0"/>
      <w:marBottom w:val="0"/>
      <w:divBdr>
        <w:top w:val="none" w:sz="0" w:space="0" w:color="auto"/>
        <w:left w:val="none" w:sz="0" w:space="0" w:color="auto"/>
        <w:bottom w:val="none" w:sz="0" w:space="0" w:color="auto"/>
        <w:right w:val="none" w:sz="0" w:space="0" w:color="auto"/>
      </w:divBdr>
    </w:div>
    <w:div w:id="240454779">
      <w:marLeft w:val="0"/>
      <w:marRight w:val="0"/>
      <w:marTop w:val="0"/>
      <w:marBottom w:val="0"/>
      <w:divBdr>
        <w:top w:val="none" w:sz="0" w:space="0" w:color="auto"/>
        <w:left w:val="none" w:sz="0" w:space="0" w:color="auto"/>
        <w:bottom w:val="none" w:sz="0" w:space="0" w:color="auto"/>
        <w:right w:val="none" w:sz="0" w:space="0" w:color="auto"/>
      </w:divBdr>
    </w:div>
    <w:div w:id="240793135">
      <w:marLeft w:val="0"/>
      <w:marRight w:val="0"/>
      <w:marTop w:val="0"/>
      <w:marBottom w:val="0"/>
      <w:divBdr>
        <w:top w:val="none" w:sz="0" w:space="0" w:color="auto"/>
        <w:left w:val="none" w:sz="0" w:space="0" w:color="auto"/>
        <w:bottom w:val="none" w:sz="0" w:space="0" w:color="auto"/>
        <w:right w:val="none" w:sz="0" w:space="0" w:color="auto"/>
      </w:divBdr>
    </w:div>
    <w:div w:id="243952531">
      <w:marLeft w:val="0"/>
      <w:marRight w:val="0"/>
      <w:marTop w:val="0"/>
      <w:marBottom w:val="0"/>
      <w:divBdr>
        <w:top w:val="none" w:sz="0" w:space="0" w:color="auto"/>
        <w:left w:val="none" w:sz="0" w:space="0" w:color="auto"/>
        <w:bottom w:val="none" w:sz="0" w:space="0" w:color="auto"/>
        <w:right w:val="none" w:sz="0" w:space="0" w:color="auto"/>
      </w:divBdr>
    </w:div>
    <w:div w:id="245921168">
      <w:marLeft w:val="0"/>
      <w:marRight w:val="0"/>
      <w:marTop w:val="0"/>
      <w:marBottom w:val="0"/>
      <w:divBdr>
        <w:top w:val="none" w:sz="0" w:space="0" w:color="auto"/>
        <w:left w:val="none" w:sz="0" w:space="0" w:color="auto"/>
        <w:bottom w:val="none" w:sz="0" w:space="0" w:color="auto"/>
        <w:right w:val="none" w:sz="0" w:space="0" w:color="auto"/>
      </w:divBdr>
    </w:div>
    <w:div w:id="251360714">
      <w:marLeft w:val="0"/>
      <w:marRight w:val="0"/>
      <w:marTop w:val="0"/>
      <w:marBottom w:val="0"/>
      <w:divBdr>
        <w:top w:val="none" w:sz="0" w:space="0" w:color="auto"/>
        <w:left w:val="none" w:sz="0" w:space="0" w:color="auto"/>
        <w:bottom w:val="none" w:sz="0" w:space="0" w:color="auto"/>
        <w:right w:val="none" w:sz="0" w:space="0" w:color="auto"/>
      </w:divBdr>
    </w:div>
    <w:div w:id="251933133">
      <w:marLeft w:val="0"/>
      <w:marRight w:val="0"/>
      <w:marTop w:val="0"/>
      <w:marBottom w:val="0"/>
      <w:divBdr>
        <w:top w:val="none" w:sz="0" w:space="0" w:color="auto"/>
        <w:left w:val="none" w:sz="0" w:space="0" w:color="auto"/>
        <w:bottom w:val="none" w:sz="0" w:space="0" w:color="auto"/>
        <w:right w:val="none" w:sz="0" w:space="0" w:color="auto"/>
      </w:divBdr>
    </w:div>
    <w:div w:id="256259524">
      <w:marLeft w:val="0"/>
      <w:marRight w:val="0"/>
      <w:marTop w:val="0"/>
      <w:marBottom w:val="0"/>
      <w:divBdr>
        <w:top w:val="none" w:sz="0" w:space="0" w:color="auto"/>
        <w:left w:val="none" w:sz="0" w:space="0" w:color="auto"/>
        <w:bottom w:val="none" w:sz="0" w:space="0" w:color="auto"/>
        <w:right w:val="none" w:sz="0" w:space="0" w:color="auto"/>
      </w:divBdr>
    </w:div>
    <w:div w:id="260185280">
      <w:marLeft w:val="0"/>
      <w:marRight w:val="0"/>
      <w:marTop w:val="0"/>
      <w:marBottom w:val="0"/>
      <w:divBdr>
        <w:top w:val="none" w:sz="0" w:space="0" w:color="auto"/>
        <w:left w:val="none" w:sz="0" w:space="0" w:color="auto"/>
        <w:bottom w:val="none" w:sz="0" w:space="0" w:color="auto"/>
        <w:right w:val="none" w:sz="0" w:space="0" w:color="auto"/>
      </w:divBdr>
    </w:div>
    <w:div w:id="261644074">
      <w:marLeft w:val="0"/>
      <w:marRight w:val="0"/>
      <w:marTop w:val="0"/>
      <w:marBottom w:val="0"/>
      <w:divBdr>
        <w:top w:val="none" w:sz="0" w:space="0" w:color="auto"/>
        <w:left w:val="none" w:sz="0" w:space="0" w:color="auto"/>
        <w:bottom w:val="none" w:sz="0" w:space="0" w:color="auto"/>
        <w:right w:val="none" w:sz="0" w:space="0" w:color="auto"/>
      </w:divBdr>
    </w:div>
    <w:div w:id="266081970">
      <w:marLeft w:val="0"/>
      <w:marRight w:val="0"/>
      <w:marTop w:val="0"/>
      <w:marBottom w:val="0"/>
      <w:divBdr>
        <w:top w:val="none" w:sz="0" w:space="0" w:color="auto"/>
        <w:left w:val="none" w:sz="0" w:space="0" w:color="auto"/>
        <w:bottom w:val="none" w:sz="0" w:space="0" w:color="auto"/>
        <w:right w:val="none" w:sz="0" w:space="0" w:color="auto"/>
      </w:divBdr>
    </w:div>
    <w:div w:id="268238914">
      <w:marLeft w:val="0"/>
      <w:marRight w:val="0"/>
      <w:marTop w:val="0"/>
      <w:marBottom w:val="0"/>
      <w:divBdr>
        <w:top w:val="none" w:sz="0" w:space="0" w:color="auto"/>
        <w:left w:val="none" w:sz="0" w:space="0" w:color="auto"/>
        <w:bottom w:val="none" w:sz="0" w:space="0" w:color="auto"/>
        <w:right w:val="none" w:sz="0" w:space="0" w:color="auto"/>
      </w:divBdr>
    </w:div>
    <w:div w:id="272589864">
      <w:marLeft w:val="0"/>
      <w:marRight w:val="0"/>
      <w:marTop w:val="0"/>
      <w:marBottom w:val="0"/>
      <w:divBdr>
        <w:top w:val="none" w:sz="0" w:space="0" w:color="auto"/>
        <w:left w:val="none" w:sz="0" w:space="0" w:color="auto"/>
        <w:bottom w:val="none" w:sz="0" w:space="0" w:color="auto"/>
        <w:right w:val="none" w:sz="0" w:space="0" w:color="auto"/>
      </w:divBdr>
    </w:div>
    <w:div w:id="273293042">
      <w:marLeft w:val="0"/>
      <w:marRight w:val="0"/>
      <w:marTop w:val="0"/>
      <w:marBottom w:val="0"/>
      <w:divBdr>
        <w:top w:val="none" w:sz="0" w:space="0" w:color="auto"/>
        <w:left w:val="none" w:sz="0" w:space="0" w:color="auto"/>
        <w:bottom w:val="none" w:sz="0" w:space="0" w:color="auto"/>
        <w:right w:val="none" w:sz="0" w:space="0" w:color="auto"/>
      </w:divBdr>
    </w:div>
    <w:div w:id="275144511">
      <w:marLeft w:val="0"/>
      <w:marRight w:val="0"/>
      <w:marTop w:val="0"/>
      <w:marBottom w:val="0"/>
      <w:divBdr>
        <w:top w:val="none" w:sz="0" w:space="0" w:color="auto"/>
        <w:left w:val="none" w:sz="0" w:space="0" w:color="auto"/>
        <w:bottom w:val="none" w:sz="0" w:space="0" w:color="auto"/>
        <w:right w:val="none" w:sz="0" w:space="0" w:color="auto"/>
      </w:divBdr>
    </w:div>
    <w:div w:id="275216065">
      <w:marLeft w:val="0"/>
      <w:marRight w:val="0"/>
      <w:marTop w:val="0"/>
      <w:marBottom w:val="0"/>
      <w:divBdr>
        <w:top w:val="none" w:sz="0" w:space="0" w:color="auto"/>
        <w:left w:val="none" w:sz="0" w:space="0" w:color="auto"/>
        <w:bottom w:val="none" w:sz="0" w:space="0" w:color="auto"/>
        <w:right w:val="none" w:sz="0" w:space="0" w:color="auto"/>
      </w:divBdr>
    </w:div>
    <w:div w:id="278075469">
      <w:marLeft w:val="0"/>
      <w:marRight w:val="0"/>
      <w:marTop w:val="0"/>
      <w:marBottom w:val="0"/>
      <w:divBdr>
        <w:top w:val="none" w:sz="0" w:space="0" w:color="auto"/>
        <w:left w:val="none" w:sz="0" w:space="0" w:color="auto"/>
        <w:bottom w:val="none" w:sz="0" w:space="0" w:color="auto"/>
        <w:right w:val="none" w:sz="0" w:space="0" w:color="auto"/>
      </w:divBdr>
    </w:div>
    <w:div w:id="278995609">
      <w:marLeft w:val="0"/>
      <w:marRight w:val="0"/>
      <w:marTop w:val="0"/>
      <w:marBottom w:val="0"/>
      <w:divBdr>
        <w:top w:val="none" w:sz="0" w:space="0" w:color="auto"/>
        <w:left w:val="none" w:sz="0" w:space="0" w:color="auto"/>
        <w:bottom w:val="none" w:sz="0" w:space="0" w:color="auto"/>
        <w:right w:val="none" w:sz="0" w:space="0" w:color="auto"/>
      </w:divBdr>
    </w:div>
    <w:div w:id="279801369">
      <w:marLeft w:val="0"/>
      <w:marRight w:val="0"/>
      <w:marTop w:val="0"/>
      <w:marBottom w:val="0"/>
      <w:divBdr>
        <w:top w:val="none" w:sz="0" w:space="0" w:color="auto"/>
        <w:left w:val="none" w:sz="0" w:space="0" w:color="auto"/>
        <w:bottom w:val="none" w:sz="0" w:space="0" w:color="auto"/>
        <w:right w:val="none" w:sz="0" w:space="0" w:color="auto"/>
      </w:divBdr>
    </w:div>
    <w:div w:id="281959402">
      <w:marLeft w:val="0"/>
      <w:marRight w:val="0"/>
      <w:marTop w:val="0"/>
      <w:marBottom w:val="0"/>
      <w:divBdr>
        <w:top w:val="none" w:sz="0" w:space="0" w:color="auto"/>
        <w:left w:val="none" w:sz="0" w:space="0" w:color="auto"/>
        <w:bottom w:val="none" w:sz="0" w:space="0" w:color="auto"/>
        <w:right w:val="none" w:sz="0" w:space="0" w:color="auto"/>
      </w:divBdr>
    </w:div>
    <w:div w:id="285039754">
      <w:marLeft w:val="0"/>
      <w:marRight w:val="0"/>
      <w:marTop w:val="0"/>
      <w:marBottom w:val="0"/>
      <w:divBdr>
        <w:top w:val="none" w:sz="0" w:space="0" w:color="auto"/>
        <w:left w:val="none" w:sz="0" w:space="0" w:color="auto"/>
        <w:bottom w:val="none" w:sz="0" w:space="0" w:color="auto"/>
        <w:right w:val="none" w:sz="0" w:space="0" w:color="auto"/>
      </w:divBdr>
      <w:divsChild>
        <w:div w:id="549652282">
          <w:marLeft w:val="0"/>
          <w:marRight w:val="0"/>
          <w:marTop w:val="0"/>
          <w:marBottom w:val="0"/>
          <w:divBdr>
            <w:top w:val="none" w:sz="0" w:space="0" w:color="auto"/>
            <w:left w:val="none" w:sz="0" w:space="0" w:color="auto"/>
            <w:bottom w:val="none" w:sz="0" w:space="0" w:color="auto"/>
            <w:right w:val="none" w:sz="0" w:space="0" w:color="auto"/>
          </w:divBdr>
        </w:div>
        <w:div w:id="1083141500">
          <w:marLeft w:val="0"/>
          <w:marRight w:val="0"/>
          <w:marTop w:val="0"/>
          <w:marBottom w:val="0"/>
          <w:divBdr>
            <w:top w:val="none" w:sz="0" w:space="0" w:color="auto"/>
            <w:left w:val="none" w:sz="0" w:space="0" w:color="auto"/>
            <w:bottom w:val="none" w:sz="0" w:space="0" w:color="auto"/>
            <w:right w:val="none" w:sz="0" w:space="0" w:color="auto"/>
          </w:divBdr>
        </w:div>
      </w:divsChild>
    </w:div>
    <w:div w:id="286543374">
      <w:marLeft w:val="0"/>
      <w:marRight w:val="0"/>
      <w:marTop w:val="0"/>
      <w:marBottom w:val="0"/>
      <w:divBdr>
        <w:top w:val="none" w:sz="0" w:space="0" w:color="auto"/>
        <w:left w:val="none" w:sz="0" w:space="0" w:color="auto"/>
        <w:bottom w:val="none" w:sz="0" w:space="0" w:color="auto"/>
        <w:right w:val="none" w:sz="0" w:space="0" w:color="auto"/>
      </w:divBdr>
    </w:div>
    <w:div w:id="288975907">
      <w:marLeft w:val="0"/>
      <w:marRight w:val="0"/>
      <w:marTop w:val="0"/>
      <w:marBottom w:val="0"/>
      <w:divBdr>
        <w:top w:val="none" w:sz="0" w:space="0" w:color="auto"/>
        <w:left w:val="none" w:sz="0" w:space="0" w:color="auto"/>
        <w:bottom w:val="none" w:sz="0" w:space="0" w:color="auto"/>
        <w:right w:val="none" w:sz="0" w:space="0" w:color="auto"/>
      </w:divBdr>
    </w:div>
    <w:div w:id="290283172">
      <w:marLeft w:val="0"/>
      <w:marRight w:val="0"/>
      <w:marTop w:val="0"/>
      <w:marBottom w:val="0"/>
      <w:divBdr>
        <w:top w:val="none" w:sz="0" w:space="0" w:color="auto"/>
        <w:left w:val="none" w:sz="0" w:space="0" w:color="auto"/>
        <w:bottom w:val="none" w:sz="0" w:space="0" w:color="auto"/>
        <w:right w:val="none" w:sz="0" w:space="0" w:color="auto"/>
      </w:divBdr>
    </w:div>
    <w:div w:id="292490463">
      <w:marLeft w:val="0"/>
      <w:marRight w:val="0"/>
      <w:marTop w:val="0"/>
      <w:marBottom w:val="0"/>
      <w:divBdr>
        <w:top w:val="none" w:sz="0" w:space="0" w:color="auto"/>
        <w:left w:val="none" w:sz="0" w:space="0" w:color="auto"/>
        <w:bottom w:val="none" w:sz="0" w:space="0" w:color="auto"/>
        <w:right w:val="none" w:sz="0" w:space="0" w:color="auto"/>
      </w:divBdr>
    </w:div>
    <w:div w:id="296111671">
      <w:marLeft w:val="0"/>
      <w:marRight w:val="0"/>
      <w:marTop w:val="0"/>
      <w:marBottom w:val="0"/>
      <w:divBdr>
        <w:top w:val="none" w:sz="0" w:space="0" w:color="auto"/>
        <w:left w:val="none" w:sz="0" w:space="0" w:color="auto"/>
        <w:bottom w:val="none" w:sz="0" w:space="0" w:color="auto"/>
        <w:right w:val="none" w:sz="0" w:space="0" w:color="auto"/>
      </w:divBdr>
    </w:div>
    <w:div w:id="297536757">
      <w:marLeft w:val="0"/>
      <w:marRight w:val="0"/>
      <w:marTop w:val="0"/>
      <w:marBottom w:val="0"/>
      <w:divBdr>
        <w:top w:val="none" w:sz="0" w:space="0" w:color="auto"/>
        <w:left w:val="none" w:sz="0" w:space="0" w:color="auto"/>
        <w:bottom w:val="none" w:sz="0" w:space="0" w:color="auto"/>
        <w:right w:val="none" w:sz="0" w:space="0" w:color="auto"/>
      </w:divBdr>
    </w:div>
    <w:div w:id="298191997">
      <w:marLeft w:val="0"/>
      <w:marRight w:val="0"/>
      <w:marTop w:val="0"/>
      <w:marBottom w:val="0"/>
      <w:divBdr>
        <w:top w:val="none" w:sz="0" w:space="0" w:color="auto"/>
        <w:left w:val="none" w:sz="0" w:space="0" w:color="auto"/>
        <w:bottom w:val="none" w:sz="0" w:space="0" w:color="auto"/>
        <w:right w:val="none" w:sz="0" w:space="0" w:color="auto"/>
      </w:divBdr>
    </w:div>
    <w:div w:id="298728218">
      <w:marLeft w:val="0"/>
      <w:marRight w:val="0"/>
      <w:marTop w:val="0"/>
      <w:marBottom w:val="0"/>
      <w:divBdr>
        <w:top w:val="none" w:sz="0" w:space="0" w:color="auto"/>
        <w:left w:val="none" w:sz="0" w:space="0" w:color="auto"/>
        <w:bottom w:val="none" w:sz="0" w:space="0" w:color="auto"/>
        <w:right w:val="none" w:sz="0" w:space="0" w:color="auto"/>
      </w:divBdr>
    </w:div>
    <w:div w:id="302779008">
      <w:marLeft w:val="0"/>
      <w:marRight w:val="0"/>
      <w:marTop w:val="0"/>
      <w:marBottom w:val="0"/>
      <w:divBdr>
        <w:top w:val="none" w:sz="0" w:space="0" w:color="auto"/>
        <w:left w:val="none" w:sz="0" w:space="0" w:color="auto"/>
        <w:bottom w:val="none" w:sz="0" w:space="0" w:color="auto"/>
        <w:right w:val="none" w:sz="0" w:space="0" w:color="auto"/>
      </w:divBdr>
    </w:div>
    <w:div w:id="303193648">
      <w:marLeft w:val="0"/>
      <w:marRight w:val="0"/>
      <w:marTop w:val="0"/>
      <w:marBottom w:val="0"/>
      <w:divBdr>
        <w:top w:val="none" w:sz="0" w:space="0" w:color="auto"/>
        <w:left w:val="none" w:sz="0" w:space="0" w:color="auto"/>
        <w:bottom w:val="none" w:sz="0" w:space="0" w:color="auto"/>
        <w:right w:val="none" w:sz="0" w:space="0" w:color="auto"/>
      </w:divBdr>
    </w:div>
    <w:div w:id="303588020">
      <w:marLeft w:val="0"/>
      <w:marRight w:val="0"/>
      <w:marTop w:val="0"/>
      <w:marBottom w:val="0"/>
      <w:divBdr>
        <w:top w:val="none" w:sz="0" w:space="0" w:color="auto"/>
        <w:left w:val="none" w:sz="0" w:space="0" w:color="auto"/>
        <w:bottom w:val="none" w:sz="0" w:space="0" w:color="auto"/>
        <w:right w:val="none" w:sz="0" w:space="0" w:color="auto"/>
      </w:divBdr>
    </w:div>
    <w:div w:id="303628908">
      <w:marLeft w:val="0"/>
      <w:marRight w:val="0"/>
      <w:marTop w:val="0"/>
      <w:marBottom w:val="0"/>
      <w:divBdr>
        <w:top w:val="none" w:sz="0" w:space="0" w:color="auto"/>
        <w:left w:val="none" w:sz="0" w:space="0" w:color="auto"/>
        <w:bottom w:val="none" w:sz="0" w:space="0" w:color="auto"/>
        <w:right w:val="none" w:sz="0" w:space="0" w:color="auto"/>
      </w:divBdr>
    </w:div>
    <w:div w:id="305862766">
      <w:marLeft w:val="0"/>
      <w:marRight w:val="0"/>
      <w:marTop w:val="0"/>
      <w:marBottom w:val="0"/>
      <w:divBdr>
        <w:top w:val="none" w:sz="0" w:space="0" w:color="auto"/>
        <w:left w:val="none" w:sz="0" w:space="0" w:color="auto"/>
        <w:bottom w:val="none" w:sz="0" w:space="0" w:color="auto"/>
        <w:right w:val="none" w:sz="0" w:space="0" w:color="auto"/>
      </w:divBdr>
    </w:div>
    <w:div w:id="308440072">
      <w:marLeft w:val="0"/>
      <w:marRight w:val="0"/>
      <w:marTop w:val="0"/>
      <w:marBottom w:val="0"/>
      <w:divBdr>
        <w:top w:val="none" w:sz="0" w:space="0" w:color="auto"/>
        <w:left w:val="none" w:sz="0" w:space="0" w:color="auto"/>
        <w:bottom w:val="none" w:sz="0" w:space="0" w:color="auto"/>
        <w:right w:val="none" w:sz="0" w:space="0" w:color="auto"/>
      </w:divBdr>
    </w:div>
    <w:div w:id="312417785">
      <w:marLeft w:val="0"/>
      <w:marRight w:val="0"/>
      <w:marTop w:val="0"/>
      <w:marBottom w:val="0"/>
      <w:divBdr>
        <w:top w:val="none" w:sz="0" w:space="0" w:color="auto"/>
        <w:left w:val="none" w:sz="0" w:space="0" w:color="auto"/>
        <w:bottom w:val="none" w:sz="0" w:space="0" w:color="auto"/>
        <w:right w:val="none" w:sz="0" w:space="0" w:color="auto"/>
      </w:divBdr>
    </w:div>
    <w:div w:id="315495929">
      <w:marLeft w:val="0"/>
      <w:marRight w:val="0"/>
      <w:marTop w:val="0"/>
      <w:marBottom w:val="0"/>
      <w:divBdr>
        <w:top w:val="none" w:sz="0" w:space="0" w:color="auto"/>
        <w:left w:val="none" w:sz="0" w:space="0" w:color="auto"/>
        <w:bottom w:val="none" w:sz="0" w:space="0" w:color="auto"/>
        <w:right w:val="none" w:sz="0" w:space="0" w:color="auto"/>
      </w:divBdr>
    </w:div>
    <w:div w:id="316349635">
      <w:marLeft w:val="0"/>
      <w:marRight w:val="0"/>
      <w:marTop w:val="0"/>
      <w:marBottom w:val="0"/>
      <w:divBdr>
        <w:top w:val="none" w:sz="0" w:space="0" w:color="auto"/>
        <w:left w:val="none" w:sz="0" w:space="0" w:color="auto"/>
        <w:bottom w:val="none" w:sz="0" w:space="0" w:color="auto"/>
        <w:right w:val="none" w:sz="0" w:space="0" w:color="auto"/>
      </w:divBdr>
      <w:divsChild>
        <w:div w:id="1583444173">
          <w:marLeft w:val="0"/>
          <w:marRight w:val="0"/>
          <w:marTop w:val="0"/>
          <w:marBottom w:val="0"/>
          <w:divBdr>
            <w:top w:val="none" w:sz="0" w:space="0" w:color="auto"/>
            <w:left w:val="none" w:sz="0" w:space="0" w:color="auto"/>
            <w:bottom w:val="none" w:sz="0" w:space="0" w:color="auto"/>
            <w:right w:val="none" w:sz="0" w:space="0" w:color="auto"/>
          </w:divBdr>
        </w:div>
        <w:div w:id="173963339">
          <w:marLeft w:val="0"/>
          <w:marRight w:val="0"/>
          <w:marTop w:val="0"/>
          <w:marBottom w:val="0"/>
          <w:divBdr>
            <w:top w:val="none" w:sz="0" w:space="0" w:color="auto"/>
            <w:left w:val="none" w:sz="0" w:space="0" w:color="auto"/>
            <w:bottom w:val="none" w:sz="0" w:space="0" w:color="auto"/>
            <w:right w:val="none" w:sz="0" w:space="0" w:color="auto"/>
          </w:divBdr>
        </w:div>
        <w:div w:id="299699880">
          <w:marLeft w:val="0"/>
          <w:marRight w:val="0"/>
          <w:marTop w:val="0"/>
          <w:marBottom w:val="0"/>
          <w:divBdr>
            <w:top w:val="none" w:sz="0" w:space="0" w:color="auto"/>
            <w:left w:val="none" w:sz="0" w:space="0" w:color="auto"/>
            <w:bottom w:val="none" w:sz="0" w:space="0" w:color="auto"/>
            <w:right w:val="none" w:sz="0" w:space="0" w:color="auto"/>
          </w:divBdr>
        </w:div>
        <w:div w:id="1544057544">
          <w:marLeft w:val="0"/>
          <w:marRight w:val="0"/>
          <w:marTop w:val="0"/>
          <w:marBottom w:val="0"/>
          <w:divBdr>
            <w:top w:val="none" w:sz="0" w:space="0" w:color="auto"/>
            <w:left w:val="none" w:sz="0" w:space="0" w:color="auto"/>
            <w:bottom w:val="none" w:sz="0" w:space="0" w:color="auto"/>
            <w:right w:val="none" w:sz="0" w:space="0" w:color="auto"/>
          </w:divBdr>
        </w:div>
        <w:div w:id="173150235">
          <w:marLeft w:val="0"/>
          <w:marRight w:val="0"/>
          <w:marTop w:val="0"/>
          <w:marBottom w:val="0"/>
          <w:divBdr>
            <w:top w:val="none" w:sz="0" w:space="0" w:color="auto"/>
            <w:left w:val="none" w:sz="0" w:space="0" w:color="auto"/>
            <w:bottom w:val="none" w:sz="0" w:space="0" w:color="auto"/>
            <w:right w:val="none" w:sz="0" w:space="0" w:color="auto"/>
          </w:divBdr>
        </w:div>
        <w:div w:id="1886024758">
          <w:marLeft w:val="0"/>
          <w:marRight w:val="0"/>
          <w:marTop w:val="0"/>
          <w:marBottom w:val="0"/>
          <w:divBdr>
            <w:top w:val="none" w:sz="0" w:space="0" w:color="auto"/>
            <w:left w:val="none" w:sz="0" w:space="0" w:color="auto"/>
            <w:bottom w:val="none" w:sz="0" w:space="0" w:color="auto"/>
            <w:right w:val="none" w:sz="0" w:space="0" w:color="auto"/>
          </w:divBdr>
        </w:div>
        <w:div w:id="1422724114">
          <w:marLeft w:val="0"/>
          <w:marRight w:val="0"/>
          <w:marTop w:val="0"/>
          <w:marBottom w:val="0"/>
          <w:divBdr>
            <w:top w:val="none" w:sz="0" w:space="0" w:color="auto"/>
            <w:left w:val="none" w:sz="0" w:space="0" w:color="auto"/>
            <w:bottom w:val="none" w:sz="0" w:space="0" w:color="auto"/>
            <w:right w:val="none" w:sz="0" w:space="0" w:color="auto"/>
          </w:divBdr>
        </w:div>
        <w:div w:id="391932272">
          <w:marLeft w:val="0"/>
          <w:marRight w:val="0"/>
          <w:marTop w:val="0"/>
          <w:marBottom w:val="0"/>
          <w:divBdr>
            <w:top w:val="none" w:sz="0" w:space="0" w:color="auto"/>
            <w:left w:val="none" w:sz="0" w:space="0" w:color="auto"/>
            <w:bottom w:val="none" w:sz="0" w:space="0" w:color="auto"/>
            <w:right w:val="none" w:sz="0" w:space="0" w:color="auto"/>
          </w:divBdr>
        </w:div>
        <w:div w:id="352532107">
          <w:marLeft w:val="0"/>
          <w:marRight w:val="0"/>
          <w:marTop w:val="0"/>
          <w:marBottom w:val="0"/>
          <w:divBdr>
            <w:top w:val="none" w:sz="0" w:space="0" w:color="auto"/>
            <w:left w:val="none" w:sz="0" w:space="0" w:color="auto"/>
            <w:bottom w:val="none" w:sz="0" w:space="0" w:color="auto"/>
            <w:right w:val="none" w:sz="0" w:space="0" w:color="auto"/>
          </w:divBdr>
        </w:div>
      </w:divsChild>
    </w:div>
    <w:div w:id="318264967">
      <w:marLeft w:val="0"/>
      <w:marRight w:val="0"/>
      <w:marTop w:val="0"/>
      <w:marBottom w:val="0"/>
      <w:divBdr>
        <w:top w:val="none" w:sz="0" w:space="0" w:color="auto"/>
        <w:left w:val="none" w:sz="0" w:space="0" w:color="auto"/>
        <w:bottom w:val="none" w:sz="0" w:space="0" w:color="auto"/>
        <w:right w:val="none" w:sz="0" w:space="0" w:color="auto"/>
      </w:divBdr>
    </w:div>
    <w:div w:id="318536171">
      <w:marLeft w:val="0"/>
      <w:marRight w:val="0"/>
      <w:marTop w:val="0"/>
      <w:marBottom w:val="0"/>
      <w:divBdr>
        <w:top w:val="none" w:sz="0" w:space="0" w:color="auto"/>
        <w:left w:val="none" w:sz="0" w:space="0" w:color="auto"/>
        <w:bottom w:val="none" w:sz="0" w:space="0" w:color="auto"/>
        <w:right w:val="none" w:sz="0" w:space="0" w:color="auto"/>
      </w:divBdr>
      <w:divsChild>
        <w:div w:id="2102950447">
          <w:marLeft w:val="0"/>
          <w:marRight w:val="0"/>
          <w:marTop w:val="0"/>
          <w:marBottom w:val="0"/>
          <w:divBdr>
            <w:top w:val="none" w:sz="0" w:space="0" w:color="auto"/>
            <w:left w:val="none" w:sz="0" w:space="0" w:color="auto"/>
            <w:bottom w:val="none" w:sz="0" w:space="0" w:color="auto"/>
            <w:right w:val="none" w:sz="0" w:space="0" w:color="auto"/>
          </w:divBdr>
        </w:div>
      </w:divsChild>
    </w:div>
    <w:div w:id="322591474">
      <w:marLeft w:val="0"/>
      <w:marRight w:val="0"/>
      <w:marTop w:val="0"/>
      <w:marBottom w:val="0"/>
      <w:divBdr>
        <w:top w:val="none" w:sz="0" w:space="0" w:color="auto"/>
        <w:left w:val="none" w:sz="0" w:space="0" w:color="auto"/>
        <w:bottom w:val="none" w:sz="0" w:space="0" w:color="auto"/>
        <w:right w:val="none" w:sz="0" w:space="0" w:color="auto"/>
      </w:divBdr>
    </w:div>
    <w:div w:id="322662222">
      <w:marLeft w:val="0"/>
      <w:marRight w:val="0"/>
      <w:marTop w:val="0"/>
      <w:marBottom w:val="0"/>
      <w:divBdr>
        <w:top w:val="none" w:sz="0" w:space="0" w:color="auto"/>
        <w:left w:val="none" w:sz="0" w:space="0" w:color="auto"/>
        <w:bottom w:val="none" w:sz="0" w:space="0" w:color="auto"/>
        <w:right w:val="none" w:sz="0" w:space="0" w:color="auto"/>
      </w:divBdr>
      <w:divsChild>
        <w:div w:id="429936943">
          <w:marLeft w:val="0"/>
          <w:marRight w:val="0"/>
          <w:marTop w:val="0"/>
          <w:marBottom w:val="0"/>
          <w:divBdr>
            <w:top w:val="none" w:sz="0" w:space="0" w:color="auto"/>
            <w:left w:val="none" w:sz="0" w:space="0" w:color="auto"/>
            <w:bottom w:val="none" w:sz="0" w:space="0" w:color="auto"/>
            <w:right w:val="none" w:sz="0" w:space="0" w:color="auto"/>
          </w:divBdr>
        </w:div>
      </w:divsChild>
    </w:div>
    <w:div w:id="324435573">
      <w:marLeft w:val="0"/>
      <w:marRight w:val="0"/>
      <w:marTop w:val="0"/>
      <w:marBottom w:val="0"/>
      <w:divBdr>
        <w:top w:val="none" w:sz="0" w:space="0" w:color="auto"/>
        <w:left w:val="none" w:sz="0" w:space="0" w:color="auto"/>
        <w:bottom w:val="none" w:sz="0" w:space="0" w:color="auto"/>
        <w:right w:val="none" w:sz="0" w:space="0" w:color="auto"/>
      </w:divBdr>
    </w:div>
    <w:div w:id="324632449">
      <w:marLeft w:val="0"/>
      <w:marRight w:val="0"/>
      <w:marTop w:val="0"/>
      <w:marBottom w:val="0"/>
      <w:divBdr>
        <w:top w:val="none" w:sz="0" w:space="0" w:color="auto"/>
        <w:left w:val="none" w:sz="0" w:space="0" w:color="auto"/>
        <w:bottom w:val="none" w:sz="0" w:space="0" w:color="auto"/>
        <w:right w:val="none" w:sz="0" w:space="0" w:color="auto"/>
      </w:divBdr>
    </w:div>
    <w:div w:id="329019276">
      <w:marLeft w:val="0"/>
      <w:marRight w:val="0"/>
      <w:marTop w:val="0"/>
      <w:marBottom w:val="0"/>
      <w:divBdr>
        <w:top w:val="none" w:sz="0" w:space="0" w:color="auto"/>
        <w:left w:val="none" w:sz="0" w:space="0" w:color="auto"/>
        <w:bottom w:val="none" w:sz="0" w:space="0" w:color="auto"/>
        <w:right w:val="none" w:sz="0" w:space="0" w:color="auto"/>
      </w:divBdr>
    </w:div>
    <w:div w:id="330111442">
      <w:marLeft w:val="0"/>
      <w:marRight w:val="0"/>
      <w:marTop w:val="0"/>
      <w:marBottom w:val="0"/>
      <w:divBdr>
        <w:top w:val="none" w:sz="0" w:space="0" w:color="auto"/>
        <w:left w:val="none" w:sz="0" w:space="0" w:color="auto"/>
        <w:bottom w:val="none" w:sz="0" w:space="0" w:color="auto"/>
        <w:right w:val="none" w:sz="0" w:space="0" w:color="auto"/>
      </w:divBdr>
    </w:div>
    <w:div w:id="330330360">
      <w:marLeft w:val="0"/>
      <w:marRight w:val="0"/>
      <w:marTop w:val="0"/>
      <w:marBottom w:val="0"/>
      <w:divBdr>
        <w:top w:val="none" w:sz="0" w:space="0" w:color="auto"/>
        <w:left w:val="none" w:sz="0" w:space="0" w:color="auto"/>
        <w:bottom w:val="none" w:sz="0" w:space="0" w:color="auto"/>
        <w:right w:val="none" w:sz="0" w:space="0" w:color="auto"/>
      </w:divBdr>
    </w:div>
    <w:div w:id="335108883">
      <w:marLeft w:val="0"/>
      <w:marRight w:val="0"/>
      <w:marTop w:val="0"/>
      <w:marBottom w:val="0"/>
      <w:divBdr>
        <w:top w:val="none" w:sz="0" w:space="0" w:color="auto"/>
        <w:left w:val="none" w:sz="0" w:space="0" w:color="auto"/>
        <w:bottom w:val="none" w:sz="0" w:space="0" w:color="auto"/>
        <w:right w:val="none" w:sz="0" w:space="0" w:color="auto"/>
      </w:divBdr>
    </w:div>
    <w:div w:id="336688875">
      <w:marLeft w:val="0"/>
      <w:marRight w:val="0"/>
      <w:marTop w:val="100"/>
      <w:marBottom w:val="0"/>
      <w:divBdr>
        <w:top w:val="none" w:sz="0" w:space="0" w:color="auto"/>
        <w:left w:val="none" w:sz="0" w:space="0" w:color="auto"/>
        <w:bottom w:val="none" w:sz="0" w:space="0" w:color="auto"/>
        <w:right w:val="none" w:sz="0" w:space="0" w:color="auto"/>
      </w:divBdr>
      <w:divsChild>
        <w:div w:id="1871450212">
          <w:marLeft w:val="0"/>
          <w:marRight w:val="0"/>
          <w:marTop w:val="0"/>
          <w:marBottom w:val="0"/>
          <w:divBdr>
            <w:top w:val="none" w:sz="0" w:space="0" w:color="auto"/>
            <w:left w:val="none" w:sz="0" w:space="0" w:color="auto"/>
            <w:bottom w:val="none" w:sz="0" w:space="0" w:color="auto"/>
            <w:right w:val="none" w:sz="0" w:space="0" w:color="auto"/>
          </w:divBdr>
        </w:div>
        <w:div w:id="1461729707">
          <w:marLeft w:val="0"/>
          <w:marRight w:val="0"/>
          <w:marTop w:val="0"/>
          <w:marBottom w:val="0"/>
          <w:divBdr>
            <w:top w:val="none" w:sz="0" w:space="0" w:color="auto"/>
            <w:left w:val="none" w:sz="0" w:space="0" w:color="auto"/>
            <w:bottom w:val="none" w:sz="0" w:space="0" w:color="auto"/>
            <w:right w:val="none" w:sz="0" w:space="0" w:color="auto"/>
          </w:divBdr>
        </w:div>
        <w:div w:id="2017152004">
          <w:marLeft w:val="0"/>
          <w:marRight w:val="0"/>
          <w:marTop w:val="0"/>
          <w:marBottom w:val="0"/>
          <w:divBdr>
            <w:top w:val="none" w:sz="0" w:space="0" w:color="auto"/>
            <w:left w:val="none" w:sz="0" w:space="0" w:color="auto"/>
            <w:bottom w:val="none" w:sz="0" w:space="0" w:color="auto"/>
            <w:right w:val="none" w:sz="0" w:space="0" w:color="auto"/>
          </w:divBdr>
        </w:div>
        <w:div w:id="1309553270">
          <w:marLeft w:val="0"/>
          <w:marRight w:val="0"/>
          <w:marTop w:val="0"/>
          <w:marBottom w:val="0"/>
          <w:divBdr>
            <w:top w:val="none" w:sz="0" w:space="0" w:color="auto"/>
            <w:left w:val="none" w:sz="0" w:space="0" w:color="auto"/>
            <w:bottom w:val="none" w:sz="0" w:space="0" w:color="auto"/>
            <w:right w:val="none" w:sz="0" w:space="0" w:color="auto"/>
          </w:divBdr>
        </w:div>
        <w:div w:id="1621493675">
          <w:marLeft w:val="0"/>
          <w:marRight w:val="0"/>
          <w:marTop w:val="0"/>
          <w:marBottom w:val="0"/>
          <w:divBdr>
            <w:top w:val="none" w:sz="0" w:space="0" w:color="auto"/>
            <w:left w:val="none" w:sz="0" w:space="0" w:color="auto"/>
            <w:bottom w:val="none" w:sz="0" w:space="0" w:color="auto"/>
            <w:right w:val="none" w:sz="0" w:space="0" w:color="auto"/>
          </w:divBdr>
        </w:div>
        <w:div w:id="665061000">
          <w:marLeft w:val="0"/>
          <w:marRight w:val="0"/>
          <w:marTop w:val="0"/>
          <w:marBottom w:val="0"/>
          <w:divBdr>
            <w:top w:val="none" w:sz="0" w:space="0" w:color="auto"/>
            <w:left w:val="none" w:sz="0" w:space="0" w:color="auto"/>
            <w:bottom w:val="none" w:sz="0" w:space="0" w:color="auto"/>
            <w:right w:val="none" w:sz="0" w:space="0" w:color="auto"/>
          </w:divBdr>
        </w:div>
      </w:divsChild>
    </w:div>
    <w:div w:id="340353557">
      <w:marLeft w:val="0"/>
      <w:marRight w:val="0"/>
      <w:marTop w:val="0"/>
      <w:marBottom w:val="0"/>
      <w:divBdr>
        <w:top w:val="none" w:sz="0" w:space="0" w:color="auto"/>
        <w:left w:val="none" w:sz="0" w:space="0" w:color="auto"/>
        <w:bottom w:val="none" w:sz="0" w:space="0" w:color="auto"/>
        <w:right w:val="none" w:sz="0" w:space="0" w:color="auto"/>
      </w:divBdr>
    </w:div>
    <w:div w:id="343556289">
      <w:marLeft w:val="0"/>
      <w:marRight w:val="0"/>
      <w:marTop w:val="0"/>
      <w:marBottom w:val="0"/>
      <w:divBdr>
        <w:top w:val="none" w:sz="0" w:space="0" w:color="auto"/>
        <w:left w:val="none" w:sz="0" w:space="0" w:color="auto"/>
        <w:bottom w:val="none" w:sz="0" w:space="0" w:color="auto"/>
        <w:right w:val="none" w:sz="0" w:space="0" w:color="auto"/>
      </w:divBdr>
    </w:div>
    <w:div w:id="346754309">
      <w:marLeft w:val="0"/>
      <w:marRight w:val="0"/>
      <w:marTop w:val="0"/>
      <w:marBottom w:val="0"/>
      <w:divBdr>
        <w:top w:val="none" w:sz="0" w:space="0" w:color="auto"/>
        <w:left w:val="none" w:sz="0" w:space="0" w:color="auto"/>
        <w:bottom w:val="none" w:sz="0" w:space="0" w:color="auto"/>
        <w:right w:val="none" w:sz="0" w:space="0" w:color="auto"/>
      </w:divBdr>
    </w:div>
    <w:div w:id="347827487">
      <w:marLeft w:val="0"/>
      <w:marRight w:val="0"/>
      <w:marTop w:val="0"/>
      <w:marBottom w:val="0"/>
      <w:divBdr>
        <w:top w:val="none" w:sz="0" w:space="0" w:color="auto"/>
        <w:left w:val="none" w:sz="0" w:space="0" w:color="auto"/>
        <w:bottom w:val="none" w:sz="0" w:space="0" w:color="auto"/>
        <w:right w:val="none" w:sz="0" w:space="0" w:color="auto"/>
      </w:divBdr>
    </w:div>
    <w:div w:id="347831478">
      <w:marLeft w:val="0"/>
      <w:marRight w:val="0"/>
      <w:marTop w:val="0"/>
      <w:marBottom w:val="0"/>
      <w:divBdr>
        <w:top w:val="none" w:sz="0" w:space="0" w:color="auto"/>
        <w:left w:val="none" w:sz="0" w:space="0" w:color="auto"/>
        <w:bottom w:val="none" w:sz="0" w:space="0" w:color="auto"/>
        <w:right w:val="none" w:sz="0" w:space="0" w:color="auto"/>
      </w:divBdr>
    </w:div>
    <w:div w:id="348602994">
      <w:marLeft w:val="0"/>
      <w:marRight w:val="0"/>
      <w:marTop w:val="0"/>
      <w:marBottom w:val="0"/>
      <w:divBdr>
        <w:top w:val="none" w:sz="0" w:space="0" w:color="auto"/>
        <w:left w:val="none" w:sz="0" w:space="0" w:color="auto"/>
        <w:bottom w:val="none" w:sz="0" w:space="0" w:color="auto"/>
        <w:right w:val="none" w:sz="0" w:space="0" w:color="auto"/>
      </w:divBdr>
    </w:div>
    <w:div w:id="349063731">
      <w:marLeft w:val="0"/>
      <w:marRight w:val="0"/>
      <w:marTop w:val="0"/>
      <w:marBottom w:val="0"/>
      <w:divBdr>
        <w:top w:val="none" w:sz="0" w:space="0" w:color="auto"/>
        <w:left w:val="none" w:sz="0" w:space="0" w:color="auto"/>
        <w:bottom w:val="none" w:sz="0" w:space="0" w:color="auto"/>
        <w:right w:val="none" w:sz="0" w:space="0" w:color="auto"/>
      </w:divBdr>
    </w:div>
    <w:div w:id="349064682">
      <w:marLeft w:val="0"/>
      <w:marRight w:val="0"/>
      <w:marTop w:val="0"/>
      <w:marBottom w:val="0"/>
      <w:divBdr>
        <w:top w:val="none" w:sz="0" w:space="0" w:color="auto"/>
        <w:left w:val="none" w:sz="0" w:space="0" w:color="auto"/>
        <w:bottom w:val="none" w:sz="0" w:space="0" w:color="auto"/>
        <w:right w:val="none" w:sz="0" w:space="0" w:color="auto"/>
      </w:divBdr>
    </w:div>
    <w:div w:id="349651766">
      <w:marLeft w:val="0"/>
      <w:marRight w:val="0"/>
      <w:marTop w:val="0"/>
      <w:marBottom w:val="0"/>
      <w:divBdr>
        <w:top w:val="none" w:sz="0" w:space="0" w:color="auto"/>
        <w:left w:val="none" w:sz="0" w:space="0" w:color="auto"/>
        <w:bottom w:val="none" w:sz="0" w:space="0" w:color="auto"/>
        <w:right w:val="none" w:sz="0" w:space="0" w:color="auto"/>
      </w:divBdr>
    </w:div>
    <w:div w:id="354623281">
      <w:marLeft w:val="0"/>
      <w:marRight w:val="0"/>
      <w:marTop w:val="0"/>
      <w:marBottom w:val="0"/>
      <w:divBdr>
        <w:top w:val="none" w:sz="0" w:space="0" w:color="auto"/>
        <w:left w:val="none" w:sz="0" w:space="0" w:color="auto"/>
        <w:bottom w:val="none" w:sz="0" w:space="0" w:color="auto"/>
        <w:right w:val="none" w:sz="0" w:space="0" w:color="auto"/>
      </w:divBdr>
    </w:div>
    <w:div w:id="354694662">
      <w:marLeft w:val="0"/>
      <w:marRight w:val="0"/>
      <w:marTop w:val="0"/>
      <w:marBottom w:val="0"/>
      <w:divBdr>
        <w:top w:val="none" w:sz="0" w:space="0" w:color="auto"/>
        <w:left w:val="none" w:sz="0" w:space="0" w:color="auto"/>
        <w:bottom w:val="none" w:sz="0" w:space="0" w:color="auto"/>
        <w:right w:val="none" w:sz="0" w:space="0" w:color="auto"/>
      </w:divBdr>
    </w:div>
    <w:div w:id="358819285">
      <w:marLeft w:val="0"/>
      <w:marRight w:val="0"/>
      <w:marTop w:val="40"/>
      <w:marBottom w:val="40"/>
      <w:divBdr>
        <w:top w:val="none" w:sz="0" w:space="0" w:color="auto"/>
        <w:left w:val="none" w:sz="0" w:space="0" w:color="auto"/>
        <w:bottom w:val="none" w:sz="0" w:space="0" w:color="auto"/>
        <w:right w:val="none" w:sz="0" w:space="0" w:color="auto"/>
      </w:divBdr>
    </w:div>
    <w:div w:id="361788312">
      <w:marLeft w:val="0"/>
      <w:marRight w:val="0"/>
      <w:marTop w:val="0"/>
      <w:marBottom w:val="0"/>
      <w:divBdr>
        <w:top w:val="none" w:sz="0" w:space="0" w:color="auto"/>
        <w:left w:val="none" w:sz="0" w:space="0" w:color="auto"/>
        <w:bottom w:val="none" w:sz="0" w:space="0" w:color="auto"/>
        <w:right w:val="none" w:sz="0" w:space="0" w:color="auto"/>
      </w:divBdr>
    </w:div>
    <w:div w:id="361898964">
      <w:marLeft w:val="0"/>
      <w:marRight w:val="0"/>
      <w:marTop w:val="0"/>
      <w:marBottom w:val="0"/>
      <w:divBdr>
        <w:top w:val="none" w:sz="0" w:space="0" w:color="auto"/>
        <w:left w:val="none" w:sz="0" w:space="0" w:color="auto"/>
        <w:bottom w:val="none" w:sz="0" w:space="0" w:color="auto"/>
        <w:right w:val="none" w:sz="0" w:space="0" w:color="auto"/>
      </w:divBdr>
    </w:div>
    <w:div w:id="363796859">
      <w:marLeft w:val="0"/>
      <w:marRight w:val="0"/>
      <w:marTop w:val="0"/>
      <w:marBottom w:val="0"/>
      <w:divBdr>
        <w:top w:val="none" w:sz="0" w:space="0" w:color="auto"/>
        <w:left w:val="none" w:sz="0" w:space="0" w:color="auto"/>
        <w:bottom w:val="none" w:sz="0" w:space="0" w:color="auto"/>
        <w:right w:val="none" w:sz="0" w:space="0" w:color="auto"/>
      </w:divBdr>
      <w:divsChild>
        <w:div w:id="1796942374">
          <w:marLeft w:val="0"/>
          <w:marRight w:val="0"/>
          <w:marTop w:val="0"/>
          <w:marBottom w:val="0"/>
          <w:divBdr>
            <w:top w:val="none" w:sz="0" w:space="0" w:color="auto"/>
            <w:left w:val="none" w:sz="0" w:space="0" w:color="auto"/>
            <w:bottom w:val="none" w:sz="0" w:space="0" w:color="auto"/>
            <w:right w:val="none" w:sz="0" w:space="0" w:color="auto"/>
          </w:divBdr>
        </w:div>
      </w:divsChild>
    </w:div>
    <w:div w:id="366367987">
      <w:marLeft w:val="0"/>
      <w:marRight w:val="0"/>
      <w:marTop w:val="0"/>
      <w:marBottom w:val="0"/>
      <w:divBdr>
        <w:top w:val="none" w:sz="0" w:space="0" w:color="auto"/>
        <w:left w:val="none" w:sz="0" w:space="0" w:color="auto"/>
        <w:bottom w:val="none" w:sz="0" w:space="0" w:color="auto"/>
        <w:right w:val="none" w:sz="0" w:space="0" w:color="auto"/>
      </w:divBdr>
    </w:div>
    <w:div w:id="369456464">
      <w:marLeft w:val="0"/>
      <w:marRight w:val="0"/>
      <w:marTop w:val="0"/>
      <w:marBottom w:val="0"/>
      <w:divBdr>
        <w:top w:val="none" w:sz="0" w:space="0" w:color="auto"/>
        <w:left w:val="none" w:sz="0" w:space="0" w:color="auto"/>
        <w:bottom w:val="none" w:sz="0" w:space="0" w:color="auto"/>
        <w:right w:val="none" w:sz="0" w:space="0" w:color="auto"/>
      </w:divBdr>
    </w:div>
    <w:div w:id="370692234">
      <w:marLeft w:val="0"/>
      <w:marRight w:val="0"/>
      <w:marTop w:val="0"/>
      <w:marBottom w:val="0"/>
      <w:divBdr>
        <w:top w:val="none" w:sz="0" w:space="0" w:color="auto"/>
        <w:left w:val="none" w:sz="0" w:space="0" w:color="auto"/>
        <w:bottom w:val="none" w:sz="0" w:space="0" w:color="auto"/>
        <w:right w:val="none" w:sz="0" w:space="0" w:color="auto"/>
      </w:divBdr>
    </w:div>
    <w:div w:id="374624920">
      <w:marLeft w:val="0"/>
      <w:marRight w:val="0"/>
      <w:marTop w:val="0"/>
      <w:marBottom w:val="0"/>
      <w:divBdr>
        <w:top w:val="none" w:sz="0" w:space="0" w:color="auto"/>
        <w:left w:val="none" w:sz="0" w:space="0" w:color="auto"/>
        <w:bottom w:val="none" w:sz="0" w:space="0" w:color="auto"/>
        <w:right w:val="none" w:sz="0" w:space="0" w:color="auto"/>
      </w:divBdr>
    </w:div>
    <w:div w:id="374963354">
      <w:marLeft w:val="0"/>
      <w:marRight w:val="0"/>
      <w:marTop w:val="0"/>
      <w:marBottom w:val="0"/>
      <w:divBdr>
        <w:top w:val="none" w:sz="0" w:space="0" w:color="auto"/>
        <w:left w:val="none" w:sz="0" w:space="0" w:color="auto"/>
        <w:bottom w:val="none" w:sz="0" w:space="0" w:color="auto"/>
        <w:right w:val="none" w:sz="0" w:space="0" w:color="auto"/>
      </w:divBdr>
    </w:div>
    <w:div w:id="376707145">
      <w:marLeft w:val="0"/>
      <w:marRight w:val="0"/>
      <w:marTop w:val="0"/>
      <w:marBottom w:val="0"/>
      <w:divBdr>
        <w:top w:val="none" w:sz="0" w:space="0" w:color="auto"/>
        <w:left w:val="none" w:sz="0" w:space="0" w:color="auto"/>
        <w:bottom w:val="none" w:sz="0" w:space="0" w:color="auto"/>
        <w:right w:val="none" w:sz="0" w:space="0" w:color="auto"/>
      </w:divBdr>
    </w:div>
    <w:div w:id="377246056">
      <w:marLeft w:val="0"/>
      <w:marRight w:val="0"/>
      <w:marTop w:val="0"/>
      <w:marBottom w:val="0"/>
      <w:divBdr>
        <w:top w:val="none" w:sz="0" w:space="0" w:color="auto"/>
        <w:left w:val="none" w:sz="0" w:space="0" w:color="auto"/>
        <w:bottom w:val="none" w:sz="0" w:space="0" w:color="auto"/>
        <w:right w:val="none" w:sz="0" w:space="0" w:color="auto"/>
      </w:divBdr>
    </w:div>
    <w:div w:id="377437987">
      <w:marLeft w:val="0"/>
      <w:marRight w:val="0"/>
      <w:marTop w:val="0"/>
      <w:marBottom w:val="0"/>
      <w:divBdr>
        <w:top w:val="none" w:sz="0" w:space="0" w:color="auto"/>
        <w:left w:val="none" w:sz="0" w:space="0" w:color="auto"/>
        <w:bottom w:val="none" w:sz="0" w:space="0" w:color="auto"/>
        <w:right w:val="none" w:sz="0" w:space="0" w:color="auto"/>
      </w:divBdr>
    </w:div>
    <w:div w:id="379550513">
      <w:marLeft w:val="0"/>
      <w:marRight w:val="0"/>
      <w:marTop w:val="0"/>
      <w:marBottom w:val="0"/>
      <w:divBdr>
        <w:top w:val="none" w:sz="0" w:space="0" w:color="auto"/>
        <w:left w:val="none" w:sz="0" w:space="0" w:color="auto"/>
        <w:bottom w:val="none" w:sz="0" w:space="0" w:color="auto"/>
        <w:right w:val="none" w:sz="0" w:space="0" w:color="auto"/>
      </w:divBdr>
    </w:div>
    <w:div w:id="380978816">
      <w:marLeft w:val="0"/>
      <w:marRight w:val="0"/>
      <w:marTop w:val="0"/>
      <w:marBottom w:val="0"/>
      <w:divBdr>
        <w:top w:val="none" w:sz="0" w:space="0" w:color="auto"/>
        <w:left w:val="none" w:sz="0" w:space="0" w:color="auto"/>
        <w:bottom w:val="none" w:sz="0" w:space="0" w:color="auto"/>
        <w:right w:val="none" w:sz="0" w:space="0" w:color="auto"/>
      </w:divBdr>
    </w:div>
    <w:div w:id="381832545">
      <w:marLeft w:val="0"/>
      <w:marRight w:val="0"/>
      <w:marTop w:val="0"/>
      <w:marBottom w:val="0"/>
      <w:divBdr>
        <w:top w:val="none" w:sz="0" w:space="0" w:color="auto"/>
        <w:left w:val="none" w:sz="0" w:space="0" w:color="auto"/>
        <w:bottom w:val="none" w:sz="0" w:space="0" w:color="auto"/>
        <w:right w:val="none" w:sz="0" w:space="0" w:color="auto"/>
      </w:divBdr>
    </w:div>
    <w:div w:id="382140451">
      <w:marLeft w:val="0"/>
      <w:marRight w:val="0"/>
      <w:marTop w:val="0"/>
      <w:marBottom w:val="0"/>
      <w:divBdr>
        <w:top w:val="none" w:sz="0" w:space="0" w:color="auto"/>
        <w:left w:val="none" w:sz="0" w:space="0" w:color="auto"/>
        <w:bottom w:val="none" w:sz="0" w:space="0" w:color="auto"/>
        <w:right w:val="none" w:sz="0" w:space="0" w:color="auto"/>
      </w:divBdr>
    </w:div>
    <w:div w:id="382337756">
      <w:marLeft w:val="0"/>
      <w:marRight w:val="0"/>
      <w:marTop w:val="0"/>
      <w:marBottom w:val="0"/>
      <w:divBdr>
        <w:top w:val="none" w:sz="0" w:space="0" w:color="auto"/>
        <w:left w:val="none" w:sz="0" w:space="0" w:color="auto"/>
        <w:bottom w:val="none" w:sz="0" w:space="0" w:color="auto"/>
        <w:right w:val="none" w:sz="0" w:space="0" w:color="auto"/>
      </w:divBdr>
    </w:div>
    <w:div w:id="386224850">
      <w:marLeft w:val="0"/>
      <w:marRight w:val="0"/>
      <w:marTop w:val="0"/>
      <w:marBottom w:val="0"/>
      <w:divBdr>
        <w:top w:val="none" w:sz="0" w:space="0" w:color="auto"/>
        <w:left w:val="none" w:sz="0" w:space="0" w:color="auto"/>
        <w:bottom w:val="none" w:sz="0" w:space="0" w:color="auto"/>
        <w:right w:val="none" w:sz="0" w:space="0" w:color="auto"/>
      </w:divBdr>
    </w:div>
    <w:div w:id="386271583">
      <w:marLeft w:val="0"/>
      <w:marRight w:val="0"/>
      <w:marTop w:val="0"/>
      <w:marBottom w:val="0"/>
      <w:divBdr>
        <w:top w:val="none" w:sz="0" w:space="0" w:color="auto"/>
        <w:left w:val="none" w:sz="0" w:space="0" w:color="auto"/>
        <w:bottom w:val="none" w:sz="0" w:space="0" w:color="auto"/>
        <w:right w:val="none" w:sz="0" w:space="0" w:color="auto"/>
      </w:divBdr>
    </w:div>
    <w:div w:id="391924412">
      <w:marLeft w:val="0"/>
      <w:marRight w:val="0"/>
      <w:marTop w:val="0"/>
      <w:marBottom w:val="0"/>
      <w:divBdr>
        <w:top w:val="none" w:sz="0" w:space="0" w:color="auto"/>
        <w:left w:val="none" w:sz="0" w:space="0" w:color="auto"/>
        <w:bottom w:val="none" w:sz="0" w:space="0" w:color="auto"/>
        <w:right w:val="none" w:sz="0" w:space="0" w:color="auto"/>
      </w:divBdr>
    </w:div>
    <w:div w:id="394620980">
      <w:marLeft w:val="0"/>
      <w:marRight w:val="0"/>
      <w:marTop w:val="0"/>
      <w:marBottom w:val="0"/>
      <w:divBdr>
        <w:top w:val="none" w:sz="0" w:space="0" w:color="auto"/>
        <w:left w:val="none" w:sz="0" w:space="0" w:color="auto"/>
        <w:bottom w:val="none" w:sz="0" w:space="0" w:color="auto"/>
        <w:right w:val="none" w:sz="0" w:space="0" w:color="auto"/>
      </w:divBdr>
    </w:div>
    <w:div w:id="395401407">
      <w:marLeft w:val="0"/>
      <w:marRight w:val="0"/>
      <w:marTop w:val="0"/>
      <w:marBottom w:val="0"/>
      <w:divBdr>
        <w:top w:val="none" w:sz="0" w:space="0" w:color="auto"/>
        <w:left w:val="none" w:sz="0" w:space="0" w:color="auto"/>
        <w:bottom w:val="none" w:sz="0" w:space="0" w:color="auto"/>
        <w:right w:val="none" w:sz="0" w:space="0" w:color="auto"/>
      </w:divBdr>
    </w:div>
    <w:div w:id="396053210">
      <w:marLeft w:val="0"/>
      <w:marRight w:val="0"/>
      <w:marTop w:val="0"/>
      <w:marBottom w:val="0"/>
      <w:divBdr>
        <w:top w:val="none" w:sz="0" w:space="0" w:color="auto"/>
        <w:left w:val="none" w:sz="0" w:space="0" w:color="auto"/>
        <w:bottom w:val="none" w:sz="0" w:space="0" w:color="auto"/>
        <w:right w:val="none" w:sz="0" w:space="0" w:color="auto"/>
      </w:divBdr>
    </w:div>
    <w:div w:id="400366673">
      <w:marLeft w:val="0"/>
      <w:marRight w:val="0"/>
      <w:marTop w:val="0"/>
      <w:marBottom w:val="0"/>
      <w:divBdr>
        <w:top w:val="none" w:sz="0" w:space="0" w:color="auto"/>
        <w:left w:val="none" w:sz="0" w:space="0" w:color="auto"/>
        <w:bottom w:val="none" w:sz="0" w:space="0" w:color="auto"/>
        <w:right w:val="none" w:sz="0" w:space="0" w:color="auto"/>
      </w:divBdr>
    </w:div>
    <w:div w:id="403837584">
      <w:marLeft w:val="0"/>
      <w:marRight w:val="0"/>
      <w:marTop w:val="0"/>
      <w:marBottom w:val="0"/>
      <w:divBdr>
        <w:top w:val="none" w:sz="0" w:space="0" w:color="auto"/>
        <w:left w:val="none" w:sz="0" w:space="0" w:color="auto"/>
        <w:bottom w:val="none" w:sz="0" w:space="0" w:color="auto"/>
        <w:right w:val="none" w:sz="0" w:space="0" w:color="auto"/>
      </w:divBdr>
    </w:div>
    <w:div w:id="405037991">
      <w:marLeft w:val="0"/>
      <w:marRight w:val="0"/>
      <w:marTop w:val="0"/>
      <w:marBottom w:val="0"/>
      <w:divBdr>
        <w:top w:val="none" w:sz="0" w:space="0" w:color="auto"/>
        <w:left w:val="none" w:sz="0" w:space="0" w:color="auto"/>
        <w:bottom w:val="none" w:sz="0" w:space="0" w:color="auto"/>
        <w:right w:val="none" w:sz="0" w:space="0" w:color="auto"/>
      </w:divBdr>
    </w:div>
    <w:div w:id="407338549">
      <w:marLeft w:val="0"/>
      <w:marRight w:val="0"/>
      <w:marTop w:val="0"/>
      <w:marBottom w:val="0"/>
      <w:divBdr>
        <w:top w:val="none" w:sz="0" w:space="0" w:color="auto"/>
        <w:left w:val="none" w:sz="0" w:space="0" w:color="auto"/>
        <w:bottom w:val="none" w:sz="0" w:space="0" w:color="auto"/>
        <w:right w:val="none" w:sz="0" w:space="0" w:color="auto"/>
      </w:divBdr>
    </w:div>
    <w:div w:id="409426138">
      <w:marLeft w:val="0"/>
      <w:marRight w:val="0"/>
      <w:marTop w:val="0"/>
      <w:marBottom w:val="0"/>
      <w:divBdr>
        <w:top w:val="none" w:sz="0" w:space="0" w:color="auto"/>
        <w:left w:val="none" w:sz="0" w:space="0" w:color="auto"/>
        <w:bottom w:val="none" w:sz="0" w:space="0" w:color="auto"/>
        <w:right w:val="none" w:sz="0" w:space="0" w:color="auto"/>
      </w:divBdr>
    </w:div>
    <w:div w:id="412050808">
      <w:marLeft w:val="0"/>
      <w:marRight w:val="0"/>
      <w:marTop w:val="0"/>
      <w:marBottom w:val="0"/>
      <w:divBdr>
        <w:top w:val="none" w:sz="0" w:space="0" w:color="auto"/>
        <w:left w:val="none" w:sz="0" w:space="0" w:color="auto"/>
        <w:bottom w:val="none" w:sz="0" w:space="0" w:color="auto"/>
        <w:right w:val="none" w:sz="0" w:space="0" w:color="auto"/>
      </w:divBdr>
    </w:div>
    <w:div w:id="412438409">
      <w:marLeft w:val="0"/>
      <w:marRight w:val="0"/>
      <w:marTop w:val="0"/>
      <w:marBottom w:val="0"/>
      <w:divBdr>
        <w:top w:val="none" w:sz="0" w:space="0" w:color="auto"/>
        <w:left w:val="none" w:sz="0" w:space="0" w:color="auto"/>
        <w:bottom w:val="none" w:sz="0" w:space="0" w:color="auto"/>
        <w:right w:val="none" w:sz="0" w:space="0" w:color="auto"/>
      </w:divBdr>
    </w:div>
    <w:div w:id="412628897">
      <w:marLeft w:val="0"/>
      <w:marRight w:val="0"/>
      <w:marTop w:val="0"/>
      <w:marBottom w:val="0"/>
      <w:divBdr>
        <w:top w:val="none" w:sz="0" w:space="0" w:color="auto"/>
        <w:left w:val="none" w:sz="0" w:space="0" w:color="auto"/>
        <w:bottom w:val="none" w:sz="0" w:space="0" w:color="auto"/>
        <w:right w:val="none" w:sz="0" w:space="0" w:color="auto"/>
      </w:divBdr>
    </w:div>
    <w:div w:id="413742790">
      <w:marLeft w:val="0"/>
      <w:marRight w:val="0"/>
      <w:marTop w:val="0"/>
      <w:marBottom w:val="0"/>
      <w:divBdr>
        <w:top w:val="none" w:sz="0" w:space="0" w:color="auto"/>
        <w:left w:val="none" w:sz="0" w:space="0" w:color="auto"/>
        <w:bottom w:val="none" w:sz="0" w:space="0" w:color="auto"/>
        <w:right w:val="none" w:sz="0" w:space="0" w:color="auto"/>
      </w:divBdr>
    </w:div>
    <w:div w:id="416251108">
      <w:marLeft w:val="0"/>
      <w:marRight w:val="0"/>
      <w:marTop w:val="0"/>
      <w:marBottom w:val="0"/>
      <w:divBdr>
        <w:top w:val="none" w:sz="0" w:space="0" w:color="auto"/>
        <w:left w:val="none" w:sz="0" w:space="0" w:color="auto"/>
        <w:bottom w:val="none" w:sz="0" w:space="0" w:color="auto"/>
        <w:right w:val="none" w:sz="0" w:space="0" w:color="auto"/>
      </w:divBdr>
    </w:div>
    <w:div w:id="420613401">
      <w:marLeft w:val="0"/>
      <w:marRight w:val="0"/>
      <w:marTop w:val="0"/>
      <w:marBottom w:val="0"/>
      <w:divBdr>
        <w:top w:val="none" w:sz="0" w:space="0" w:color="auto"/>
        <w:left w:val="none" w:sz="0" w:space="0" w:color="auto"/>
        <w:bottom w:val="none" w:sz="0" w:space="0" w:color="auto"/>
        <w:right w:val="none" w:sz="0" w:space="0" w:color="auto"/>
      </w:divBdr>
    </w:div>
    <w:div w:id="426315485">
      <w:marLeft w:val="0"/>
      <w:marRight w:val="0"/>
      <w:marTop w:val="0"/>
      <w:marBottom w:val="0"/>
      <w:divBdr>
        <w:top w:val="none" w:sz="0" w:space="0" w:color="auto"/>
        <w:left w:val="none" w:sz="0" w:space="0" w:color="auto"/>
        <w:bottom w:val="none" w:sz="0" w:space="0" w:color="auto"/>
        <w:right w:val="none" w:sz="0" w:space="0" w:color="auto"/>
      </w:divBdr>
    </w:div>
    <w:div w:id="427964566">
      <w:marLeft w:val="0"/>
      <w:marRight w:val="0"/>
      <w:marTop w:val="0"/>
      <w:marBottom w:val="0"/>
      <w:divBdr>
        <w:top w:val="none" w:sz="0" w:space="0" w:color="auto"/>
        <w:left w:val="none" w:sz="0" w:space="0" w:color="auto"/>
        <w:bottom w:val="none" w:sz="0" w:space="0" w:color="auto"/>
        <w:right w:val="none" w:sz="0" w:space="0" w:color="auto"/>
      </w:divBdr>
    </w:div>
    <w:div w:id="430702971">
      <w:marLeft w:val="0"/>
      <w:marRight w:val="0"/>
      <w:marTop w:val="0"/>
      <w:marBottom w:val="0"/>
      <w:divBdr>
        <w:top w:val="none" w:sz="0" w:space="0" w:color="auto"/>
        <w:left w:val="none" w:sz="0" w:space="0" w:color="auto"/>
        <w:bottom w:val="none" w:sz="0" w:space="0" w:color="auto"/>
        <w:right w:val="none" w:sz="0" w:space="0" w:color="auto"/>
      </w:divBdr>
    </w:div>
    <w:div w:id="430708842">
      <w:marLeft w:val="0"/>
      <w:marRight w:val="0"/>
      <w:marTop w:val="0"/>
      <w:marBottom w:val="0"/>
      <w:divBdr>
        <w:top w:val="none" w:sz="0" w:space="0" w:color="auto"/>
        <w:left w:val="none" w:sz="0" w:space="0" w:color="auto"/>
        <w:bottom w:val="none" w:sz="0" w:space="0" w:color="auto"/>
        <w:right w:val="none" w:sz="0" w:space="0" w:color="auto"/>
      </w:divBdr>
    </w:div>
    <w:div w:id="434442592">
      <w:marLeft w:val="0"/>
      <w:marRight w:val="0"/>
      <w:marTop w:val="0"/>
      <w:marBottom w:val="0"/>
      <w:divBdr>
        <w:top w:val="none" w:sz="0" w:space="0" w:color="auto"/>
        <w:left w:val="none" w:sz="0" w:space="0" w:color="auto"/>
        <w:bottom w:val="none" w:sz="0" w:space="0" w:color="auto"/>
        <w:right w:val="none" w:sz="0" w:space="0" w:color="auto"/>
      </w:divBdr>
    </w:div>
    <w:div w:id="434709656">
      <w:marLeft w:val="0"/>
      <w:marRight w:val="0"/>
      <w:marTop w:val="0"/>
      <w:marBottom w:val="0"/>
      <w:divBdr>
        <w:top w:val="none" w:sz="0" w:space="0" w:color="auto"/>
        <w:left w:val="none" w:sz="0" w:space="0" w:color="auto"/>
        <w:bottom w:val="none" w:sz="0" w:space="0" w:color="auto"/>
        <w:right w:val="none" w:sz="0" w:space="0" w:color="auto"/>
      </w:divBdr>
    </w:div>
    <w:div w:id="434984991">
      <w:marLeft w:val="0"/>
      <w:marRight w:val="0"/>
      <w:marTop w:val="0"/>
      <w:marBottom w:val="0"/>
      <w:divBdr>
        <w:top w:val="none" w:sz="0" w:space="0" w:color="auto"/>
        <w:left w:val="none" w:sz="0" w:space="0" w:color="auto"/>
        <w:bottom w:val="none" w:sz="0" w:space="0" w:color="auto"/>
        <w:right w:val="none" w:sz="0" w:space="0" w:color="auto"/>
      </w:divBdr>
    </w:div>
    <w:div w:id="437214041">
      <w:marLeft w:val="0"/>
      <w:marRight w:val="0"/>
      <w:marTop w:val="0"/>
      <w:marBottom w:val="0"/>
      <w:divBdr>
        <w:top w:val="none" w:sz="0" w:space="0" w:color="auto"/>
        <w:left w:val="none" w:sz="0" w:space="0" w:color="auto"/>
        <w:bottom w:val="none" w:sz="0" w:space="0" w:color="auto"/>
        <w:right w:val="none" w:sz="0" w:space="0" w:color="auto"/>
      </w:divBdr>
    </w:div>
    <w:div w:id="440956744">
      <w:marLeft w:val="0"/>
      <w:marRight w:val="0"/>
      <w:marTop w:val="0"/>
      <w:marBottom w:val="0"/>
      <w:divBdr>
        <w:top w:val="none" w:sz="0" w:space="0" w:color="auto"/>
        <w:left w:val="none" w:sz="0" w:space="0" w:color="auto"/>
        <w:bottom w:val="none" w:sz="0" w:space="0" w:color="auto"/>
        <w:right w:val="none" w:sz="0" w:space="0" w:color="auto"/>
      </w:divBdr>
    </w:div>
    <w:div w:id="450368561">
      <w:marLeft w:val="0"/>
      <w:marRight w:val="0"/>
      <w:marTop w:val="0"/>
      <w:marBottom w:val="0"/>
      <w:divBdr>
        <w:top w:val="none" w:sz="0" w:space="0" w:color="auto"/>
        <w:left w:val="none" w:sz="0" w:space="0" w:color="auto"/>
        <w:bottom w:val="none" w:sz="0" w:space="0" w:color="auto"/>
        <w:right w:val="none" w:sz="0" w:space="0" w:color="auto"/>
      </w:divBdr>
    </w:div>
    <w:div w:id="452410135">
      <w:marLeft w:val="0"/>
      <w:marRight w:val="0"/>
      <w:marTop w:val="0"/>
      <w:marBottom w:val="0"/>
      <w:divBdr>
        <w:top w:val="none" w:sz="0" w:space="0" w:color="auto"/>
        <w:left w:val="none" w:sz="0" w:space="0" w:color="auto"/>
        <w:bottom w:val="none" w:sz="0" w:space="0" w:color="auto"/>
        <w:right w:val="none" w:sz="0" w:space="0" w:color="auto"/>
      </w:divBdr>
    </w:div>
    <w:div w:id="455686323">
      <w:marLeft w:val="0"/>
      <w:marRight w:val="0"/>
      <w:marTop w:val="0"/>
      <w:marBottom w:val="0"/>
      <w:divBdr>
        <w:top w:val="none" w:sz="0" w:space="0" w:color="auto"/>
        <w:left w:val="none" w:sz="0" w:space="0" w:color="auto"/>
        <w:bottom w:val="none" w:sz="0" w:space="0" w:color="auto"/>
        <w:right w:val="none" w:sz="0" w:space="0" w:color="auto"/>
      </w:divBdr>
    </w:div>
    <w:div w:id="457379879">
      <w:marLeft w:val="0"/>
      <w:marRight w:val="0"/>
      <w:marTop w:val="0"/>
      <w:marBottom w:val="0"/>
      <w:divBdr>
        <w:top w:val="none" w:sz="0" w:space="0" w:color="auto"/>
        <w:left w:val="none" w:sz="0" w:space="0" w:color="auto"/>
        <w:bottom w:val="none" w:sz="0" w:space="0" w:color="auto"/>
        <w:right w:val="none" w:sz="0" w:space="0" w:color="auto"/>
      </w:divBdr>
      <w:divsChild>
        <w:div w:id="912205233">
          <w:marLeft w:val="0"/>
          <w:marRight w:val="0"/>
          <w:marTop w:val="0"/>
          <w:marBottom w:val="0"/>
          <w:divBdr>
            <w:top w:val="none" w:sz="0" w:space="0" w:color="auto"/>
            <w:left w:val="none" w:sz="0" w:space="0" w:color="auto"/>
            <w:bottom w:val="none" w:sz="0" w:space="0" w:color="auto"/>
            <w:right w:val="none" w:sz="0" w:space="0" w:color="auto"/>
          </w:divBdr>
        </w:div>
      </w:divsChild>
    </w:div>
    <w:div w:id="461727646">
      <w:marLeft w:val="0"/>
      <w:marRight w:val="0"/>
      <w:marTop w:val="0"/>
      <w:marBottom w:val="0"/>
      <w:divBdr>
        <w:top w:val="none" w:sz="0" w:space="0" w:color="auto"/>
        <w:left w:val="none" w:sz="0" w:space="0" w:color="auto"/>
        <w:bottom w:val="none" w:sz="0" w:space="0" w:color="auto"/>
        <w:right w:val="none" w:sz="0" w:space="0" w:color="auto"/>
      </w:divBdr>
    </w:div>
    <w:div w:id="462312087">
      <w:marLeft w:val="0"/>
      <w:marRight w:val="0"/>
      <w:marTop w:val="0"/>
      <w:marBottom w:val="0"/>
      <w:divBdr>
        <w:top w:val="none" w:sz="0" w:space="0" w:color="auto"/>
        <w:left w:val="none" w:sz="0" w:space="0" w:color="auto"/>
        <w:bottom w:val="none" w:sz="0" w:space="0" w:color="auto"/>
        <w:right w:val="none" w:sz="0" w:space="0" w:color="auto"/>
      </w:divBdr>
    </w:div>
    <w:div w:id="465200916">
      <w:marLeft w:val="0"/>
      <w:marRight w:val="0"/>
      <w:marTop w:val="0"/>
      <w:marBottom w:val="0"/>
      <w:divBdr>
        <w:top w:val="none" w:sz="0" w:space="0" w:color="auto"/>
        <w:left w:val="none" w:sz="0" w:space="0" w:color="auto"/>
        <w:bottom w:val="none" w:sz="0" w:space="0" w:color="auto"/>
        <w:right w:val="none" w:sz="0" w:space="0" w:color="auto"/>
      </w:divBdr>
    </w:div>
    <w:div w:id="466513190">
      <w:marLeft w:val="0"/>
      <w:marRight w:val="0"/>
      <w:marTop w:val="0"/>
      <w:marBottom w:val="0"/>
      <w:divBdr>
        <w:top w:val="none" w:sz="0" w:space="0" w:color="auto"/>
        <w:left w:val="none" w:sz="0" w:space="0" w:color="auto"/>
        <w:bottom w:val="none" w:sz="0" w:space="0" w:color="auto"/>
        <w:right w:val="none" w:sz="0" w:space="0" w:color="auto"/>
      </w:divBdr>
    </w:div>
    <w:div w:id="468137445">
      <w:marLeft w:val="0"/>
      <w:marRight w:val="0"/>
      <w:marTop w:val="40"/>
      <w:marBottom w:val="20"/>
      <w:divBdr>
        <w:top w:val="none" w:sz="0" w:space="0" w:color="auto"/>
        <w:left w:val="none" w:sz="0" w:space="0" w:color="auto"/>
        <w:bottom w:val="none" w:sz="0" w:space="0" w:color="auto"/>
        <w:right w:val="none" w:sz="0" w:space="0" w:color="auto"/>
      </w:divBdr>
    </w:div>
    <w:div w:id="470368453">
      <w:marLeft w:val="0"/>
      <w:marRight w:val="0"/>
      <w:marTop w:val="0"/>
      <w:marBottom w:val="0"/>
      <w:divBdr>
        <w:top w:val="none" w:sz="0" w:space="0" w:color="auto"/>
        <w:left w:val="none" w:sz="0" w:space="0" w:color="auto"/>
        <w:bottom w:val="none" w:sz="0" w:space="0" w:color="auto"/>
        <w:right w:val="none" w:sz="0" w:space="0" w:color="auto"/>
      </w:divBdr>
    </w:div>
    <w:div w:id="470833939">
      <w:marLeft w:val="0"/>
      <w:marRight w:val="0"/>
      <w:marTop w:val="0"/>
      <w:marBottom w:val="0"/>
      <w:divBdr>
        <w:top w:val="none" w:sz="0" w:space="0" w:color="auto"/>
        <w:left w:val="none" w:sz="0" w:space="0" w:color="auto"/>
        <w:bottom w:val="none" w:sz="0" w:space="0" w:color="auto"/>
        <w:right w:val="none" w:sz="0" w:space="0" w:color="auto"/>
      </w:divBdr>
    </w:div>
    <w:div w:id="472450698">
      <w:marLeft w:val="0"/>
      <w:marRight w:val="0"/>
      <w:marTop w:val="0"/>
      <w:marBottom w:val="0"/>
      <w:divBdr>
        <w:top w:val="none" w:sz="0" w:space="0" w:color="auto"/>
        <w:left w:val="none" w:sz="0" w:space="0" w:color="auto"/>
        <w:bottom w:val="none" w:sz="0" w:space="0" w:color="auto"/>
        <w:right w:val="none" w:sz="0" w:space="0" w:color="auto"/>
      </w:divBdr>
    </w:div>
    <w:div w:id="472910956">
      <w:marLeft w:val="0"/>
      <w:marRight w:val="0"/>
      <w:marTop w:val="0"/>
      <w:marBottom w:val="0"/>
      <w:divBdr>
        <w:top w:val="none" w:sz="0" w:space="0" w:color="auto"/>
        <w:left w:val="none" w:sz="0" w:space="0" w:color="auto"/>
        <w:bottom w:val="none" w:sz="0" w:space="0" w:color="auto"/>
        <w:right w:val="none" w:sz="0" w:space="0" w:color="auto"/>
      </w:divBdr>
    </w:div>
    <w:div w:id="474880480">
      <w:marLeft w:val="0"/>
      <w:marRight w:val="0"/>
      <w:marTop w:val="0"/>
      <w:marBottom w:val="0"/>
      <w:divBdr>
        <w:top w:val="none" w:sz="0" w:space="0" w:color="auto"/>
        <w:left w:val="none" w:sz="0" w:space="0" w:color="auto"/>
        <w:bottom w:val="none" w:sz="0" w:space="0" w:color="auto"/>
        <w:right w:val="none" w:sz="0" w:space="0" w:color="auto"/>
      </w:divBdr>
    </w:div>
    <w:div w:id="475342908">
      <w:marLeft w:val="0"/>
      <w:marRight w:val="0"/>
      <w:marTop w:val="0"/>
      <w:marBottom w:val="0"/>
      <w:divBdr>
        <w:top w:val="none" w:sz="0" w:space="0" w:color="auto"/>
        <w:left w:val="none" w:sz="0" w:space="0" w:color="auto"/>
        <w:bottom w:val="none" w:sz="0" w:space="0" w:color="auto"/>
        <w:right w:val="none" w:sz="0" w:space="0" w:color="auto"/>
      </w:divBdr>
    </w:div>
    <w:div w:id="480969150">
      <w:marLeft w:val="0"/>
      <w:marRight w:val="0"/>
      <w:marTop w:val="0"/>
      <w:marBottom w:val="0"/>
      <w:divBdr>
        <w:top w:val="none" w:sz="0" w:space="0" w:color="auto"/>
        <w:left w:val="none" w:sz="0" w:space="0" w:color="auto"/>
        <w:bottom w:val="none" w:sz="0" w:space="0" w:color="auto"/>
        <w:right w:val="none" w:sz="0" w:space="0" w:color="auto"/>
      </w:divBdr>
    </w:div>
    <w:div w:id="481316238">
      <w:marLeft w:val="0"/>
      <w:marRight w:val="0"/>
      <w:marTop w:val="0"/>
      <w:marBottom w:val="0"/>
      <w:divBdr>
        <w:top w:val="none" w:sz="0" w:space="0" w:color="auto"/>
        <w:left w:val="none" w:sz="0" w:space="0" w:color="auto"/>
        <w:bottom w:val="none" w:sz="0" w:space="0" w:color="auto"/>
        <w:right w:val="none" w:sz="0" w:space="0" w:color="auto"/>
      </w:divBdr>
    </w:div>
    <w:div w:id="484471482">
      <w:marLeft w:val="0"/>
      <w:marRight w:val="0"/>
      <w:marTop w:val="0"/>
      <w:marBottom w:val="0"/>
      <w:divBdr>
        <w:top w:val="none" w:sz="0" w:space="0" w:color="auto"/>
        <w:left w:val="none" w:sz="0" w:space="0" w:color="auto"/>
        <w:bottom w:val="none" w:sz="0" w:space="0" w:color="auto"/>
        <w:right w:val="none" w:sz="0" w:space="0" w:color="auto"/>
      </w:divBdr>
    </w:div>
    <w:div w:id="484473319">
      <w:marLeft w:val="0"/>
      <w:marRight w:val="0"/>
      <w:marTop w:val="0"/>
      <w:marBottom w:val="0"/>
      <w:divBdr>
        <w:top w:val="none" w:sz="0" w:space="0" w:color="auto"/>
        <w:left w:val="none" w:sz="0" w:space="0" w:color="auto"/>
        <w:bottom w:val="none" w:sz="0" w:space="0" w:color="auto"/>
        <w:right w:val="none" w:sz="0" w:space="0" w:color="auto"/>
      </w:divBdr>
    </w:div>
    <w:div w:id="488180492">
      <w:marLeft w:val="0"/>
      <w:marRight w:val="0"/>
      <w:marTop w:val="0"/>
      <w:marBottom w:val="0"/>
      <w:divBdr>
        <w:top w:val="none" w:sz="0" w:space="0" w:color="auto"/>
        <w:left w:val="none" w:sz="0" w:space="0" w:color="auto"/>
        <w:bottom w:val="none" w:sz="0" w:space="0" w:color="auto"/>
        <w:right w:val="none" w:sz="0" w:space="0" w:color="auto"/>
      </w:divBdr>
    </w:div>
    <w:div w:id="489828713">
      <w:marLeft w:val="0"/>
      <w:marRight w:val="0"/>
      <w:marTop w:val="0"/>
      <w:marBottom w:val="0"/>
      <w:divBdr>
        <w:top w:val="none" w:sz="0" w:space="0" w:color="auto"/>
        <w:left w:val="none" w:sz="0" w:space="0" w:color="auto"/>
        <w:bottom w:val="none" w:sz="0" w:space="0" w:color="auto"/>
        <w:right w:val="none" w:sz="0" w:space="0" w:color="auto"/>
      </w:divBdr>
    </w:div>
    <w:div w:id="490020839">
      <w:marLeft w:val="0"/>
      <w:marRight w:val="0"/>
      <w:marTop w:val="0"/>
      <w:marBottom w:val="0"/>
      <w:divBdr>
        <w:top w:val="none" w:sz="0" w:space="0" w:color="auto"/>
        <w:left w:val="none" w:sz="0" w:space="0" w:color="auto"/>
        <w:bottom w:val="none" w:sz="0" w:space="0" w:color="auto"/>
        <w:right w:val="none" w:sz="0" w:space="0" w:color="auto"/>
      </w:divBdr>
    </w:div>
    <w:div w:id="490099509">
      <w:marLeft w:val="0"/>
      <w:marRight w:val="0"/>
      <w:marTop w:val="0"/>
      <w:marBottom w:val="0"/>
      <w:divBdr>
        <w:top w:val="none" w:sz="0" w:space="0" w:color="auto"/>
        <w:left w:val="none" w:sz="0" w:space="0" w:color="auto"/>
        <w:bottom w:val="none" w:sz="0" w:space="0" w:color="auto"/>
        <w:right w:val="none" w:sz="0" w:space="0" w:color="auto"/>
      </w:divBdr>
    </w:div>
    <w:div w:id="490560901">
      <w:marLeft w:val="0"/>
      <w:marRight w:val="0"/>
      <w:marTop w:val="0"/>
      <w:marBottom w:val="0"/>
      <w:divBdr>
        <w:top w:val="none" w:sz="0" w:space="0" w:color="auto"/>
        <w:left w:val="none" w:sz="0" w:space="0" w:color="auto"/>
        <w:bottom w:val="none" w:sz="0" w:space="0" w:color="auto"/>
        <w:right w:val="none" w:sz="0" w:space="0" w:color="auto"/>
      </w:divBdr>
    </w:div>
    <w:div w:id="490877968">
      <w:marLeft w:val="0"/>
      <w:marRight w:val="0"/>
      <w:marTop w:val="0"/>
      <w:marBottom w:val="0"/>
      <w:divBdr>
        <w:top w:val="none" w:sz="0" w:space="0" w:color="auto"/>
        <w:left w:val="none" w:sz="0" w:space="0" w:color="auto"/>
        <w:bottom w:val="none" w:sz="0" w:space="0" w:color="auto"/>
        <w:right w:val="none" w:sz="0" w:space="0" w:color="auto"/>
      </w:divBdr>
    </w:div>
    <w:div w:id="492071025">
      <w:marLeft w:val="0"/>
      <w:marRight w:val="0"/>
      <w:marTop w:val="0"/>
      <w:marBottom w:val="0"/>
      <w:divBdr>
        <w:top w:val="none" w:sz="0" w:space="0" w:color="auto"/>
        <w:left w:val="none" w:sz="0" w:space="0" w:color="auto"/>
        <w:bottom w:val="none" w:sz="0" w:space="0" w:color="auto"/>
        <w:right w:val="none" w:sz="0" w:space="0" w:color="auto"/>
      </w:divBdr>
    </w:div>
    <w:div w:id="496502376">
      <w:marLeft w:val="0"/>
      <w:marRight w:val="0"/>
      <w:marTop w:val="0"/>
      <w:marBottom w:val="0"/>
      <w:divBdr>
        <w:top w:val="none" w:sz="0" w:space="0" w:color="auto"/>
        <w:left w:val="none" w:sz="0" w:space="0" w:color="auto"/>
        <w:bottom w:val="none" w:sz="0" w:space="0" w:color="auto"/>
        <w:right w:val="none" w:sz="0" w:space="0" w:color="auto"/>
      </w:divBdr>
    </w:div>
    <w:div w:id="496650495">
      <w:marLeft w:val="0"/>
      <w:marRight w:val="0"/>
      <w:marTop w:val="0"/>
      <w:marBottom w:val="0"/>
      <w:divBdr>
        <w:top w:val="none" w:sz="0" w:space="0" w:color="auto"/>
        <w:left w:val="none" w:sz="0" w:space="0" w:color="auto"/>
        <w:bottom w:val="none" w:sz="0" w:space="0" w:color="auto"/>
        <w:right w:val="none" w:sz="0" w:space="0" w:color="auto"/>
      </w:divBdr>
    </w:div>
    <w:div w:id="496773679">
      <w:marLeft w:val="0"/>
      <w:marRight w:val="0"/>
      <w:marTop w:val="0"/>
      <w:marBottom w:val="0"/>
      <w:divBdr>
        <w:top w:val="none" w:sz="0" w:space="0" w:color="auto"/>
        <w:left w:val="none" w:sz="0" w:space="0" w:color="auto"/>
        <w:bottom w:val="none" w:sz="0" w:space="0" w:color="auto"/>
        <w:right w:val="none" w:sz="0" w:space="0" w:color="auto"/>
      </w:divBdr>
    </w:div>
    <w:div w:id="497581350">
      <w:marLeft w:val="0"/>
      <w:marRight w:val="0"/>
      <w:marTop w:val="0"/>
      <w:marBottom w:val="0"/>
      <w:divBdr>
        <w:top w:val="none" w:sz="0" w:space="0" w:color="auto"/>
        <w:left w:val="none" w:sz="0" w:space="0" w:color="auto"/>
        <w:bottom w:val="none" w:sz="0" w:space="0" w:color="auto"/>
        <w:right w:val="none" w:sz="0" w:space="0" w:color="auto"/>
      </w:divBdr>
    </w:div>
    <w:div w:id="499587524">
      <w:marLeft w:val="0"/>
      <w:marRight w:val="0"/>
      <w:marTop w:val="0"/>
      <w:marBottom w:val="0"/>
      <w:divBdr>
        <w:top w:val="none" w:sz="0" w:space="0" w:color="auto"/>
        <w:left w:val="none" w:sz="0" w:space="0" w:color="auto"/>
        <w:bottom w:val="none" w:sz="0" w:space="0" w:color="auto"/>
        <w:right w:val="none" w:sz="0" w:space="0" w:color="auto"/>
      </w:divBdr>
    </w:div>
    <w:div w:id="500050449">
      <w:marLeft w:val="0"/>
      <w:marRight w:val="0"/>
      <w:marTop w:val="0"/>
      <w:marBottom w:val="0"/>
      <w:divBdr>
        <w:top w:val="none" w:sz="0" w:space="0" w:color="auto"/>
        <w:left w:val="none" w:sz="0" w:space="0" w:color="auto"/>
        <w:bottom w:val="none" w:sz="0" w:space="0" w:color="auto"/>
        <w:right w:val="none" w:sz="0" w:space="0" w:color="auto"/>
      </w:divBdr>
    </w:div>
    <w:div w:id="500052052">
      <w:marLeft w:val="0"/>
      <w:marRight w:val="0"/>
      <w:marTop w:val="0"/>
      <w:marBottom w:val="0"/>
      <w:divBdr>
        <w:top w:val="none" w:sz="0" w:space="0" w:color="auto"/>
        <w:left w:val="none" w:sz="0" w:space="0" w:color="auto"/>
        <w:bottom w:val="none" w:sz="0" w:space="0" w:color="auto"/>
        <w:right w:val="none" w:sz="0" w:space="0" w:color="auto"/>
      </w:divBdr>
    </w:div>
    <w:div w:id="504440908">
      <w:marLeft w:val="0"/>
      <w:marRight w:val="0"/>
      <w:marTop w:val="0"/>
      <w:marBottom w:val="0"/>
      <w:divBdr>
        <w:top w:val="none" w:sz="0" w:space="0" w:color="auto"/>
        <w:left w:val="none" w:sz="0" w:space="0" w:color="auto"/>
        <w:bottom w:val="none" w:sz="0" w:space="0" w:color="auto"/>
        <w:right w:val="none" w:sz="0" w:space="0" w:color="auto"/>
      </w:divBdr>
    </w:div>
    <w:div w:id="507987754">
      <w:marLeft w:val="0"/>
      <w:marRight w:val="0"/>
      <w:marTop w:val="0"/>
      <w:marBottom w:val="0"/>
      <w:divBdr>
        <w:top w:val="none" w:sz="0" w:space="0" w:color="auto"/>
        <w:left w:val="none" w:sz="0" w:space="0" w:color="auto"/>
        <w:bottom w:val="none" w:sz="0" w:space="0" w:color="auto"/>
        <w:right w:val="none" w:sz="0" w:space="0" w:color="auto"/>
      </w:divBdr>
    </w:div>
    <w:div w:id="507991054">
      <w:marLeft w:val="0"/>
      <w:marRight w:val="0"/>
      <w:marTop w:val="0"/>
      <w:marBottom w:val="0"/>
      <w:divBdr>
        <w:top w:val="none" w:sz="0" w:space="0" w:color="auto"/>
        <w:left w:val="none" w:sz="0" w:space="0" w:color="auto"/>
        <w:bottom w:val="none" w:sz="0" w:space="0" w:color="auto"/>
        <w:right w:val="none" w:sz="0" w:space="0" w:color="auto"/>
      </w:divBdr>
    </w:div>
    <w:div w:id="508372052">
      <w:marLeft w:val="0"/>
      <w:marRight w:val="0"/>
      <w:marTop w:val="0"/>
      <w:marBottom w:val="0"/>
      <w:divBdr>
        <w:top w:val="none" w:sz="0" w:space="0" w:color="auto"/>
        <w:left w:val="none" w:sz="0" w:space="0" w:color="auto"/>
        <w:bottom w:val="none" w:sz="0" w:space="0" w:color="auto"/>
        <w:right w:val="none" w:sz="0" w:space="0" w:color="auto"/>
      </w:divBdr>
    </w:div>
    <w:div w:id="509805992">
      <w:marLeft w:val="0"/>
      <w:marRight w:val="0"/>
      <w:marTop w:val="0"/>
      <w:marBottom w:val="0"/>
      <w:divBdr>
        <w:top w:val="none" w:sz="0" w:space="0" w:color="auto"/>
        <w:left w:val="none" w:sz="0" w:space="0" w:color="auto"/>
        <w:bottom w:val="none" w:sz="0" w:space="0" w:color="auto"/>
        <w:right w:val="none" w:sz="0" w:space="0" w:color="auto"/>
      </w:divBdr>
    </w:div>
    <w:div w:id="509951651">
      <w:marLeft w:val="0"/>
      <w:marRight w:val="0"/>
      <w:marTop w:val="0"/>
      <w:marBottom w:val="0"/>
      <w:divBdr>
        <w:top w:val="none" w:sz="0" w:space="0" w:color="auto"/>
        <w:left w:val="none" w:sz="0" w:space="0" w:color="auto"/>
        <w:bottom w:val="none" w:sz="0" w:space="0" w:color="auto"/>
        <w:right w:val="none" w:sz="0" w:space="0" w:color="auto"/>
      </w:divBdr>
      <w:divsChild>
        <w:div w:id="825782260">
          <w:marLeft w:val="0"/>
          <w:marRight w:val="0"/>
          <w:marTop w:val="0"/>
          <w:marBottom w:val="0"/>
          <w:divBdr>
            <w:top w:val="none" w:sz="0" w:space="0" w:color="auto"/>
            <w:left w:val="none" w:sz="0" w:space="0" w:color="auto"/>
            <w:bottom w:val="none" w:sz="0" w:space="0" w:color="auto"/>
            <w:right w:val="none" w:sz="0" w:space="0" w:color="auto"/>
          </w:divBdr>
        </w:div>
      </w:divsChild>
    </w:div>
    <w:div w:id="510147869">
      <w:marLeft w:val="0"/>
      <w:marRight w:val="0"/>
      <w:marTop w:val="100"/>
      <w:marBottom w:val="0"/>
      <w:divBdr>
        <w:top w:val="none" w:sz="0" w:space="0" w:color="auto"/>
        <w:left w:val="none" w:sz="0" w:space="0" w:color="auto"/>
        <w:bottom w:val="none" w:sz="0" w:space="0" w:color="auto"/>
        <w:right w:val="none" w:sz="0" w:space="0" w:color="auto"/>
      </w:divBdr>
      <w:divsChild>
        <w:div w:id="436146299">
          <w:marLeft w:val="0"/>
          <w:marRight w:val="0"/>
          <w:marTop w:val="0"/>
          <w:marBottom w:val="0"/>
          <w:divBdr>
            <w:top w:val="none" w:sz="0" w:space="0" w:color="auto"/>
            <w:left w:val="none" w:sz="0" w:space="0" w:color="auto"/>
            <w:bottom w:val="none" w:sz="0" w:space="0" w:color="auto"/>
            <w:right w:val="none" w:sz="0" w:space="0" w:color="auto"/>
          </w:divBdr>
        </w:div>
      </w:divsChild>
    </w:div>
    <w:div w:id="510799188">
      <w:marLeft w:val="0"/>
      <w:marRight w:val="0"/>
      <w:marTop w:val="0"/>
      <w:marBottom w:val="0"/>
      <w:divBdr>
        <w:top w:val="none" w:sz="0" w:space="0" w:color="auto"/>
        <w:left w:val="none" w:sz="0" w:space="0" w:color="auto"/>
        <w:bottom w:val="none" w:sz="0" w:space="0" w:color="auto"/>
        <w:right w:val="none" w:sz="0" w:space="0" w:color="auto"/>
      </w:divBdr>
    </w:div>
    <w:div w:id="514616543">
      <w:marLeft w:val="0"/>
      <w:marRight w:val="0"/>
      <w:marTop w:val="0"/>
      <w:marBottom w:val="0"/>
      <w:divBdr>
        <w:top w:val="none" w:sz="0" w:space="0" w:color="auto"/>
        <w:left w:val="none" w:sz="0" w:space="0" w:color="auto"/>
        <w:bottom w:val="none" w:sz="0" w:space="0" w:color="auto"/>
        <w:right w:val="none" w:sz="0" w:space="0" w:color="auto"/>
      </w:divBdr>
    </w:div>
    <w:div w:id="516190451">
      <w:marLeft w:val="0"/>
      <w:marRight w:val="0"/>
      <w:marTop w:val="0"/>
      <w:marBottom w:val="0"/>
      <w:divBdr>
        <w:top w:val="none" w:sz="0" w:space="0" w:color="auto"/>
        <w:left w:val="none" w:sz="0" w:space="0" w:color="auto"/>
        <w:bottom w:val="none" w:sz="0" w:space="0" w:color="auto"/>
        <w:right w:val="none" w:sz="0" w:space="0" w:color="auto"/>
      </w:divBdr>
    </w:div>
    <w:div w:id="516819389">
      <w:marLeft w:val="0"/>
      <w:marRight w:val="0"/>
      <w:marTop w:val="0"/>
      <w:marBottom w:val="0"/>
      <w:divBdr>
        <w:top w:val="none" w:sz="0" w:space="0" w:color="auto"/>
        <w:left w:val="none" w:sz="0" w:space="0" w:color="auto"/>
        <w:bottom w:val="none" w:sz="0" w:space="0" w:color="auto"/>
        <w:right w:val="none" w:sz="0" w:space="0" w:color="auto"/>
      </w:divBdr>
    </w:div>
    <w:div w:id="519901429">
      <w:marLeft w:val="0"/>
      <w:marRight w:val="0"/>
      <w:marTop w:val="0"/>
      <w:marBottom w:val="0"/>
      <w:divBdr>
        <w:top w:val="none" w:sz="0" w:space="0" w:color="auto"/>
        <w:left w:val="none" w:sz="0" w:space="0" w:color="auto"/>
        <w:bottom w:val="none" w:sz="0" w:space="0" w:color="auto"/>
        <w:right w:val="none" w:sz="0" w:space="0" w:color="auto"/>
      </w:divBdr>
      <w:divsChild>
        <w:div w:id="996223053">
          <w:marLeft w:val="0"/>
          <w:marRight w:val="0"/>
          <w:marTop w:val="0"/>
          <w:marBottom w:val="0"/>
          <w:divBdr>
            <w:top w:val="none" w:sz="0" w:space="0" w:color="auto"/>
            <w:left w:val="none" w:sz="0" w:space="0" w:color="auto"/>
            <w:bottom w:val="none" w:sz="0" w:space="0" w:color="auto"/>
            <w:right w:val="none" w:sz="0" w:space="0" w:color="auto"/>
          </w:divBdr>
        </w:div>
      </w:divsChild>
    </w:div>
    <w:div w:id="520049031">
      <w:marLeft w:val="0"/>
      <w:marRight w:val="0"/>
      <w:marTop w:val="0"/>
      <w:marBottom w:val="0"/>
      <w:divBdr>
        <w:top w:val="none" w:sz="0" w:space="0" w:color="auto"/>
        <w:left w:val="none" w:sz="0" w:space="0" w:color="auto"/>
        <w:bottom w:val="none" w:sz="0" w:space="0" w:color="auto"/>
        <w:right w:val="none" w:sz="0" w:space="0" w:color="auto"/>
      </w:divBdr>
    </w:div>
    <w:div w:id="523634511">
      <w:marLeft w:val="0"/>
      <w:marRight w:val="0"/>
      <w:marTop w:val="0"/>
      <w:marBottom w:val="0"/>
      <w:divBdr>
        <w:top w:val="none" w:sz="0" w:space="0" w:color="auto"/>
        <w:left w:val="none" w:sz="0" w:space="0" w:color="auto"/>
        <w:bottom w:val="none" w:sz="0" w:space="0" w:color="auto"/>
        <w:right w:val="none" w:sz="0" w:space="0" w:color="auto"/>
      </w:divBdr>
    </w:div>
    <w:div w:id="524363237">
      <w:marLeft w:val="0"/>
      <w:marRight w:val="0"/>
      <w:marTop w:val="0"/>
      <w:marBottom w:val="0"/>
      <w:divBdr>
        <w:top w:val="none" w:sz="0" w:space="0" w:color="auto"/>
        <w:left w:val="none" w:sz="0" w:space="0" w:color="auto"/>
        <w:bottom w:val="none" w:sz="0" w:space="0" w:color="auto"/>
        <w:right w:val="none" w:sz="0" w:space="0" w:color="auto"/>
      </w:divBdr>
    </w:div>
    <w:div w:id="524490431">
      <w:marLeft w:val="0"/>
      <w:marRight w:val="0"/>
      <w:marTop w:val="0"/>
      <w:marBottom w:val="0"/>
      <w:divBdr>
        <w:top w:val="none" w:sz="0" w:space="0" w:color="auto"/>
        <w:left w:val="none" w:sz="0" w:space="0" w:color="auto"/>
        <w:bottom w:val="none" w:sz="0" w:space="0" w:color="auto"/>
        <w:right w:val="none" w:sz="0" w:space="0" w:color="auto"/>
      </w:divBdr>
    </w:div>
    <w:div w:id="525561327">
      <w:marLeft w:val="0"/>
      <w:marRight w:val="0"/>
      <w:marTop w:val="0"/>
      <w:marBottom w:val="0"/>
      <w:divBdr>
        <w:top w:val="none" w:sz="0" w:space="0" w:color="auto"/>
        <w:left w:val="none" w:sz="0" w:space="0" w:color="auto"/>
        <w:bottom w:val="none" w:sz="0" w:space="0" w:color="auto"/>
        <w:right w:val="none" w:sz="0" w:space="0" w:color="auto"/>
      </w:divBdr>
    </w:div>
    <w:div w:id="527066503">
      <w:marLeft w:val="0"/>
      <w:marRight w:val="0"/>
      <w:marTop w:val="0"/>
      <w:marBottom w:val="0"/>
      <w:divBdr>
        <w:top w:val="none" w:sz="0" w:space="0" w:color="auto"/>
        <w:left w:val="none" w:sz="0" w:space="0" w:color="auto"/>
        <w:bottom w:val="none" w:sz="0" w:space="0" w:color="auto"/>
        <w:right w:val="none" w:sz="0" w:space="0" w:color="auto"/>
      </w:divBdr>
    </w:div>
    <w:div w:id="527714782">
      <w:marLeft w:val="0"/>
      <w:marRight w:val="0"/>
      <w:marTop w:val="0"/>
      <w:marBottom w:val="0"/>
      <w:divBdr>
        <w:top w:val="none" w:sz="0" w:space="0" w:color="auto"/>
        <w:left w:val="none" w:sz="0" w:space="0" w:color="auto"/>
        <w:bottom w:val="none" w:sz="0" w:space="0" w:color="auto"/>
        <w:right w:val="none" w:sz="0" w:space="0" w:color="auto"/>
      </w:divBdr>
    </w:div>
    <w:div w:id="529803453">
      <w:marLeft w:val="0"/>
      <w:marRight w:val="0"/>
      <w:marTop w:val="0"/>
      <w:marBottom w:val="0"/>
      <w:divBdr>
        <w:top w:val="none" w:sz="0" w:space="0" w:color="auto"/>
        <w:left w:val="none" w:sz="0" w:space="0" w:color="auto"/>
        <w:bottom w:val="none" w:sz="0" w:space="0" w:color="auto"/>
        <w:right w:val="none" w:sz="0" w:space="0" w:color="auto"/>
      </w:divBdr>
      <w:divsChild>
        <w:div w:id="430585504">
          <w:marLeft w:val="0"/>
          <w:marRight w:val="0"/>
          <w:marTop w:val="0"/>
          <w:marBottom w:val="0"/>
          <w:divBdr>
            <w:top w:val="none" w:sz="0" w:space="0" w:color="auto"/>
            <w:left w:val="none" w:sz="0" w:space="0" w:color="auto"/>
            <w:bottom w:val="none" w:sz="0" w:space="0" w:color="auto"/>
            <w:right w:val="none" w:sz="0" w:space="0" w:color="auto"/>
          </w:divBdr>
        </w:div>
      </w:divsChild>
    </w:div>
    <w:div w:id="533494387">
      <w:marLeft w:val="0"/>
      <w:marRight w:val="0"/>
      <w:marTop w:val="0"/>
      <w:marBottom w:val="0"/>
      <w:divBdr>
        <w:top w:val="none" w:sz="0" w:space="0" w:color="auto"/>
        <w:left w:val="none" w:sz="0" w:space="0" w:color="auto"/>
        <w:bottom w:val="none" w:sz="0" w:space="0" w:color="auto"/>
        <w:right w:val="none" w:sz="0" w:space="0" w:color="auto"/>
      </w:divBdr>
    </w:div>
    <w:div w:id="534001107">
      <w:marLeft w:val="0"/>
      <w:marRight w:val="0"/>
      <w:marTop w:val="0"/>
      <w:marBottom w:val="0"/>
      <w:divBdr>
        <w:top w:val="none" w:sz="0" w:space="0" w:color="auto"/>
        <w:left w:val="none" w:sz="0" w:space="0" w:color="auto"/>
        <w:bottom w:val="none" w:sz="0" w:space="0" w:color="auto"/>
        <w:right w:val="none" w:sz="0" w:space="0" w:color="auto"/>
      </w:divBdr>
      <w:divsChild>
        <w:div w:id="152377115">
          <w:marLeft w:val="0"/>
          <w:marRight w:val="0"/>
          <w:marTop w:val="0"/>
          <w:marBottom w:val="0"/>
          <w:divBdr>
            <w:top w:val="none" w:sz="0" w:space="0" w:color="auto"/>
            <w:left w:val="none" w:sz="0" w:space="0" w:color="auto"/>
            <w:bottom w:val="none" w:sz="0" w:space="0" w:color="auto"/>
            <w:right w:val="none" w:sz="0" w:space="0" w:color="auto"/>
          </w:divBdr>
        </w:div>
        <w:div w:id="137918255">
          <w:marLeft w:val="0"/>
          <w:marRight w:val="0"/>
          <w:marTop w:val="0"/>
          <w:marBottom w:val="0"/>
          <w:divBdr>
            <w:top w:val="none" w:sz="0" w:space="0" w:color="auto"/>
            <w:left w:val="none" w:sz="0" w:space="0" w:color="auto"/>
            <w:bottom w:val="none" w:sz="0" w:space="0" w:color="auto"/>
            <w:right w:val="none" w:sz="0" w:space="0" w:color="auto"/>
          </w:divBdr>
        </w:div>
        <w:div w:id="1859268763">
          <w:marLeft w:val="0"/>
          <w:marRight w:val="0"/>
          <w:marTop w:val="0"/>
          <w:marBottom w:val="0"/>
          <w:divBdr>
            <w:top w:val="none" w:sz="0" w:space="0" w:color="auto"/>
            <w:left w:val="none" w:sz="0" w:space="0" w:color="auto"/>
            <w:bottom w:val="none" w:sz="0" w:space="0" w:color="auto"/>
            <w:right w:val="none" w:sz="0" w:space="0" w:color="auto"/>
          </w:divBdr>
        </w:div>
        <w:div w:id="927033468">
          <w:marLeft w:val="0"/>
          <w:marRight w:val="0"/>
          <w:marTop w:val="0"/>
          <w:marBottom w:val="0"/>
          <w:divBdr>
            <w:top w:val="none" w:sz="0" w:space="0" w:color="auto"/>
            <w:left w:val="none" w:sz="0" w:space="0" w:color="auto"/>
            <w:bottom w:val="none" w:sz="0" w:space="0" w:color="auto"/>
            <w:right w:val="none" w:sz="0" w:space="0" w:color="auto"/>
          </w:divBdr>
        </w:div>
        <w:div w:id="346952875">
          <w:marLeft w:val="0"/>
          <w:marRight w:val="0"/>
          <w:marTop w:val="0"/>
          <w:marBottom w:val="0"/>
          <w:divBdr>
            <w:top w:val="none" w:sz="0" w:space="0" w:color="auto"/>
            <w:left w:val="none" w:sz="0" w:space="0" w:color="auto"/>
            <w:bottom w:val="none" w:sz="0" w:space="0" w:color="auto"/>
            <w:right w:val="none" w:sz="0" w:space="0" w:color="auto"/>
          </w:divBdr>
        </w:div>
        <w:div w:id="1623342845">
          <w:marLeft w:val="0"/>
          <w:marRight w:val="0"/>
          <w:marTop w:val="0"/>
          <w:marBottom w:val="0"/>
          <w:divBdr>
            <w:top w:val="none" w:sz="0" w:space="0" w:color="auto"/>
            <w:left w:val="none" w:sz="0" w:space="0" w:color="auto"/>
            <w:bottom w:val="none" w:sz="0" w:space="0" w:color="auto"/>
            <w:right w:val="none" w:sz="0" w:space="0" w:color="auto"/>
          </w:divBdr>
        </w:div>
        <w:div w:id="175582571">
          <w:marLeft w:val="0"/>
          <w:marRight w:val="0"/>
          <w:marTop w:val="0"/>
          <w:marBottom w:val="0"/>
          <w:divBdr>
            <w:top w:val="none" w:sz="0" w:space="0" w:color="auto"/>
            <w:left w:val="none" w:sz="0" w:space="0" w:color="auto"/>
            <w:bottom w:val="none" w:sz="0" w:space="0" w:color="auto"/>
            <w:right w:val="none" w:sz="0" w:space="0" w:color="auto"/>
          </w:divBdr>
        </w:div>
        <w:div w:id="169300520">
          <w:marLeft w:val="0"/>
          <w:marRight w:val="0"/>
          <w:marTop w:val="0"/>
          <w:marBottom w:val="0"/>
          <w:divBdr>
            <w:top w:val="none" w:sz="0" w:space="0" w:color="auto"/>
            <w:left w:val="none" w:sz="0" w:space="0" w:color="auto"/>
            <w:bottom w:val="none" w:sz="0" w:space="0" w:color="auto"/>
            <w:right w:val="none" w:sz="0" w:space="0" w:color="auto"/>
          </w:divBdr>
        </w:div>
        <w:div w:id="1811744432">
          <w:marLeft w:val="0"/>
          <w:marRight w:val="0"/>
          <w:marTop w:val="0"/>
          <w:marBottom w:val="0"/>
          <w:divBdr>
            <w:top w:val="none" w:sz="0" w:space="0" w:color="auto"/>
            <w:left w:val="none" w:sz="0" w:space="0" w:color="auto"/>
            <w:bottom w:val="none" w:sz="0" w:space="0" w:color="auto"/>
            <w:right w:val="none" w:sz="0" w:space="0" w:color="auto"/>
          </w:divBdr>
        </w:div>
      </w:divsChild>
    </w:div>
    <w:div w:id="537471371">
      <w:marLeft w:val="0"/>
      <w:marRight w:val="0"/>
      <w:marTop w:val="0"/>
      <w:marBottom w:val="0"/>
      <w:divBdr>
        <w:top w:val="none" w:sz="0" w:space="0" w:color="auto"/>
        <w:left w:val="none" w:sz="0" w:space="0" w:color="auto"/>
        <w:bottom w:val="none" w:sz="0" w:space="0" w:color="auto"/>
        <w:right w:val="none" w:sz="0" w:space="0" w:color="auto"/>
      </w:divBdr>
    </w:div>
    <w:div w:id="538711516">
      <w:marLeft w:val="0"/>
      <w:marRight w:val="0"/>
      <w:marTop w:val="0"/>
      <w:marBottom w:val="0"/>
      <w:divBdr>
        <w:top w:val="none" w:sz="0" w:space="0" w:color="auto"/>
        <w:left w:val="none" w:sz="0" w:space="0" w:color="auto"/>
        <w:bottom w:val="none" w:sz="0" w:space="0" w:color="auto"/>
        <w:right w:val="none" w:sz="0" w:space="0" w:color="auto"/>
      </w:divBdr>
    </w:div>
    <w:div w:id="540023874">
      <w:marLeft w:val="0"/>
      <w:marRight w:val="0"/>
      <w:marTop w:val="0"/>
      <w:marBottom w:val="0"/>
      <w:divBdr>
        <w:top w:val="none" w:sz="0" w:space="0" w:color="auto"/>
        <w:left w:val="none" w:sz="0" w:space="0" w:color="auto"/>
        <w:bottom w:val="none" w:sz="0" w:space="0" w:color="auto"/>
        <w:right w:val="none" w:sz="0" w:space="0" w:color="auto"/>
      </w:divBdr>
    </w:div>
    <w:div w:id="540871493">
      <w:marLeft w:val="0"/>
      <w:marRight w:val="0"/>
      <w:marTop w:val="0"/>
      <w:marBottom w:val="0"/>
      <w:divBdr>
        <w:top w:val="none" w:sz="0" w:space="0" w:color="auto"/>
        <w:left w:val="none" w:sz="0" w:space="0" w:color="auto"/>
        <w:bottom w:val="none" w:sz="0" w:space="0" w:color="auto"/>
        <w:right w:val="none" w:sz="0" w:space="0" w:color="auto"/>
      </w:divBdr>
    </w:div>
    <w:div w:id="542206303">
      <w:marLeft w:val="0"/>
      <w:marRight w:val="0"/>
      <w:marTop w:val="0"/>
      <w:marBottom w:val="0"/>
      <w:divBdr>
        <w:top w:val="none" w:sz="0" w:space="0" w:color="auto"/>
        <w:left w:val="none" w:sz="0" w:space="0" w:color="auto"/>
        <w:bottom w:val="none" w:sz="0" w:space="0" w:color="auto"/>
        <w:right w:val="none" w:sz="0" w:space="0" w:color="auto"/>
      </w:divBdr>
    </w:div>
    <w:div w:id="546842082">
      <w:marLeft w:val="0"/>
      <w:marRight w:val="0"/>
      <w:marTop w:val="0"/>
      <w:marBottom w:val="0"/>
      <w:divBdr>
        <w:top w:val="none" w:sz="0" w:space="0" w:color="auto"/>
        <w:left w:val="none" w:sz="0" w:space="0" w:color="auto"/>
        <w:bottom w:val="none" w:sz="0" w:space="0" w:color="auto"/>
        <w:right w:val="none" w:sz="0" w:space="0" w:color="auto"/>
      </w:divBdr>
    </w:div>
    <w:div w:id="548997303">
      <w:marLeft w:val="0"/>
      <w:marRight w:val="0"/>
      <w:marTop w:val="0"/>
      <w:marBottom w:val="0"/>
      <w:divBdr>
        <w:top w:val="none" w:sz="0" w:space="0" w:color="auto"/>
        <w:left w:val="none" w:sz="0" w:space="0" w:color="auto"/>
        <w:bottom w:val="none" w:sz="0" w:space="0" w:color="auto"/>
        <w:right w:val="none" w:sz="0" w:space="0" w:color="auto"/>
      </w:divBdr>
      <w:divsChild>
        <w:div w:id="1596599193">
          <w:marLeft w:val="0"/>
          <w:marRight w:val="0"/>
          <w:marTop w:val="0"/>
          <w:marBottom w:val="0"/>
          <w:divBdr>
            <w:top w:val="none" w:sz="0" w:space="0" w:color="auto"/>
            <w:left w:val="none" w:sz="0" w:space="0" w:color="auto"/>
            <w:bottom w:val="none" w:sz="0" w:space="0" w:color="auto"/>
            <w:right w:val="none" w:sz="0" w:space="0" w:color="auto"/>
          </w:divBdr>
        </w:div>
      </w:divsChild>
    </w:div>
    <w:div w:id="549146605">
      <w:marLeft w:val="0"/>
      <w:marRight w:val="0"/>
      <w:marTop w:val="0"/>
      <w:marBottom w:val="0"/>
      <w:divBdr>
        <w:top w:val="none" w:sz="0" w:space="0" w:color="auto"/>
        <w:left w:val="none" w:sz="0" w:space="0" w:color="auto"/>
        <w:bottom w:val="none" w:sz="0" w:space="0" w:color="auto"/>
        <w:right w:val="none" w:sz="0" w:space="0" w:color="auto"/>
      </w:divBdr>
    </w:div>
    <w:div w:id="552623261">
      <w:marLeft w:val="0"/>
      <w:marRight w:val="0"/>
      <w:marTop w:val="0"/>
      <w:marBottom w:val="0"/>
      <w:divBdr>
        <w:top w:val="none" w:sz="0" w:space="0" w:color="auto"/>
        <w:left w:val="none" w:sz="0" w:space="0" w:color="auto"/>
        <w:bottom w:val="none" w:sz="0" w:space="0" w:color="auto"/>
        <w:right w:val="none" w:sz="0" w:space="0" w:color="auto"/>
      </w:divBdr>
    </w:div>
    <w:div w:id="553194905">
      <w:marLeft w:val="0"/>
      <w:marRight w:val="0"/>
      <w:marTop w:val="0"/>
      <w:marBottom w:val="0"/>
      <w:divBdr>
        <w:top w:val="none" w:sz="0" w:space="0" w:color="auto"/>
        <w:left w:val="none" w:sz="0" w:space="0" w:color="auto"/>
        <w:bottom w:val="none" w:sz="0" w:space="0" w:color="auto"/>
        <w:right w:val="none" w:sz="0" w:space="0" w:color="auto"/>
      </w:divBdr>
    </w:div>
    <w:div w:id="553930931">
      <w:marLeft w:val="0"/>
      <w:marRight w:val="0"/>
      <w:marTop w:val="0"/>
      <w:marBottom w:val="0"/>
      <w:divBdr>
        <w:top w:val="none" w:sz="0" w:space="0" w:color="auto"/>
        <w:left w:val="none" w:sz="0" w:space="0" w:color="auto"/>
        <w:bottom w:val="none" w:sz="0" w:space="0" w:color="auto"/>
        <w:right w:val="none" w:sz="0" w:space="0" w:color="auto"/>
      </w:divBdr>
      <w:divsChild>
        <w:div w:id="167061324">
          <w:marLeft w:val="0"/>
          <w:marRight w:val="0"/>
          <w:marTop w:val="0"/>
          <w:marBottom w:val="0"/>
          <w:divBdr>
            <w:top w:val="none" w:sz="0" w:space="0" w:color="auto"/>
            <w:left w:val="none" w:sz="0" w:space="0" w:color="auto"/>
            <w:bottom w:val="none" w:sz="0" w:space="0" w:color="auto"/>
            <w:right w:val="none" w:sz="0" w:space="0" w:color="auto"/>
          </w:divBdr>
        </w:div>
      </w:divsChild>
    </w:div>
    <w:div w:id="554270544">
      <w:marLeft w:val="0"/>
      <w:marRight w:val="0"/>
      <w:marTop w:val="0"/>
      <w:marBottom w:val="0"/>
      <w:divBdr>
        <w:top w:val="none" w:sz="0" w:space="0" w:color="auto"/>
        <w:left w:val="none" w:sz="0" w:space="0" w:color="auto"/>
        <w:bottom w:val="none" w:sz="0" w:space="0" w:color="auto"/>
        <w:right w:val="none" w:sz="0" w:space="0" w:color="auto"/>
      </w:divBdr>
    </w:div>
    <w:div w:id="557669107">
      <w:marLeft w:val="0"/>
      <w:marRight w:val="0"/>
      <w:marTop w:val="0"/>
      <w:marBottom w:val="0"/>
      <w:divBdr>
        <w:top w:val="none" w:sz="0" w:space="0" w:color="auto"/>
        <w:left w:val="none" w:sz="0" w:space="0" w:color="auto"/>
        <w:bottom w:val="none" w:sz="0" w:space="0" w:color="auto"/>
        <w:right w:val="none" w:sz="0" w:space="0" w:color="auto"/>
      </w:divBdr>
    </w:div>
    <w:div w:id="558639341">
      <w:marLeft w:val="0"/>
      <w:marRight w:val="0"/>
      <w:marTop w:val="0"/>
      <w:marBottom w:val="0"/>
      <w:divBdr>
        <w:top w:val="none" w:sz="0" w:space="0" w:color="auto"/>
        <w:left w:val="none" w:sz="0" w:space="0" w:color="auto"/>
        <w:bottom w:val="none" w:sz="0" w:space="0" w:color="auto"/>
        <w:right w:val="none" w:sz="0" w:space="0" w:color="auto"/>
      </w:divBdr>
    </w:div>
    <w:div w:id="558827279">
      <w:marLeft w:val="0"/>
      <w:marRight w:val="0"/>
      <w:marTop w:val="0"/>
      <w:marBottom w:val="0"/>
      <w:divBdr>
        <w:top w:val="none" w:sz="0" w:space="0" w:color="auto"/>
        <w:left w:val="none" w:sz="0" w:space="0" w:color="auto"/>
        <w:bottom w:val="none" w:sz="0" w:space="0" w:color="auto"/>
        <w:right w:val="none" w:sz="0" w:space="0" w:color="auto"/>
      </w:divBdr>
    </w:div>
    <w:div w:id="565920385">
      <w:marLeft w:val="0"/>
      <w:marRight w:val="0"/>
      <w:marTop w:val="0"/>
      <w:marBottom w:val="0"/>
      <w:divBdr>
        <w:top w:val="none" w:sz="0" w:space="0" w:color="auto"/>
        <w:left w:val="none" w:sz="0" w:space="0" w:color="auto"/>
        <w:bottom w:val="none" w:sz="0" w:space="0" w:color="auto"/>
        <w:right w:val="none" w:sz="0" w:space="0" w:color="auto"/>
      </w:divBdr>
    </w:div>
    <w:div w:id="570389582">
      <w:marLeft w:val="0"/>
      <w:marRight w:val="0"/>
      <w:marTop w:val="0"/>
      <w:marBottom w:val="0"/>
      <w:divBdr>
        <w:top w:val="none" w:sz="0" w:space="0" w:color="auto"/>
        <w:left w:val="none" w:sz="0" w:space="0" w:color="auto"/>
        <w:bottom w:val="none" w:sz="0" w:space="0" w:color="auto"/>
        <w:right w:val="none" w:sz="0" w:space="0" w:color="auto"/>
      </w:divBdr>
    </w:div>
    <w:div w:id="571235740">
      <w:marLeft w:val="0"/>
      <w:marRight w:val="0"/>
      <w:marTop w:val="0"/>
      <w:marBottom w:val="0"/>
      <w:divBdr>
        <w:top w:val="none" w:sz="0" w:space="0" w:color="auto"/>
        <w:left w:val="none" w:sz="0" w:space="0" w:color="auto"/>
        <w:bottom w:val="none" w:sz="0" w:space="0" w:color="auto"/>
        <w:right w:val="none" w:sz="0" w:space="0" w:color="auto"/>
      </w:divBdr>
    </w:div>
    <w:div w:id="573054084">
      <w:marLeft w:val="0"/>
      <w:marRight w:val="0"/>
      <w:marTop w:val="0"/>
      <w:marBottom w:val="0"/>
      <w:divBdr>
        <w:top w:val="none" w:sz="0" w:space="0" w:color="auto"/>
        <w:left w:val="none" w:sz="0" w:space="0" w:color="auto"/>
        <w:bottom w:val="none" w:sz="0" w:space="0" w:color="auto"/>
        <w:right w:val="none" w:sz="0" w:space="0" w:color="auto"/>
      </w:divBdr>
    </w:div>
    <w:div w:id="573858207">
      <w:marLeft w:val="0"/>
      <w:marRight w:val="0"/>
      <w:marTop w:val="0"/>
      <w:marBottom w:val="0"/>
      <w:divBdr>
        <w:top w:val="none" w:sz="0" w:space="0" w:color="auto"/>
        <w:left w:val="none" w:sz="0" w:space="0" w:color="auto"/>
        <w:bottom w:val="none" w:sz="0" w:space="0" w:color="auto"/>
        <w:right w:val="none" w:sz="0" w:space="0" w:color="auto"/>
      </w:divBdr>
    </w:div>
    <w:div w:id="575480961">
      <w:marLeft w:val="0"/>
      <w:marRight w:val="0"/>
      <w:marTop w:val="0"/>
      <w:marBottom w:val="0"/>
      <w:divBdr>
        <w:top w:val="none" w:sz="0" w:space="0" w:color="auto"/>
        <w:left w:val="none" w:sz="0" w:space="0" w:color="auto"/>
        <w:bottom w:val="none" w:sz="0" w:space="0" w:color="auto"/>
        <w:right w:val="none" w:sz="0" w:space="0" w:color="auto"/>
      </w:divBdr>
    </w:div>
    <w:div w:id="577666453">
      <w:marLeft w:val="0"/>
      <w:marRight w:val="0"/>
      <w:marTop w:val="0"/>
      <w:marBottom w:val="0"/>
      <w:divBdr>
        <w:top w:val="none" w:sz="0" w:space="0" w:color="auto"/>
        <w:left w:val="none" w:sz="0" w:space="0" w:color="auto"/>
        <w:bottom w:val="none" w:sz="0" w:space="0" w:color="auto"/>
        <w:right w:val="none" w:sz="0" w:space="0" w:color="auto"/>
      </w:divBdr>
    </w:div>
    <w:div w:id="578373529">
      <w:marLeft w:val="0"/>
      <w:marRight w:val="0"/>
      <w:marTop w:val="0"/>
      <w:marBottom w:val="0"/>
      <w:divBdr>
        <w:top w:val="none" w:sz="0" w:space="0" w:color="auto"/>
        <w:left w:val="none" w:sz="0" w:space="0" w:color="auto"/>
        <w:bottom w:val="none" w:sz="0" w:space="0" w:color="auto"/>
        <w:right w:val="none" w:sz="0" w:space="0" w:color="auto"/>
      </w:divBdr>
    </w:div>
    <w:div w:id="579408806">
      <w:marLeft w:val="0"/>
      <w:marRight w:val="0"/>
      <w:marTop w:val="0"/>
      <w:marBottom w:val="0"/>
      <w:divBdr>
        <w:top w:val="none" w:sz="0" w:space="0" w:color="auto"/>
        <w:left w:val="none" w:sz="0" w:space="0" w:color="auto"/>
        <w:bottom w:val="none" w:sz="0" w:space="0" w:color="auto"/>
        <w:right w:val="none" w:sz="0" w:space="0" w:color="auto"/>
      </w:divBdr>
    </w:div>
    <w:div w:id="580793442">
      <w:marLeft w:val="0"/>
      <w:marRight w:val="0"/>
      <w:marTop w:val="0"/>
      <w:marBottom w:val="0"/>
      <w:divBdr>
        <w:top w:val="none" w:sz="0" w:space="0" w:color="auto"/>
        <w:left w:val="none" w:sz="0" w:space="0" w:color="auto"/>
        <w:bottom w:val="none" w:sz="0" w:space="0" w:color="auto"/>
        <w:right w:val="none" w:sz="0" w:space="0" w:color="auto"/>
      </w:divBdr>
    </w:div>
    <w:div w:id="581719579">
      <w:marLeft w:val="0"/>
      <w:marRight w:val="0"/>
      <w:marTop w:val="0"/>
      <w:marBottom w:val="0"/>
      <w:divBdr>
        <w:top w:val="none" w:sz="0" w:space="0" w:color="auto"/>
        <w:left w:val="none" w:sz="0" w:space="0" w:color="auto"/>
        <w:bottom w:val="none" w:sz="0" w:space="0" w:color="auto"/>
        <w:right w:val="none" w:sz="0" w:space="0" w:color="auto"/>
      </w:divBdr>
    </w:div>
    <w:div w:id="582253518">
      <w:marLeft w:val="0"/>
      <w:marRight w:val="0"/>
      <w:marTop w:val="0"/>
      <w:marBottom w:val="0"/>
      <w:divBdr>
        <w:top w:val="none" w:sz="0" w:space="0" w:color="auto"/>
        <w:left w:val="none" w:sz="0" w:space="0" w:color="auto"/>
        <w:bottom w:val="none" w:sz="0" w:space="0" w:color="auto"/>
        <w:right w:val="none" w:sz="0" w:space="0" w:color="auto"/>
      </w:divBdr>
    </w:div>
    <w:div w:id="584917935">
      <w:marLeft w:val="0"/>
      <w:marRight w:val="0"/>
      <w:marTop w:val="0"/>
      <w:marBottom w:val="0"/>
      <w:divBdr>
        <w:top w:val="none" w:sz="0" w:space="0" w:color="auto"/>
        <w:left w:val="none" w:sz="0" w:space="0" w:color="auto"/>
        <w:bottom w:val="none" w:sz="0" w:space="0" w:color="auto"/>
        <w:right w:val="none" w:sz="0" w:space="0" w:color="auto"/>
      </w:divBdr>
    </w:div>
    <w:div w:id="590821787">
      <w:marLeft w:val="0"/>
      <w:marRight w:val="0"/>
      <w:marTop w:val="100"/>
      <w:marBottom w:val="0"/>
      <w:divBdr>
        <w:top w:val="none" w:sz="0" w:space="0" w:color="auto"/>
        <w:left w:val="none" w:sz="0" w:space="0" w:color="auto"/>
        <w:bottom w:val="none" w:sz="0" w:space="0" w:color="auto"/>
        <w:right w:val="none" w:sz="0" w:space="0" w:color="auto"/>
      </w:divBdr>
      <w:divsChild>
        <w:div w:id="1175803521">
          <w:marLeft w:val="0"/>
          <w:marRight w:val="0"/>
          <w:marTop w:val="0"/>
          <w:marBottom w:val="0"/>
          <w:divBdr>
            <w:top w:val="none" w:sz="0" w:space="0" w:color="auto"/>
            <w:left w:val="none" w:sz="0" w:space="0" w:color="auto"/>
            <w:bottom w:val="none" w:sz="0" w:space="0" w:color="auto"/>
            <w:right w:val="none" w:sz="0" w:space="0" w:color="auto"/>
          </w:divBdr>
        </w:div>
      </w:divsChild>
    </w:div>
    <w:div w:id="591739176">
      <w:marLeft w:val="0"/>
      <w:marRight w:val="0"/>
      <w:marTop w:val="0"/>
      <w:marBottom w:val="0"/>
      <w:divBdr>
        <w:top w:val="none" w:sz="0" w:space="0" w:color="auto"/>
        <w:left w:val="none" w:sz="0" w:space="0" w:color="auto"/>
        <w:bottom w:val="none" w:sz="0" w:space="0" w:color="auto"/>
        <w:right w:val="none" w:sz="0" w:space="0" w:color="auto"/>
      </w:divBdr>
    </w:div>
    <w:div w:id="592127650">
      <w:marLeft w:val="0"/>
      <w:marRight w:val="0"/>
      <w:marTop w:val="0"/>
      <w:marBottom w:val="0"/>
      <w:divBdr>
        <w:top w:val="none" w:sz="0" w:space="0" w:color="auto"/>
        <w:left w:val="none" w:sz="0" w:space="0" w:color="auto"/>
        <w:bottom w:val="none" w:sz="0" w:space="0" w:color="auto"/>
        <w:right w:val="none" w:sz="0" w:space="0" w:color="auto"/>
      </w:divBdr>
    </w:div>
    <w:div w:id="594560045">
      <w:marLeft w:val="0"/>
      <w:marRight w:val="0"/>
      <w:marTop w:val="0"/>
      <w:marBottom w:val="0"/>
      <w:divBdr>
        <w:top w:val="none" w:sz="0" w:space="0" w:color="auto"/>
        <w:left w:val="none" w:sz="0" w:space="0" w:color="auto"/>
        <w:bottom w:val="none" w:sz="0" w:space="0" w:color="auto"/>
        <w:right w:val="none" w:sz="0" w:space="0" w:color="auto"/>
      </w:divBdr>
    </w:div>
    <w:div w:id="596602959">
      <w:marLeft w:val="0"/>
      <w:marRight w:val="0"/>
      <w:marTop w:val="0"/>
      <w:marBottom w:val="0"/>
      <w:divBdr>
        <w:top w:val="none" w:sz="0" w:space="0" w:color="auto"/>
        <w:left w:val="none" w:sz="0" w:space="0" w:color="auto"/>
        <w:bottom w:val="none" w:sz="0" w:space="0" w:color="auto"/>
        <w:right w:val="none" w:sz="0" w:space="0" w:color="auto"/>
      </w:divBdr>
    </w:div>
    <w:div w:id="597562116">
      <w:marLeft w:val="0"/>
      <w:marRight w:val="0"/>
      <w:marTop w:val="0"/>
      <w:marBottom w:val="0"/>
      <w:divBdr>
        <w:top w:val="none" w:sz="0" w:space="0" w:color="auto"/>
        <w:left w:val="none" w:sz="0" w:space="0" w:color="auto"/>
        <w:bottom w:val="none" w:sz="0" w:space="0" w:color="auto"/>
        <w:right w:val="none" w:sz="0" w:space="0" w:color="auto"/>
      </w:divBdr>
    </w:div>
    <w:div w:id="597980439">
      <w:marLeft w:val="0"/>
      <w:marRight w:val="0"/>
      <w:marTop w:val="0"/>
      <w:marBottom w:val="0"/>
      <w:divBdr>
        <w:top w:val="none" w:sz="0" w:space="0" w:color="auto"/>
        <w:left w:val="none" w:sz="0" w:space="0" w:color="auto"/>
        <w:bottom w:val="none" w:sz="0" w:space="0" w:color="auto"/>
        <w:right w:val="none" w:sz="0" w:space="0" w:color="auto"/>
      </w:divBdr>
    </w:div>
    <w:div w:id="598753952">
      <w:marLeft w:val="0"/>
      <w:marRight w:val="0"/>
      <w:marTop w:val="0"/>
      <w:marBottom w:val="0"/>
      <w:divBdr>
        <w:top w:val="none" w:sz="0" w:space="0" w:color="auto"/>
        <w:left w:val="none" w:sz="0" w:space="0" w:color="auto"/>
        <w:bottom w:val="none" w:sz="0" w:space="0" w:color="auto"/>
        <w:right w:val="none" w:sz="0" w:space="0" w:color="auto"/>
      </w:divBdr>
    </w:div>
    <w:div w:id="599139667">
      <w:marLeft w:val="0"/>
      <w:marRight w:val="0"/>
      <w:marTop w:val="0"/>
      <w:marBottom w:val="0"/>
      <w:divBdr>
        <w:top w:val="none" w:sz="0" w:space="0" w:color="auto"/>
        <w:left w:val="none" w:sz="0" w:space="0" w:color="auto"/>
        <w:bottom w:val="none" w:sz="0" w:space="0" w:color="auto"/>
        <w:right w:val="none" w:sz="0" w:space="0" w:color="auto"/>
      </w:divBdr>
    </w:div>
    <w:div w:id="600651750">
      <w:marLeft w:val="0"/>
      <w:marRight w:val="0"/>
      <w:marTop w:val="0"/>
      <w:marBottom w:val="0"/>
      <w:divBdr>
        <w:top w:val="none" w:sz="0" w:space="0" w:color="auto"/>
        <w:left w:val="none" w:sz="0" w:space="0" w:color="auto"/>
        <w:bottom w:val="none" w:sz="0" w:space="0" w:color="auto"/>
        <w:right w:val="none" w:sz="0" w:space="0" w:color="auto"/>
      </w:divBdr>
    </w:div>
    <w:div w:id="601187477">
      <w:marLeft w:val="0"/>
      <w:marRight w:val="0"/>
      <w:marTop w:val="0"/>
      <w:marBottom w:val="0"/>
      <w:divBdr>
        <w:top w:val="none" w:sz="0" w:space="0" w:color="auto"/>
        <w:left w:val="none" w:sz="0" w:space="0" w:color="auto"/>
        <w:bottom w:val="none" w:sz="0" w:space="0" w:color="auto"/>
        <w:right w:val="none" w:sz="0" w:space="0" w:color="auto"/>
      </w:divBdr>
      <w:divsChild>
        <w:div w:id="306978746">
          <w:marLeft w:val="0"/>
          <w:marRight w:val="0"/>
          <w:marTop w:val="0"/>
          <w:marBottom w:val="0"/>
          <w:divBdr>
            <w:top w:val="none" w:sz="0" w:space="0" w:color="auto"/>
            <w:left w:val="none" w:sz="0" w:space="0" w:color="auto"/>
            <w:bottom w:val="none" w:sz="0" w:space="0" w:color="auto"/>
            <w:right w:val="none" w:sz="0" w:space="0" w:color="auto"/>
          </w:divBdr>
        </w:div>
      </w:divsChild>
    </w:div>
    <w:div w:id="603000706">
      <w:marLeft w:val="0"/>
      <w:marRight w:val="0"/>
      <w:marTop w:val="0"/>
      <w:marBottom w:val="0"/>
      <w:divBdr>
        <w:top w:val="none" w:sz="0" w:space="0" w:color="auto"/>
        <w:left w:val="none" w:sz="0" w:space="0" w:color="auto"/>
        <w:bottom w:val="none" w:sz="0" w:space="0" w:color="auto"/>
        <w:right w:val="none" w:sz="0" w:space="0" w:color="auto"/>
      </w:divBdr>
    </w:div>
    <w:div w:id="604847927">
      <w:marLeft w:val="0"/>
      <w:marRight w:val="0"/>
      <w:marTop w:val="0"/>
      <w:marBottom w:val="0"/>
      <w:divBdr>
        <w:top w:val="none" w:sz="0" w:space="0" w:color="auto"/>
        <w:left w:val="none" w:sz="0" w:space="0" w:color="auto"/>
        <w:bottom w:val="none" w:sz="0" w:space="0" w:color="auto"/>
        <w:right w:val="none" w:sz="0" w:space="0" w:color="auto"/>
      </w:divBdr>
      <w:divsChild>
        <w:div w:id="1835028486">
          <w:marLeft w:val="0"/>
          <w:marRight w:val="0"/>
          <w:marTop w:val="0"/>
          <w:marBottom w:val="0"/>
          <w:divBdr>
            <w:top w:val="none" w:sz="0" w:space="0" w:color="auto"/>
            <w:left w:val="none" w:sz="0" w:space="0" w:color="auto"/>
            <w:bottom w:val="none" w:sz="0" w:space="0" w:color="auto"/>
            <w:right w:val="none" w:sz="0" w:space="0" w:color="auto"/>
          </w:divBdr>
        </w:div>
      </w:divsChild>
    </w:div>
    <w:div w:id="605624140">
      <w:marLeft w:val="0"/>
      <w:marRight w:val="0"/>
      <w:marTop w:val="0"/>
      <w:marBottom w:val="0"/>
      <w:divBdr>
        <w:top w:val="none" w:sz="0" w:space="0" w:color="auto"/>
        <w:left w:val="none" w:sz="0" w:space="0" w:color="auto"/>
        <w:bottom w:val="none" w:sz="0" w:space="0" w:color="auto"/>
        <w:right w:val="none" w:sz="0" w:space="0" w:color="auto"/>
      </w:divBdr>
    </w:div>
    <w:div w:id="606037760">
      <w:marLeft w:val="0"/>
      <w:marRight w:val="0"/>
      <w:marTop w:val="0"/>
      <w:marBottom w:val="0"/>
      <w:divBdr>
        <w:top w:val="none" w:sz="0" w:space="0" w:color="auto"/>
        <w:left w:val="none" w:sz="0" w:space="0" w:color="auto"/>
        <w:bottom w:val="none" w:sz="0" w:space="0" w:color="auto"/>
        <w:right w:val="none" w:sz="0" w:space="0" w:color="auto"/>
      </w:divBdr>
      <w:divsChild>
        <w:div w:id="427121108">
          <w:marLeft w:val="0"/>
          <w:marRight w:val="0"/>
          <w:marTop w:val="0"/>
          <w:marBottom w:val="0"/>
          <w:divBdr>
            <w:top w:val="none" w:sz="0" w:space="0" w:color="auto"/>
            <w:left w:val="none" w:sz="0" w:space="0" w:color="auto"/>
            <w:bottom w:val="none" w:sz="0" w:space="0" w:color="auto"/>
            <w:right w:val="none" w:sz="0" w:space="0" w:color="auto"/>
          </w:divBdr>
        </w:div>
        <w:div w:id="866874109">
          <w:marLeft w:val="0"/>
          <w:marRight w:val="0"/>
          <w:marTop w:val="0"/>
          <w:marBottom w:val="0"/>
          <w:divBdr>
            <w:top w:val="none" w:sz="0" w:space="0" w:color="auto"/>
            <w:left w:val="none" w:sz="0" w:space="0" w:color="auto"/>
            <w:bottom w:val="none" w:sz="0" w:space="0" w:color="auto"/>
            <w:right w:val="none" w:sz="0" w:space="0" w:color="auto"/>
          </w:divBdr>
        </w:div>
        <w:div w:id="1908489807">
          <w:marLeft w:val="0"/>
          <w:marRight w:val="0"/>
          <w:marTop w:val="0"/>
          <w:marBottom w:val="0"/>
          <w:divBdr>
            <w:top w:val="none" w:sz="0" w:space="0" w:color="auto"/>
            <w:left w:val="none" w:sz="0" w:space="0" w:color="auto"/>
            <w:bottom w:val="none" w:sz="0" w:space="0" w:color="auto"/>
            <w:right w:val="none" w:sz="0" w:space="0" w:color="auto"/>
          </w:divBdr>
        </w:div>
        <w:div w:id="2092893380">
          <w:marLeft w:val="0"/>
          <w:marRight w:val="0"/>
          <w:marTop w:val="0"/>
          <w:marBottom w:val="0"/>
          <w:divBdr>
            <w:top w:val="none" w:sz="0" w:space="0" w:color="auto"/>
            <w:left w:val="none" w:sz="0" w:space="0" w:color="auto"/>
            <w:bottom w:val="none" w:sz="0" w:space="0" w:color="auto"/>
            <w:right w:val="none" w:sz="0" w:space="0" w:color="auto"/>
          </w:divBdr>
        </w:div>
        <w:div w:id="1695689596">
          <w:marLeft w:val="0"/>
          <w:marRight w:val="0"/>
          <w:marTop w:val="0"/>
          <w:marBottom w:val="0"/>
          <w:divBdr>
            <w:top w:val="none" w:sz="0" w:space="0" w:color="auto"/>
            <w:left w:val="none" w:sz="0" w:space="0" w:color="auto"/>
            <w:bottom w:val="none" w:sz="0" w:space="0" w:color="auto"/>
            <w:right w:val="none" w:sz="0" w:space="0" w:color="auto"/>
          </w:divBdr>
        </w:div>
        <w:div w:id="946044554">
          <w:marLeft w:val="0"/>
          <w:marRight w:val="0"/>
          <w:marTop w:val="0"/>
          <w:marBottom w:val="0"/>
          <w:divBdr>
            <w:top w:val="none" w:sz="0" w:space="0" w:color="auto"/>
            <w:left w:val="none" w:sz="0" w:space="0" w:color="auto"/>
            <w:bottom w:val="none" w:sz="0" w:space="0" w:color="auto"/>
            <w:right w:val="none" w:sz="0" w:space="0" w:color="auto"/>
          </w:divBdr>
        </w:div>
      </w:divsChild>
    </w:div>
    <w:div w:id="606932203">
      <w:marLeft w:val="0"/>
      <w:marRight w:val="0"/>
      <w:marTop w:val="0"/>
      <w:marBottom w:val="0"/>
      <w:divBdr>
        <w:top w:val="none" w:sz="0" w:space="0" w:color="auto"/>
        <w:left w:val="none" w:sz="0" w:space="0" w:color="auto"/>
        <w:bottom w:val="none" w:sz="0" w:space="0" w:color="auto"/>
        <w:right w:val="none" w:sz="0" w:space="0" w:color="auto"/>
      </w:divBdr>
    </w:div>
    <w:div w:id="616329193">
      <w:marLeft w:val="0"/>
      <w:marRight w:val="0"/>
      <w:marTop w:val="0"/>
      <w:marBottom w:val="0"/>
      <w:divBdr>
        <w:top w:val="none" w:sz="0" w:space="0" w:color="auto"/>
        <w:left w:val="none" w:sz="0" w:space="0" w:color="auto"/>
        <w:bottom w:val="none" w:sz="0" w:space="0" w:color="auto"/>
        <w:right w:val="none" w:sz="0" w:space="0" w:color="auto"/>
      </w:divBdr>
    </w:div>
    <w:div w:id="617224882">
      <w:marLeft w:val="0"/>
      <w:marRight w:val="0"/>
      <w:marTop w:val="0"/>
      <w:marBottom w:val="0"/>
      <w:divBdr>
        <w:top w:val="none" w:sz="0" w:space="0" w:color="auto"/>
        <w:left w:val="none" w:sz="0" w:space="0" w:color="auto"/>
        <w:bottom w:val="none" w:sz="0" w:space="0" w:color="auto"/>
        <w:right w:val="none" w:sz="0" w:space="0" w:color="auto"/>
      </w:divBdr>
    </w:div>
    <w:div w:id="617371965">
      <w:marLeft w:val="0"/>
      <w:marRight w:val="0"/>
      <w:marTop w:val="0"/>
      <w:marBottom w:val="0"/>
      <w:divBdr>
        <w:top w:val="none" w:sz="0" w:space="0" w:color="auto"/>
        <w:left w:val="none" w:sz="0" w:space="0" w:color="auto"/>
        <w:bottom w:val="none" w:sz="0" w:space="0" w:color="auto"/>
        <w:right w:val="none" w:sz="0" w:space="0" w:color="auto"/>
      </w:divBdr>
    </w:div>
    <w:div w:id="618998177">
      <w:marLeft w:val="0"/>
      <w:marRight w:val="0"/>
      <w:marTop w:val="0"/>
      <w:marBottom w:val="0"/>
      <w:divBdr>
        <w:top w:val="none" w:sz="0" w:space="0" w:color="auto"/>
        <w:left w:val="none" w:sz="0" w:space="0" w:color="auto"/>
        <w:bottom w:val="none" w:sz="0" w:space="0" w:color="auto"/>
        <w:right w:val="none" w:sz="0" w:space="0" w:color="auto"/>
      </w:divBdr>
    </w:div>
    <w:div w:id="619604227">
      <w:marLeft w:val="0"/>
      <w:marRight w:val="0"/>
      <w:marTop w:val="0"/>
      <w:marBottom w:val="0"/>
      <w:divBdr>
        <w:top w:val="none" w:sz="0" w:space="0" w:color="auto"/>
        <w:left w:val="none" w:sz="0" w:space="0" w:color="auto"/>
        <w:bottom w:val="none" w:sz="0" w:space="0" w:color="auto"/>
        <w:right w:val="none" w:sz="0" w:space="0" w:color="auto"/>
      </w:divBdr>
    </w:div>
    <w:div w:id="621696079">
      <w:marLeft w:val="0"/>
      <w:marRight w:val="0"/>
      <w:marTop w:val="0"/>
      <w:marBottom w:val="0"/>
      <w:divBdr>
        <w:top w:val="none" w:sz="0" w:space="0" w:color="auto"/>
        <w:left w:val="none" w:sz="0" w:space="0" w:color="auto"/>
        <w:bottom w:val="none" w:sz="0" w:space="0" w:color="auto"/>
        <w:right w:val="none" w:sz="0" w:space="0" w:color="auto"/>
      </w:divBdr>
      <w:divsChild>
        <w:div w:id="1472210814">
          <w:marLeft w:val="0"/>
          <w:marRight w:val="0"/>
          <w:marTop w:val="0"/>
          <w:marBottom w:val="0"/>
          <w:divBdr>
            <w:top w:val="none" w:sz="0" w:space="0" w:color="auto"/>
            <w:left w:val="none" w:sz="0" w:space="0" w:color="auto"/>
            <w:bottom w:val="none" w:sz="0" w:space="0" w:color="auto"/>
            <w:right w:val="none" w:sz="0" w:space="0" w:color="auto"/>
          </w:divBdr>
        </w:div>
      </w:divsChild>
    </w:div>
    <w:div w:id="623997256">
      <w:marLeft w:val="0"/>
      <w:marRight w:val="0"/>
      <w:marTop w:val="0"/>
      <w:marBottom w:val="0"/>
      <w:divBdr>
        <w:top w:val="none" w:sz="0" w:space="0" w:color="auto"/>
        <w:left w:val="none" w:sz="0" w:space="0" w:color="auto"/>
        <w:bottom w:val="none" w:sz="0" w:space="0" w:color="auto"/>
        <w:right w:val="none" w:sz="0" w:space="0" w:color="auto"/>
      </w:divBdr>
    </w:div>
    <w:div w:id="625742644">
      <w:marLeft w:val="0"/>
      <w:marRight w:val="0"/>
      <w:marTop w:val="0"/>
      <w:marBottom w:val="0"/>
      <w:divBdr>
        <w:top w:val="none" w:sz="0" w:space="0" w:color="auto"/>
        <w:left w:val="none" w:sz="0" w:space="0" w:color="auto"/>
        <w:bottom w:val="none" w:sz="0" w:space="0" w:color="auto"/>
        <w:right w:val="none" w:sz="0" w:space="0" w:color="auto"/>
      </w:divBdr>
    </w:div>
    <w:div w:id="625813932">
      <w:marLeft w:val="0"/>
      <w:marRight w:val="0"/>
      <w:marTop w:val="0"/>
      <w:marBottom w:val="0"/>
      <w:divBdr>
        <w:top w:val="none" w:sz="0" w:space="0" w:color="auto"/>
        <w:left w:val="none" w:sz="0" w:space="0" w:color="auto"/>
        <w:bottom w:val="none" w:sz="0" w:space="0" w:color="auto"/>
        <w:right w:val="none" w:sz="0" w:space="0" w:color="auto"/>
      </w:divBdr>
    </w:div>
    <w:div w:id="626590652">
      <w:marLeft w:val="0"/>
      <w:marRight w:val="0"/>
      <w:marTop w:val="0"/>
      <w:marBottom w:val="0"/>
      <w:divBdr>
        <w:top w:val="none" w:sz="0" w:space="0" w:color="auto"/>
        <w:left w:val="none" w:sz="0" w:space="0" w:color="auto"/>
        <w:bottom w:val="none" w:sz="0" w:space="0" w:color="auto"/>
        <w:right w:val="none" w:sz="0" w:space="0" w:color="auto"/>
      </w:divBdr>
    </w:div>
    <w:div w:id="628240262">
      <w:marLeft w:val="0"/>
      <w:marRight w:val="0"/>
      <w:marTop w:val="0"/>
      <w:marBottom w:val="0"/>
      <w:divBdr>
        <w:top w:val="none" w:sz="0" w:space="0" w:color="auto"/>
        <w:left w:val="none" w:sz="0" w:space="0" w:color="auto"/>
        <w:bottom w:val="none" w:sz="0" w:space="0" w:color="auto"/>
        <w:right w:val="none" w:sz="0" w:space="0" w:color="auto"/>
      </w:divBdr>
    </w:div>
    <w:div w:id="631180950">
      <w:marLeft w:val="0"/>
      <w:marRight w:val="0"/>
      <w:marTop w:val="0"/>
      <w:marBottom w:val="0"/>
      <w:divBdr>
        <w:top w:val="none" w:sz="0" w:space="0" w:color="auto"/>
        <w:left w:val="none" w:sz="0" w:space="0" w:color="auto"/>
        <w:bottom w:val="none" w:sz="0" w:space="0" w:color="auto"/>
        <w:right w:val="none" w:sz="0" w:space="0" w:color="auto"/>
      </w:divBdr>
    </w:div>
    <w:div w:id="633104045">
      <w:marLeft w:val="0"/>
      <w:marRight w:val="0"/>
      <w:marTop w:val="0"/>
      <w:marBottom w:val="0"/>
      <w:divBdr>
        <w:top w:val="none" w:sz="0" w:space="0" w:color="auto"/>
        <w:left w:val="none" w:sz="0" w:space="0" w:color="auto"/>
        <w:bottom w:val="none" w:sz="0" w:space="0" w:color="auto"/>
        <w:right w:val="none" w:sz="0" w:space="0" w:color="auto"/>
      </w:divBdr>
    </w:div>
    <w:div w:id="633147428">
      <w:marLeft w:val="0"/>
      <w:marRight w:val="0"/>
      <w:marTop w:val="0"/>
      <w:marBottom w:val="0"/>
      <w:divBdr>
        <w:top w:val="none" w:sz="0" w:space="0" w:color="auto"/>
        <w:left w:val="none" w:sz="0" w:space="0" w:color="auto"/>
        <w:bottom w:val="none" w:sz="0" w:space="0" w:color="auto"/>
        <w:right w:val="none" w:sz="0" w:space="0" w:color="auto"/>
      </w:divBdr>
    </w:div>
    <w:div w:id="637493759">
      <w:marLeft w:val="0"/>
      <w:marRight w:val="0"/>
      <w:marTop w:val="0"/>
      <w:marBottom w:val="0"/>
      <w:divBdr>
        <w:top w:val="none" w:sz="0" w:space="0" w:color="auto"/>
        <w:left w:val="none" w:sz="0" w:space="0" w:color="auto"/>
        <w:bottom w:val="none" w:sz="0" w:space="0" w:color="auto"/>
        <w:right w:val="none" w:sz="0" w:space="0" w:color="auto"/>
      </w:divBdr>
    </w:div>
    <w:div w:id="642082369">
      <w:marLeft w:val="0"/>
      <w:marRight w:val="0"/>
      <w:marTop w:val="0"/>
      <w:marBottom w:val="0"/>
      <w:divBdr>
        <w:top w:val="none" w:sz="0" w:space="0" w:color="auto"/>
        <w:left w:val="none" w:sz="0" w:space="0" w:color="auto"/>
        <w:bottom w:val="none" w:sz="0" w:space="0" w:color="auto"/>
        <w:right w:val="none" w:sz="0" w:space="0" w:color="auto"/>
      </w:divBdr>
      <w:divsChild>
        <w:div w:id="432480463">
          <w:marLeft w:val="0"/>
          <w:marRight w:val="0"/>
          <w:marTop w:val="0"/>
          <w:marBottom w:val="0"/>
          <w:divBdr>
            <w:top w:val="none" w:sz="0" w:space="0" w:color="auto"/>
            <w:left w:val="none" w:sz="0" w:space="0" w:color="auto"/>
            <w:bottom w:val="none" w:sz="0" w:space="0" w:color="auto"/>
            <w:right w:val="none" w:sz="0" w:space="0" w:color="auto"/>
          </w:divBdr>
        </w:div>
      </w:divsChild>
    </w:div>
    <w:div w:id="642195276">
      <w:marLeft w:val="0"/>
      <w:marRight w:val="0"/>
      <w:marTop w:val="0"/>
      <w:marBottom w:val="0"/>
      <w:divBdr>
        <w:top w:val="none" w:sz="0" w:space="0" w:color="auto"/>
        <w:left w:val="none" w:sz="0" w:space="0" w:color="auto"/>
        <w:bottom w:val="none" w:sz="0" w:space="0" w:color="auto"/>
        <w:right w:val="none" w:sz="0" w:space="0" w:color="auto"/>
      </w:divBdr>
    </w:div>
    <w:div w:id="642203132">
      <w:marLeft w:val="0"/>
      <w:marRight w:val="0"/>
      <w:marTop w:val="0"/>
      <w:marBottom w:val="0"/>
      <w:divBdr>
        <w:top w:val="none" w:sz="0" w:space="0" w:color="auto"/>
        <w:left w:val="none" w:sz="0" w:space="0" w:color="auto"/>
        <w:bottom w:val="none" w:sz="0" w:space="0" w:color="auto"/>
        <w:right w:val="none" w:sz="0" w:space="0" w:color="auto"/>
      </w:divBdr>
    </w:div>
    <w:div w:id="642462696">
      <w:marLeft w:val="0"/>
      <w:marRight w:val="0"/>
      <w:marTop w:val="0"/>
      <w:marBottom w:val="0"/>
      <w:divBdr>
        <w:top w:val="none" w:sz="0" w:space="0" w:color="auto"/>
        <w:left w:val="none" w:sz="0" w:space="0" w:color="auto"/>
        <w:bottom w:val="none" w:sz="0" w:space="0" w:color="auto"/>
        <w:right w:val="none" w:sz="0" w:space="0" w:color="auto"/>
      </w:divBdr>
    </w:div>
    <w:div w:id="643698285">
      <w:marLeft w:val="0"/>
      <w:marRight w:val="0"/>
      <w:marTop w:val="0"/>
      <w:marBottom w:val="0"/>
      <w:divBdr>
        <w:top w:val="none" w:sz="0" w:space="0" w:color="auto"/>
        <w:left w:val="none" w:sz="0" w:space="0" w:color="auto"/>
        <w:bottom w:val="none" w:sz="0" w:space="0" w:color="auto"/>
        <w:right w:val="none" w:sz="0" w:space="0" w:color="auto"/>
      </w:divBdr>
      <w:divsChild>
        <w:div w:id="756093914">
          <w:marLeft w:val="0"/>
          <w:marRight w:val="0"/>
          <w:marTop w:val="0"/>
          <w:marBottom w:val="0"/>
          <w:divBdr>
            <w:top w:val="none" w:sz="0" w:space="0" w:color="auto"/>
            <w:left w:val="none" w:sz="0" w:space="0" w:color="auto"/>
            <w:bottom w:val="none" w:sz="0" w:space="0" w:color="auto"/>
            <w:right w:val="none" w:sz="0" w:space="0" w:color="auto"/>
          </w:divBdr>
        </w:div>
      </w:divsChild>
    </w:div>
    <w:div w:id="645357510">
      <w:marLeft w:val="0"/>
      <w:marRight w:val="0"/>
      <w:marTop w:val="0"/>
      <w:marBottom w:val="0"/>
      <w:divBdr>
        <w:top w:val="none" w:sz="0" w:space="0" w:color="auto"/>
        <w:left w:val="none" w:sz="0" w:space="0" w:color="auto"/>
        <w:bottom w:val="none" w:sz="0" w:space="0" w:color="auto"/>
        <w:right w:val="none" w:sz="0" w:space="0" w:color="auto"/>
      </w:divBdr>
    </w:div>
    <w:div w:id="646282276">
      <w:marLeft w:val="0"/>
      <w:marRight w:val="0"/>
      <w:marTop w:val="0"/>
      <w:marBottom w:val="0"/>
      <w:divBdr>
        <w:top w:val="none" w:sz="0" w:space="0" w:color="auto"/>
        <w:left w:val="none" w:sz="0" w:space="0" w:color="auto"/>
        <w:bottom w:val="none" w:sz="0" w:space="0" w:color="auto"/>
        <w:right w:val="none" w:sz="0" w:space="0" w:color="auto"/>
      </w:divBdr>
    </w:div>
    <w:div w:id="647712344">
      <w:marLeft w:val="0"/>
      <w:marRight w:val="0"/>
      <w:marTop w:val="0"/>
      <w:marBottom w:val="0"/>
      <w:divBdr>
        <w:top w:val="none" w:sz="0" w:space="0" w:color="auto"/>
        <w:left w:val="none" w:sz="0" w:space="0" w:color="auto"/>
        <w:bottom w:val="none" w:sz="0" w:space="0" w:color="auto"/>
        <w:right w:val="none" w:sz="0" w:space="0" w:color="auto"/>
      </w:divBdr>
      <w:divsChild>
        <w:div w:id="1882286085">
          <w:marLeft w:val="0"/>
          <w:marRight w:val="0"/>
          <w:marTop w:val="0"/>
          <w:marBottom w:val="0"/>
          <w:divBdr>
            <w:top w:val="none" w:sz="0" w:space="0" w:color="auto"/>
            <w:left w:val="none" w:sz="0" w:space="0" w:color="auto"/>
            <w:bottom w:val="none" w:sz="0" w:space="0" w:color="auto"/>
            <w:right w:val="none" w:sz="0" w:space="0" w:color="auto"/>
          </w:divBdr>
        </w:div>
      </w:divsChild>
    </w:div>
    <w:div w:id="650522976">
      <w:marLeft w:val="0"/>
      <w:marRight w:val="0"/>
      <w:marTop w:val="0"/>
      <w:marBottom w:val="0"/>
      <w:divBdr>
        <w:top w:val="none" w:sz="0" w:space="0" w:color="auto"/>
        <w:left w:val="none" w:sz="0" w:space="0" w:color="auto"/>
        <w:bottom w:val="none" w:sz="0" w:space="0" w:color="auto"/>
        <w:right w:val="none" w:sz="0" w:space="0" w:color="auto"/>
      </w:divBdr>
      <w:divsChild>
        <w:div w:id="1863544593">
          <w:marLeft w:val="0"/>
          <w:marRight w:val="0"/>
          <w:marTop w:val="0"/>
          <w:marBottom w:val="0"/>
          <w:divBdr>
            <w:top w:val="none" w:sz="0" w:space="0" w:color="auto"/>
            <w:left w:val="none" w:sz="0" w:space="0" w:color="auto"/>
            <w:bottom w:val="none" w:sz="0" w:space="0" w:color="auto"/>
            <w:right w:val="none" w:sz="0" w:space="0" w:color="auto"/>
          </w:divBdr>
        </w:div>
        <w:div w:id="2117939900">
          <w:marLeft w:val="0"/>
          <w:marRight w:val="0"/>
          <w:marTop w:val="0"/>
          <w:marBottom w:val="0"/>
          <w:divBdr>
            <w:top w:val="none" w:sz="0" w:space="0" w:color="auto"/>
            <w:left w:val="none" w:sz="0" w:space="0" w:color="auto"/>
            <w:bottom w:val="none" w:sz="0" w:space="0" w:color="auto"/>
            <w:right w:val="none" w:sz="0" w:space="0" w:color="auto"/>
          </w:divBdr>
        </w:div>
        <w:div w:id="1559197152">
          <w:marLeft w:val="0"/>
          <w:marRight w:val="0"/>
          <w:marTop w:val="0"/>
          <w:marBottom w:val="0"/>
          <w:divBdr>
            <w:top w:val="none" w:sz="0" w:space="0" w:color="auto"/>
            <w:left w:val="none" w:sz="0" w:space="0" w:color="auto"/>
            <w:bottom w:val="none" w:sz="0" w:space="0" w:color="auto"/>
            <w:right w:val="none" w:sz="0" w:space="0" w:color="auto"/>
          </w:divBdr>
        </w:div>
      </w:divsChild>
    </w:div>
    <w:div w:id="653030328">
      <w:marLeft w:val="0"/>
      <w:marRight w:val="0"/>
      <w:marTop w:val="0"/>
      <w:marBottom w:val="0"/>
      <w:divBdr>
        <w:top w:val="none" w:sz="0" w:space="0" w:color="auto"/>
        <w:left w:val="none" w:sz="0" w:space="0" w:color="auto"/>
        <w:bottom w:val="none" w:sz="0" w:space="0" w:color="auto"/>
        <w:right w:val="none" w:sz="0" w:space="0" w:color="auto"/>
      </w:divBdr>
    </w:div>
    <w:div w:id="660234282">
      <w:marLeft w:val="0"/>
      <w:marRight w:val="0"/>
      <w:marTop w:val="0"/>
      <w:marBottom w:val="0"/>
      <w:divBdr>
        <w:top w:val="none" w:sz="0" w:space="0" w:color="auto"/>
        <w:left w:val="none" w:sz="0" w:space="0" w:color="auto"/>
        <w:bottom w:val="none" w:sz="0" w:space="0" w:color="auto"/>
        <w:right w:val="none" w:sz="0" w:space="0" w:color="auto"/>
      </w:divBdr>
    </w:div>
    <w:div w:id="664942893">
      <w:marLeft w:val="0"/>
      <w:marRight w:val="0"/>
      <w:marTop w:val="0"/>
      <w:marBottom w:val="0"/>
      <w:divBdr>
        <w:top w:val="none" w:sz="0" w:space="0" w:color="auto"/>
        <w:left w:val="none" w:sz="0" w:space="0" w:color="auto"/>
        <w:bottom w:val="none" w:sz="0" w:space="0" w:color="auto"/>
        <w:right w:val="none" w:sz="0" w:space="0" w:color="auto"/>
      </w:divBdr>
    </w:div>
    <w:div w:id="665085785">
      <w:marLeft w:val="0"/>
      <w:marRight w:val="0"/>
      <w:marTop w:val="0"/>
      <w:marBottom w:val="0"/>
      <w:divBdr>
        <w:top w:val="none" w:sz="0" w:space="0" w:color="auto"/>
        <w:left w:val="none" w:sz="0" w:space="0" w:color="auto"/>
        <w:bottom w:val="none" w:sz="0" w:space="0" w:color="auto"/>
        <w:right w:val="none" w:sz="0" w:space="0" w:color="auto"/>
      </w:divBdr>
    </w:div>
    <w:div w:id="669798032">
      <w:marLeft w:val="0"/>
      <w:marRight w:val="0"/>
      <w:marTop w:val="0"/>
      <w:marBottom w:val="0"/>
      <w:divBdr>
        <w:top w:val="none" w:sz="0" w:space="0" w:color="auto"/>
        <w:left w:val="none" w:sz="0" w:space="0" w:color="auto"/>
        <w:bottom w:val="none" w:sz="0" w:space="0" w:color="auto"/>
        <w:right w:val="none" w:sz="0" w:space="0" w:color="auto"/>
      </w:divBdr>
    </w:div>
    <w:div w:id="670135560">
      <w:marLeft w:val="0"/>
      <w:marRight w:val="0"/>
      <w:marTop w:val="0"/>
      <w:marBottom w:val="0"/>
      <w:divBdr>
        <w:top w:val="none" w:sz="0" w:space="0" w:color="auto"/>
        <w:left w:val="none" w:sz="0" w:space="0" w:color="auto"/>
        <w:bottom w:val="none" w:sz="0" w:space="0" w:color="auto"/>
        <w:right w:val="none" w:sz="0" w:space="0" w:color="auto"/>
      </w:divBdr>
    </w:div>
    <w:div w:id="673260654">
      <w:marLeft w:val="0"/>
      <w:marRight w:val="0"/>
      <w:marTop w:val="0"/>
      <w:marBottom w:val="0"/>
      <w:divBdr>
        <w:top w:val="none" w:sz="0" w:space="0" w:color="auto"/>
        <w:left w:val="none" w:sz="0" w:space="0" w:color="auto"/>
        <w:bottom w:val="none" w:sz="0" w:space="0" w:color="auto"/>
        <w:right w:val="none" w:sz="0" w:space="0" w:color="auto"/>
      </w:divBdr>
    </w:div>
    <w:div w:id="679552962">
      <w:marLeft w:val="0"/>
      <w:marRight w:val="0"/>
      <w:marTop w:val="0"/>
      <w:marBottom w:val="0"/>
      <w:divBdr>
        <w:top w:val="none" w:sz="0" w:space="0" w:color="auto"/>
        <w:left w:val="none" w:sz="0" w:space="0" w:color="auto"/>
        <w:bottom w:val="none" w:sz="0" w:space="0" w:color="auto"/>
        <w:right w:val="none" w:sz="0" w:space="0" w:color="auto"/>
      </w:divBdr>
    </w:div>
    <w:div w:id="683048722">
      <w:marLeft w:val="0"/>
      <w:marRight w:val="0"/>
      <w:marTop w:val="0"/>
      <w:marBottom w:val="0"/>
      <w:divBdr>
        <w:top w:val="none" w:sz="0" w:space="0" w:color="auto"/>
        <w:left w:val="none" w:sz="0" w:space="0" w:color="auto"/>
        <w:bottom w:val="none" w:sz="0" w:space="0" w:color="auto"/>
        <w:right w:val="none" w:sz="0" w:space="0" w:color="auto"/>
      </w:divBdr>
    </w:div>
    <w:div w:id="683244821">
      <w:marLeft w:val="0"/>
      <w:marRight w:val="0"/>
      <w:marTop w:val="0"/>
      <w:marBottom w:val="0"/>
      <w:divBdr>
        <w:top w:val="none" w:sz="0" w:space="0" w:color="auto"/>
        <w:left w:val="none" w:sz="0" w:space="0" w:color="auto"/>
        <w:bottom w:val="none" w:sz="0" w:space="0" w:color="auto"/>
        <w:right w:val="none" w:sz="0" w:space="0" w:color="auto"/>
      </w:divBdr>
    </w:div>
    <w:div w:id="683361269">
      <w:marLeft w:val="0"/>
      <w:marRight w:val="0"/>
      <w:marTop w:val="0"/>
      <w:marBottom w:val="0"/>
      <w:divBdr>
        <w:top w:val="none" w:sz="0" w:space="0" w:color="auto"/>
        <w:left w:val="none" w:sz="0" w:space="0" w:color="auto"/>
        <w:bottom w:val="none" w:sz="0" w:space="0" w:color="auto"/>
        <w:right w:val="none" w:sz="0" w:space="0" w:color="auto"/>
      </w:divBdr>
    </w:div>
    <w:div w:id="686372983">
      <w:marLeft w:val="0"/>
      <w:marRight w:val="0"/>
      <w:marTop w:val="0"/>
      <w:marBottom w:val="0"/>
      <w:divBdr>
        <w:top w:val="none" w:sz="0" w:space="0" w:color="auto"/>
        <w:left w:val="none" w:sz="0" w:space="0" w:color="auto"/>
        <w:bottom w:val="none" w:sz="0" w:space="0" w:color="auto"/>
        <w:right w:val="none" w:sz="0" w:space="0" w:color="auto"/>
      </w:divBdr>
    </w:div>
    <w:div w:id="688290685">
      <w:marLeft w:val="0"/>
      <w:marRight w:val="0"/>
      <w:marTop w:val="0"/>
      <w:marBottom w:val="0"/>
      <w:divBdr>
        <w:top w:val="none" w:sz="0" w:space="0" w:color="auto"/>
        <w:left w:val="none" w:sz="0" w:space="0" w:color="auto"/>
        <w:bottom w:val="none" w:sz="0" w:space="0" w:color="auto"/>
        <w:right w:val="none" w:sz="0" w:space="0" w:color="auto"/>
      </w:divBdr>
    </w:div>
    <w:div w:id="689337870">
      <w:marLeft w:val="0"/>
      <w:marRight w:val="0"/>
      <w:marTop w:val="0"/>
      <w:marBottom w:val="0"/>
      <w:divBdr>
        <w:top w:val="none" w:sz="0" w:space="0" w:color="auto"/>
        <w:left w:val="none" w:sz="0" w:space="0" w:color="auto"/>
        <w:bottom w:val="none" w:sz="0" w:space="0" w:color="auto"/>
        <w:right w:val="none" w:sz="0" w:space="0" w:color="auto"/>
      </w:divBdr>
    </w:div>
    <w:div w:id="692848428">
      <w:marLeft w:val="0"/>
      <w:marRight w:val="0"/>
      <w:marTop w:val="0"/>
      <w:marBottom w:val="0"/>
      <w:divBdr>
        <w:top w:val="none" w:sz="0" w:space="0" w:color="auto"/>
        <w:left w:val="none" w:sz="0" w:space="0" w:color="auto"/>
        <w:bottom w:val="none" w:sz="0" w:space="0" w:color="auto"/>
        <w:right w:val="none" w:sz="0" w:space="0" w:color="auto"/>
      </w:divBdr>
    </w:div>
    <w:div w:id="697003836">
      <w:marLeft w:val="0"/>
      <w:marRight w:val="0"/>
      <w:marTop w:val="0"/>
      <w:marBottom w:val="0"/>
      <w:divBdr>
        <w:top w:val="none" w:sz="0" w:space="0" w:color="auto"/>
        <w:left w:val="none" w:sz="0" w:space="0" w:color="auto"/>
        <w:bottom w:val="none" w:sz="0" w:space="0" w:color="auto"/>
        <w:right w:val="none" w:sz="0" w:space="0" w:color="auto"/>
      </w:divBdr>
    </w:div>
    <w:div w:id="699087980">
      <w:marLeft w:val="0"/>
      <w:marRight w:val="0"/>
      <w:marTop w:val="0"/>
      <w:marBottom w:val="0"/>
      <w:divBdr>
        <w:top w:val="none" w:sz="0" w:space="0" w:color="auto"/>
        <w:left w:val="none" w:sz="0" w:space="0" w:color="auto"/>
        <w:bottom w:val="none" w:sz="0" w:space="0" w:color="auto"/>
        <w:right w:val="none" w:sz="0" w:space="0" w:color="auto"/>
      </w:divBdr>
    </w:div>
    <w:div w:id="707414499">
      <w:marLeft w:val="0"/>
      <w:marRight w:val="0"/>
      <w:marTop w:val="0"/>
      <w:marBottom w:val="0"/>
      <w:divBdr>
        <w:top w:val="none" w:sz="0" w:space="0" w:color="auto"/>
        <w:left w:val="none" w:sz="0" w:space="0" w:color="auto"/>
        <w:bottom w:val="none" w:sz="0" w:space="0" w:color="auto"/>
        <w:right w:val="none" w:sz="0" w:space="0" w:color="auto"/>
      </w:divBdr>
    </w:div>
    <w:div w:id="707603325">
      <w:marLeft w:val="0"/>
      <w:marRight w:val="0"/>
      <w:marTop w:val="0"/>
      <w:marBottom w:val="0"/>
      <w:divBdr>
        <w:top w:val="none" w:sz="0" w:space="0" w:color="auto"/>
        <w:left w:val="none" w:sz="0" w:space="0" w:color="auto"/>
        <w:bottom w:val="none" w:sz="0" w:space="0" w:color="auto"/>
        <w:right w:val="none" w:sz="0" w:space="0" w:color="auto"/>
      </w:divBdr>
    </w:div>
    <w:div w:id="708257958">
      <w:marLeft w:val="0"/>
      <w:marRight w:val="0"/>
      <w:marTop w:val="0"/>
      <w:marBottom w:val="0"/>
      <w:divBdr>
        <w:top w:val="none" w:sz="0" w:space="0" w:color="auto"/>
        <w:left w:val="none" w:sz="0" w:space="0" w:color="auto"/>
        <w:bottom w:val="none" w:sz="0" w:space="0" w:color="auto"/>
        <w:right w:val="none" w:sz="0" w:space="0" w:color="auto"/>
      </w:divBdr>
    </w:div>
    <w:div w:id="712198476">
      <w:marLeft w:val="0"/>
      <w:marRight w:val="0"/>
      <w:marTop w:val="0"/>
      <w:marBottom w:val="0"/>
      <w:divBdr>
        <w:top w:val="none" w:sz="0" w:space="0" w:color="auto"/>
        <w:left w:val="none" w:sz="0" w:space="0" w:color="auto"/>
        <w:bottom w:val="none" w:sz="0" w:space="0" w:color="auto"/>
        <w:right w:val="none" w:sz="0" w:space="0" w:color="auto"/>
      </w:divBdr>
    </w:div>
    <w:div w:id="713165064">
      <w:marLeft w:val="0"/>
      <w:marRight w:val="0"/>
      <w:marTop w:val="0"/>
      <w:marBottom w:val="0"/>
      <w:divBdr>
        <w:top w:val="none" w:sz="0" w:space="0" w:color="auto"/>
        <w:left w:val="none" w:sz="0" w:space="0" w:color="auto"/>
        <w:bottom w:val="none" w:sz="0" w:space="0" w:color="auto"/>
        <w:right w:val="none" w:sz="0" w:space="0" w:color="auto"/>
      </w:divBdr>
    </w:div>
    <w:div w:id="716008444">
      <w:marLeft w:val="0"/>
      <w:marRight w:val="0"/>
      <w:marTop w:val="0"/>
      <w:marBottom w:val="0"/>
      <w:divBdr>
        <w:top w:val="none" w:sz="0" w:space="0" w:color="auto"/>
        <w:left w:val="none" w:sz="0" w:space="0" w:color="auto"/>
        <w:bottom w:val="none" w:sz="0" w:space="0" w:color="auto"/>
        <w:right w:val="none" w:sz="0" w:space="0" w:color="auto"/>
      </w:divBdr>
      <w:divsChild>
        <w:div w:id="1286348376">
          <w:marLeft w:val="0"/>
          <w:marRight w:val="0"/>
          <w:marTop w:val="0"/>
          <w:marBottom w:val="0"/>
          <w:divBdr>
            <w:top w:val="none" w:sz="0" w:space="0" w:color="auto"/>
            <w:left w:val="none" w:sz="0" w:space="0" w:color="auto"/>
            <w:bottom w:val="none" w:sz="0" w:space="0" w:color="auto"/>
            <w:right w:val="none" w:sz="0" w:space="0" w:color="auto"/>
          </w:divBdr>
        </w:div>
      </w:divsChild>
    </w:div>
    <w:div w:id="716129601">
      <w:marLeft w:val="0"/>
      <w:marRight w:val="0"/>
      <w:marTop w:val="100"/>
      <w:marBottom w:val="0"/>
      <w:divBdr>
        <w:top w:val="none" w:sz="0" w:space="0" w:color="auto"/>
        <w:left w:val="none" w:sz="0" w:space="0" w:color="auto"/>
        <w:bottom w:val="none" w:sz="0" w:space="0" w:color="auto"/>
        <w:right w:val="none" w:sz="0" w:space="0" w:color="auto"/>
      </w:divBdr>
    </w:div>
    <w:div w:id="716468461">
      <w:marLeft w:val="0"/>
      <w:marRight w:val="0"/>
      <w:marTop w:val="0"/>
      <w:marBottom w:val="0"/>
      <w:divBdr>
        <w:top w:val="none" w:sz="0" w:space="0" w:color="auto"/>
        <w:left w:val="none" w:sz="0" w:space="0" w:color="auto"/>
        <w:bottom w:val="none" w:sz="0" w:space="0" w:color="auto"/>
        <w:right w:val="none" w:sz="0" w:space="0" w:color="auto"/>
      </w:divBdr>
    </w:div>
    <w:div w:id="720447464">
      <w:marLeft w:val="0"/>
      <w:marRight w:val="0"/>
      <w:marTop w:val="0"/>
      <w:marBottom w:val="0"/>
      <w:divBdr>
        <w:top w:val="none" w:sz="0" w:space="0" w:color="auto"/>
        <w:left w:val="none" w:sz="0" w:space="0" w:color="auto"/>
        <w:bottom w:val="none" w:sz="0" w:space="0" w:color="auto"/>
        <w:right w:val="none" w:sz="0" w:space="0" w:color="auto"/>
      </w:divBdr>
      <w:divsChild>
        <w:div w:id="730811729">
          <w:marLeft w:val="0"/>
          <w:marRight w:val="0"/>
          <w:marTop w:val="0"/>
          <w:marBottom w:val="0"/>
          <w:divBdr>
            <w:top w:val="none" w:sz="0" w:space="0" w:color="auto"/>
            <w:left w:val="none" w:sz="0" w:space="0" w:color="auto"/>
            <w:bottom w:val="none" w:sz="0" w:space="0" w:color="auto"/>
            <w:right w:val="none" w:sz="0" w:space="0" w:color="auto"/>
          </w:divBdr>
        </w:div>
      </w:divsChild>
    </w:div>
    <w:div w:id="721367955">
      <w:marLeft w:val="0"/>
      <w:marRight w:val="0"/>
      <w:marTop w:val="0"/>
      <w:marBottom w:val="0"/>
      <w:divBdr>
        <w:top w:val="none" w:sz="0" w:space="0" w:color="auto"/>
        <w:left w:val="none" w:sz="0" w:space="0" w:color="auto"/>
        <w:bottom w:val="none" w:sz="0" w:space="0" w:color="auto"/>
        <w:right w:val="none" w:sz="0" w:space="0" w:color="auto"/>
      </w:divBdr>
    </w:div>
    <w:div w:id="725109210">
      <w:marLeft w:val="0"/>
      <w:marRight w:val="0"/>
      <w:marTop w:val="0"/>
      <w:marBottom w:val="0"/>
      <w:divBdr>
        <w:top w:val="none" w:sz="0" w:space="0" w:color="auto"/>
        <w:left w:val="none" w:sz="0" w:space="0" w:color="auto"/>
        <w:bottom w:val="none" w:sz="0" w:space="0" w:color="auto"/>
        <w:right w:val="none" w:sz="0" w:space="0" w:color="auto"/>
      </w:divBdr>
    </w:div>
    <w:div w:id="727074181">
      <w:marLeft w:val="0"/>
      <w:marRight w:val="0"/>
      <w:marTop w:val="0"/>
      <w:marBottom w:val="240"/>
      <w:divBdr>
        <w:top w:val="none" w:sz="0" w:space="0" w:color="auto"/>
        <w:left w:val="none" w:sz="0" w:space="0" w:color="auto"/>
        <w:bottom w:val="none" w:sz="0" w:space="0" w:color="auto"/>
        <w:right w:val="none" w:sz="0" w:space="0" w:color="auto"/>
      </w:divBdr>
    </w:div>
    <w:div w:id="729883724">
      <w:marLeft w:val="0"/>
      <w:marRight w:val="0"/>
      <w:marTop w:val="0"/>
      <w:marBottom w:val="0"/>
      <w:divBdr>
        <w:top w:val="none" w:sz="0" w:space="0" w:color="auto"/>
        <w:left w:val="none" w:sz="0" w:space="0" w:color="auto"/>
        <w:bottom w:val="none" w:sz="0" w:space="0" w:color="auto"/>
        <w:right w:val="none" w:sz="0" w:space="0" w:color="auto"/>
      </w:divBdr>
    </w:div>
    <w:div w:id="731387028">
      <w:marLeft w:val="0"/>
      <w:marRight w:val="0"/>
      <w:marTop w:val="0"/>
      <w:marBottom w:val="0"/>
      <w:divBdr>
        <w:top w:val="none" w:sz="0" w:space="0" w:color="auto"/>
        <w:left w:val="none" w:sz="0" w:space="0" w:color="auto"/>
        <w:bottom w:val="none" w:sz="0" w:space="0" w:color="auto"/>
        <w:right w:val="none" w:sz="0" w:space="0" w:color="auto"/>
      </w:divBdr>
    </w:div>
    <w:div w:id="731776617">
      <w:marLeft w:val="0"/>
      <w:marRight w:val="0"/>
      <w:marTop w:val="0"/>
      <w:marBottom w:val="0"/>
      <w:divBdr>
        <w:top w:val="none" w:sz="0" w:space="0" w:color="auto"/>
        <w:left w:val="none" w:sz="0" w:space="0" w:color="auto"/>
        <w:bottom w:val="none" w:sz="0" w:space="0" w:color="auto"/>
        <w:right w:val="none" w:sz="0" w:space="0" w:color="auto"/>
      </w:divBdr>
    </w:div>
    <w:div w:id="735129353">
      <w:marLeft w:val="0"/>
      <w:marRight w:val="0"/>
      <w:marTop w:val="0"/>
      <w:marBottom w:val="0"/>
      <w:divBdr>
        <w:top w:val="none" w:sz="0" w:space="0" w:color="auto"/>
        <w:left w:val="none" w:sz="0" w:space="0" w:color="auto"/>
        <w:bottom w:val="none" w:sz="0" w:space="0" w:color="auto"/>
        <w:right w:val="none" w:sz="0" w:space="0" w:color="auto"/>
      </w:divBdr>
    </w:div>
    <w:div w:id="737825000">
      <w:marLeft w:val="0"/>
      <w:marRight w:val="0"/>
      <w:marTop w:val="0"/>
      <w:marBottom w:val="0"/>
      <w:divBdr>
        <w:top w:val="none" w:sz="0" w:space="0" w:color="auto"/>
        <w:left w:val="none" w:sz="0" w:space="0" w:color="auto"/>
        <w:bottom w:val="none" w:sz="0" w:space="0" w:color="auto"/>
        <w:right w:val="none" w:sz="0" w:space="0" w:color="auto"/>
      </w:divBdr>
    </w:div>
    <w:div w:id="738210640">
      <w:marLeft w:val="0"/>
      <w:marRight w:val="0"/>
      <w:marTop w:val="0"/>
      <w:marBottom w:val="0"/>
      <w:divBdr>
        <w:top w:val="none" w:sz="0" w:space="0" w:color="auto"/>
        <w:left w:val="none" w:sz="0" w:space="0" w:color="auto"/>
        <w:bottom w:val="none" w:sz="0" w:space="0" w:color="auto"/>
        <w:right w:val="none" w:sz="0" w:space="0" w:color="auto"/>
      </w:divBdr>
    </w:div>
    <w:div w:id="739866454">
      <w:marLeft w:val="0"/>
      <w:marRight w:val="0"/>
      <w:marTop w:val="0"/>
      <w:marBottom w:val="0"/>
      <w:divBdr>
        <w:top w:val="none" w:sz="0" w:space="0" w:color="auto"/>
        <w:left w:val="none" w:sz="0" w:space="0" w:color="auto"/>
        <w:bottom w:val="none" w:sz="0" w:space="0" w:color="auto"/>
        <w:right w:val="none" w:sz="0" w:space="0" w:color="auto"/>
      </w:divBdr>
    </w:div>
    <w:div w:id="742796475">
      <w:marLeft w:val="0"/>
      <w:marRight w:val="0"/>
      <w:marTop w:val="0"/>
      <w:marBottom w:val="0"/>
      <w:divBdr>
        <w:top w:val="none" w:sz="0" w:space="0" w:color="auto"/>
        <w:left w:val="none" w:sz="0" w:space="0" w:color="auto"/>
        <w:bottom w:val="none" w:sz="0" w:space="0" w:color="auto"/>
        <w:right w:val="none" w:sz="0" w:space="0" w:color="auto"/>
      </w:divBdr>
    </w:div>
    <w:div w:id="746003083">
      <w:marLeft w:val="0"/>
      <w:marRight w:val="0"/>
      <w:marTop w:val="0"/>
      <w:marBottom w:val="0"/>
      <w:divBdr>
        <w:top w:val="none" w:sz="0" w:space="0" w:color="auto"/>
        <w:left w:val="none" w:sz="0" w:space="0" w:color="auto"/>
        <w:bottom w:val="none" w:sz="0" w:space="0" w:color="auto"/>
        <w:right w:val="none" w:sz="0" w:space="0" w:color="auto"/>
      </w:divBdr>
    </w:div>
    <w:div w:id="746462243">
      <w:marLeft w:val="0"/>
      <w:marRight w:val="0"/>
      <w:marTop w:val="0"/>
      <w:marBottom w:val="0"/>
      <w:divBdr>
        <w:top w:val="none" w:sz="0" w:space="0" w:color="auto"/>
        <w:left w:val="none" w:sz="0" w:space="0" w:color="auto"/>
        <w:bottom w:val="none" w:sz="0" w:space="0" w:color="auto"/>
        <w:right w:val="none" w:sz="0" w:space="0" w:color="auto"/>
      </w:divBdr>
    </w:div>
    <w:div w:id="749547062">
      <w:marLeft w:val="0"/>
      <w:marRight w:val="0"/>
      <w:marTop w:val="0"/>
      <w:marBottom w:val="0"/>
      <w:divBdr>
        <w:top w:val="none" w:sz="0" w:space="0" w:color="auto"/>
        <w:left w:val="none" w:sz="0" w:space="0" w:color="auto"/>
        <w:bottom w:val="none" w:sz="0" w:space="0" w:color="auto"/>
        <w:right w:val="none" w:sz="0" w:space="0" w:color="auto"/>
      </w:divBdr>
      <w:divsChild>
        <w:div w:id="1175849776">
          <w:marLeft w:val="0"/>
          <w:marRight w:val="0"/>
          <w:marTop w:val="0"/>
          <w:marBottom w:val="0"/>
          <w:divBdr>
            <w:top w:val="none" w:sz="0" w:space="0" w:color="auto"/>
            <w:left w:val="none" w:sz="0" w:space="0" w:color="auto"/>
            <w:bottom w:val="none" w:sz="0" w:space="0" w:color="auto"/>
            <w:right w:val="none" w:sz="0" w:space="0" w:color="auto"/>
          </w:divBdr>
        </w:div>
      </w:divsChild>
    </w:div>
    <w:div w:id="749620483">
      <w:marLeft w:val="0"/>
      <w:marRight w:val="0"/>
      <w:marTop w:val="0"/>
      <w:marBottom w:val="0"/>
      <w:divBdr>
        <w:top w:val="none" w:sz="0" w:space="0" w:color="auto"/>
        <w:left w:val="none" w:sz="0" w:space="0" w:color="auto"/>
        <w:bottom w:val="none" w:sz="0" w:space="0" w:color="auto"/>
        <w:right w:val="none" w:sz="0" w:space="0" w:color="auto"/>
      </w:divBdr>
    </w:div>
    <w:div w:id="749933957">
      <w:marLeft w:val="0"/>
      <w:marRight w:val="0"/>
      <w:marTop w:val="0"/>
      <w:marBottom w:val="0"/>
      <w:divBdr>
        <w:top w:val="none" w:sz="0" w:space="0" w:color="auto"/>
        <w:left w:val="none" w:sz="0" w:space="0" w:color="auto"/>
        <w:bottom w:val="none" w:sz="0" w:space="0" w:color="auto"/>
        <w:right w:val="none" w:sz="0" w:space="0" w:color="auto"/>
      </w:divBdr>
    </w:div>
    <w:div w:id="760100587">
      <w:marLeft w:val="0"/>
      <w:marRight w:val="0"/>
      <w:marTop w:val="0"/>
      <w:marBottom w:val="0"/>
      <w:divBdr>
        <w:top w:val="none" w:sz="0" w:space="0" w:color="auto"/>
        <w:left w:val="none" w:sz="0" w:space="0" w:color="auto"/>
        <w:bottom w:val="none" w:sz="0" w:space="0" w:color="auto"/>
        <w:right w:val="none" w:sz="0" w:space="0" w:color="auto"/>
      </w:divBdr>
    </w:div>
    <w:div w:id="761295672">
      <w:marLeft w:val="0"/>
      <w:marRight w:val="0"/>
      <w:marTop w:val="0"/>
      <w:marBottom w:val="0"/>
      <w:divBdr>
        <w:top w:val="none" w:sz="0" w:space="0" w:color="auto"/>
        <w:left w:val="none" w:sz="0" w:space="0" w:color="auto"/>
        <w:bottom w:val="none" w:sz="0" w:space="0" w:color="auto"/>
        <w:right w:val="none" w:sz="0" w:space="0" w:color="auto"/>
      </w:divBdr>
    </w:div>
    <w:div w:id="763038313">
      <w:marLeft w:val="0"/>
      <w:marRight w:val="0"/>
      <w:marTop w:val="0"/>
      <w:marBottom w:val="0"/>
      <w:divBdr>
        <w:top w:val="none" w:sz="0" w:space="0" w:color="auto"/>
        <w:left w:val="none" w:sz="0" w:space="0" w:color="auto"/>
        <w:bottom w:val="none" w:sz="0" w:space="0" w:color="auto"/>
        <w:right w:val="none" w:sz="0" w:space="0" w:color="auto"/>
      </w:divBdr>
    </w:div>
    <w:div w:id="764813921">
      <w:marLeft w:val="0"/>
      <w:marRight w:val="0"/>
      <w:marTop w:val="0"/>
      <w:marBottom w:val="0"/>
      <w:divBdr>
        <w:top w:val="none" w:sz="0" w:space="0" w:color="auto"/>
        <w:left w:val="none" w:sz="0" w:space="0" w:color="auto"/>
        <w:bottom w:val="none" w:sz="0" w:space="0" w:color="auto"/>
        <w:right w:val="none" w:sz="0" w:space="0" w:color="auto"/>
      </w:divBdr>
    </w:div>
    <w:div w:id="767235792">
      <w:marLeft w:val="0"/>
      <w:marRight w:val="0"/>
      <w:marTop w:val="0"/>
      <w:marBottom w:val="0"/>
      <w:divBdr>
        <w:top w:val="none" w:sz="0" w:space="0" w:color="auto"/>
        <w:left w:val="none" w:sz="0" w:space="0" w:color="auto"/>
        <w:bottom w:val="none" w:sz="0" w:space="0" w:color="auto"/>
        <w:right w:val="none" w:sz="0" w:space="0" w:color="auto"/>
      </w:divBdr>
    </w:div>
    <w:div w:id="767698725">
      <w:marLeft w:val="0"/>
      <w:marRight w:val="0"/>
      <w:marTop w:val="0"/>
      <w:marBottom w:val="0"/>
      <w:divBdr>
        <w:top w:val="none" w:sz="0" w:space="0" w:color="auto"/>
        <w:left w:val="none" w:sz="0" w:space="0" w:color="auto"/>
        <w:bottom w:val="none" w:sz="0" w:space="0" w:color="auto"/>
        <w:right w:val="none" w:sz="0" w:space="0" w:color="auto"/>
      </w:divBdr>
    </w:div>
    <w:div w:id="768741850">
      <w:marLeft w:val="0"/>
      <w:marRight w:val="0"/>
      <w:marTop w:val="0"/>
      <w:marBottom w:val="0"/>
      <w:divBdr>
        <w:top w:val="none" w:sz="0" w:space="0" w:color="auto"/>
        <w:left w:val="none" w:sz="0" w:space="0" w:color="auto"/>
        <w:bottom w:val="none" w:sz="0" w:space="0" w:color="auto"/>
        <w:right w:val="none" w:sz="0" w:space="0" w:color="auto"/>
      </w:divBdr>
    </w:div>
    <w:div w:id="769619084">
      <w:marLeft w:val="0"/>
      <w:marRight w:val="0"/>
      <w:marTop w:val="0"/>
      <w:marBottom w:val="0"/>
      <w:divBdr>
        <w:top w:val="none" w:sz="0" w:space="0" w:color="auto"/>
        <w:left w:val="none" w:sz="0" w:space="0" w:color="auto"/>
        <w:bottom w:val="none" w:sz="0" w:space="0" w:color="auto"/>
        <w:right w:val="none" w:sz="0" w:space="0" w:color="auto"/>
      </w:divBdr>
    </w:div>
    <w:div w:id="769663885">
      <w:marLeft w:val="0"/>
      <w:marRight w:val="0"/>
      <w:marTop w:val="0"/>
      <w:marBottom w:val="0"/>
      <w:divBdr>
        <w:top w:val="none" w:sz="0" w:space="0" w:color="auto"/>
        <w:left w:val="none" w:sz="0" w:space="0" w:color="auto"/>
        <w:bottom w:val="none" w:sz="0" w:space="0" w:color="auto"/>
        <w:right w:val="none" w:sz="0" w:space="0" w:color="auto"/>
      </w:divBdr>
    </w:div>
    <w:div w:id="769934706">
      <w:marLeft w:val="0"/>
      <w:marRight w:val="0"/>
      <w:marTop w:val="0"/>
      <w:marBottom w:val="0"/>
      <w:divBdr>
        <w:top w:val="none" w:sz="0" w:space="0" w:color="auto"/>
        <w:left w:val="none" w:sz="0" w:space="0" w:color="auto"/>
        <w:bottom w:val="none" w:sz="0" w:space="0" w:color="auto"/>
        <w:right w:val="none" w:sz="0" w:space="0" w:color="auto"/>
      </w:divBdr>
    </w:div>
    <w:div w:id="770708219">
      <w:marLeft w:val="0"/>
      <w:marRight w:val="0"/>
      <w:marTop w:val="0"/>
      <w:marBottom w:val="0"/>
      <w:divBdr>
        <w:top w:val="none" w:sz="0" w:space="0" w:color="auto"/>
        <w:left w:val="none" w:sz="0" w:space="0" w:color="auto"/>
        <w:bottom w:val="none" w:sz="0" w:space="0" w:color="auto"/>
        <w:right w:val="none" w:sz="0" w:space="0" w:color="auto"/>
      </w:divBdr>
      <w:divsChild>
        <w:div w:id="602225015">
          <w:marLeft w:val="0"/>
          <w:marRight w:val="0"/>
          <w:marTop w:val="0"/>
          <w:marBottom w:val="0"/>
          <w:divBdr>
            <w:top w:val="none" w:sz="0" w:space="0" w:color="auto"/>
            <w:left w:val="none" w:sz="0" w:space="0" w:color="auto"/>
            <w:bottom w:val="none" w:sz="0" w:space="0" w:color="auto"/>
            <w:right w:val="none" w:sz="0" w:space="0" w:color="auto"/>
          </w:divBdr>
        </w:div>
      </w:divsChild>
    </w:div>
    <w:div w:id="771631637">
      <w:marLeft w:val="0"/>
      <w:marRight w:val="0"/>
      <w:marTop w:val="0"/>
      <w:marBottom w:val="0"/>
      <w:divBdr>
        <w:top w:val="none" w:sz="0" w:space="0" w:color="auto"/>
        <w:left w:val="none" w:sz="0" w:space="0" w:color="auto"/>
        <w:bottom w:val="none" w:sz="0" w:space="0" w:color="auto"/>
        <w:right w:val="none" w:sz="0" w:space="0" w:color="auto"/>
      </w:divBdr>
    </w:div>
    <w:div w:id="772941741">
      <w:marLeft w:val="0"/>
      <w:marRight w:val="0"/>
      <w:marTop w:val="0"/>
      <w:marBottom w:val="0"/>
      <w:divBdr>
        <w:top w:val="none" w:sz="0" w:space="0" w:color="auto"/>
        <w:left w:val="none" w:sz="0" w:space="0" w:color="auto"/>
        <w:bottom w:val="none" w:sz="0" w:space="0" w:color="auto"/>
        <w:right w:val="none" w:sz="0" w:space="0" w:color="auto"/>
      </w:divBdr>
    </w:div>
    <w:div w:id="776024906">
      <w:marLeft w:val="0"/>
      <w:marRight w:val="0"/>
      <w:marTop w:val="0"/>
      <w:marBottom w:val="0"/>
      <w:divBdr>
        <w:top w:val="none" w:sz="0" w:space="0" w:color="auto"/>
        <w:left w:val="none" w:sz="0" w:space="0" w:color="auto"/>
        <w:bottom w:val="none" w:sz="0" w:space="0" w:color="auto"/>
        <w:right w:val="none" w:sz="0" w:space="0" w:color="auto"/>
      </w:divBdr>
    </w:div>
    <w:div w:id="776408474">
      <w:marLeft w:val="0"/>
      <w:marRight w:val="0"/>
      <w:marTop w:val="0"/>
      <w:marBottom w:val="0"/>
      <w:divBdr>
        <w:top w:val="none" w:sz="0" w:space="0" w:color="auto"/>
        <w:left w:val="none" w:sz="0" w:space="0" w:color="auto"/>
        <w:bottom w:val="none" w:sz="0" w:space="0" w:color="auto"/>
        <w:right w:val="none" w:sz="0" w:space="0" w:color="auto"/>
      </w:divBdr>
    </w:div>
    <w:div w:id="777872188">
      <w:marLeft w:val="0"/>
      <w:marRight w:val="0"/>
      <w:marTop w:val="0"/>
      <w:marBottom w:val="0"/>
      <w:divBdr>
        <w:top w:val="none" w:sz="0" w:space="0" w:color="auto"/>
        <w:left w:val="none" w:sz="0" w:space="0" w:color="auto"/>
        <w:bottom w:val="none" w:sz="0" w:space="0" w:color="auto"/>
        <w:right w:val="none" w:sz="0" w:space="0" w:color="auto"/>
      </w:divBdr>
    </w:div>
    <w:div w:id="778337345">
      <w:marLeft w:val="0"/>
      <w:marRight w:val="0"/>
      <w:marTop w:val="0"/>
      <w:marBottom w:val="0"/>
      <w:divBdr>
        <w:top w:val="none" w:sz="0" w:space="0" w:color="auto"/>
        <w:left w:val="none" w:sz="0" w:space="0" w:color="auto"/>
        <w:bottom w:val="none" w:sz="0" w:space="0" w:color="auto"/>
        <w:right w:val="none" w:sz="0" w:space="0" w:color="auto"/>
      </w:divBdr>
      <w:divsChild>
        <w:div w:id="1264530163">
          <w:marLeft w:val="0"/>
          <w:marRight w:val="0"/>
          <w:marTop w:val="0"/>
          <w:marBottom w:val="0"/>
          <w:divBdr>
            <w:top w:val="none" w:sz="0" w:space="0" w:color="auto"/>
            <w:left w:val="none" w:sz="0" w:space="0" w:color="auto"/>
            <w:bottom w:val="none" w:sz="0" w:space="0" w:color="auto"/>
            <w:right w:val="none" w:sz="0" w:space="0" w:color="auto"/>
          </w:divBdr>
        </w:div>
      </w:divsChild>
    </w:div>
    <w:div w:id="778644417">
      <w:marLeft w:val="0"/>
      <w:marRight w:val="0"/>
      <w:marTop w:val="0"/>
      <w:marBottom w:val="0"/>
      <w:divBdr>
        <w:top w:val="none" w:sz="0" w:space="0" w:color="auto"/>
        <w:left w:val="none" w:sz="0" w:space="0" w:color="auto"/>
        <w:bottom w:val="none" w:sz="0" w:space="0" w:color="auto"/>
        <w:right w:val="none" w:sz="0" w:space="0" w:color="auto"/>
      </w:divBdr>
    </w:div>
    <w:div w:id="786775889">
      <w:marLeft w:val="0"/>
      <w:marRight w:val="0"/>
      <w:marTop w:val="0"/>
      <w:marBottom w:val="0"/>
      <w:divBdr>
        <w:top w:val="none" w:sz="0" w:space="0" w:color="auto"/>
        <w:left w:val="none" w:sz="0" w:space="0" w:color="auto"/>
        <w:bottom w:val="none" w:sz="0" w:space="0" w:color="auto"/>
        <w:right w:val="none" w:sz="0" w:space="0" w:color="auto"/>
      </w:divBdr>
    </w:div>
    <w:div w:id="788427369">
      <w:marLeft w:val="0"/>
      <w:marRight w:val="0"/>
      <w:marTop w:val="0"/>
      <w:marBottom w:val="0"/>
      <w:divBdr>
        <w:top w:val="none" w:sz="0" w:space="0" w:color="auto"/>
        <w:left w:val="none" w:sz="0" w:space="0" w:color="auto"/>
        <w:bottom w:val="none" w:sz="0" w:space="0" w:color="auto"/>
        <w:right w:val="none" w:sz="0" w:space="0" w:color="auto"/>
      </w:divBdr>
    </w:div>
    <w:div w:id="793137279">
      <w:marLeft w:val="0"/>
      <w:marRight w:val="0"/>
      <w:marTop w:val="0"/>
      <w:marBottom w:val="0"/>
      <w:divBdr>
        <w:top w:val="none" w:sz="0" w:space="0" w:color="auto"/>
        <w:left w:val="none" w:sz="0" w:space="0" w:color="auto"/>
        <w:bottom w:val="none" w:sz="0" w:space="0" w:color="auto"/>
        <w:right w:val="none" w:sz="0" w:space="0" w:color="auto"/>
      </w:divBdr>
    </w:div>
    <w:div w:id="793986313">
      <w:marLeft w:val="0"/>
      <w:marRight w:val="0"/>
      <w:marTop w:val="0"/>
      <w:marBottom w:val="0"/>
      <w:divBdr>
        <w:top w:val="none" w:sz="0" w:space="0" w:color="auto"/>
        <w:left w:val="none" w:sz="0" w:space="0" w:color="auto"/>
        <w:bottom w:val="none" w:sz="0" w:space="0" w:color="auto"/>
        <w:right w:val="none" w:sz="0" w:space="0" w:color="auto"/>
      </w:divBdr>
    </w:div>
    <w:div w:id="798719893">
      <w:marLeft w:val="0"/>
      <w:marRight w:val="0"/>
      <w:marTop w:val="0"/>
      <w:marBottom w:val="0"/>
      <w:divBdr>
        <w:top w:val="none" w:sz="0" w:space="0" w:color="auto"/>
        <w:left w:val="none" w:sz="0" w:space="0" w:color="auto"/>
        <w:bottom w:val="none" w:sz="0" w:space="0" w:color="auto"/>
        <w:right w:val="none" w:sz="0" w:space="0" w:color="auto"/>
      </w:divBdr>
    </w:div>
    <w:div w:id="800534333">
      <w:marLeft w:val="0"/>
      <w:marRight w:val="0"/>
      <w:marTop w:val="0"/>
      <w:marBottom w:val="0"/>
      <w:divBdr>
        <w:top w:val="none" w:sz="0" w:space="0" w:color="auto"/>
        <w:left w:val="none" w:sz="0" w:space="0" w:color="auto"/>
        <w:bottom w:val="none" w:sz="0" w:space="0" w:color="auto"/>
        <w:right w:val="none" w:sz="0" w:space="0" w:color="auto"/>
      </w:divBdr>
    </w:div>
    <w:div w:id="801774894">
      <w:marLeft w:val="0"/>
      <w:marRight w:val="0"/>
      <w:marTop w:val="0"/>
      <w:marBottom w:val="0"/>
      <w:divBdr>
        <w:top w:val="none" w:sz="0" w:space="0" w:color="auto"/>
        <w:left w:val="none" w:sz="0" w:space="0" w:color="auto"/>
        <w:bottom w:val="none" w:sz="0" w:space="0" w:color="auto"/>
        <w:right w:val="none" w:sz="0" w:space="0" w:color="auto"/>
      </w:divBdr>
    </w:div>
    <w:div w:id="801967812">
      <w:marLeft w:val="0"/>
      <w:marRight w:val="0"/>
      <w:marTop w:val="0"/>
      <w:marBottom w:val="0"/>
      <w:divBdr>
        <w:top w:val="none" w:sz="0" w:space="0" w:color="auto"/>
        <w:left w:val="none" w:sz="0" w:space="0" w:color="auto"/>
        <w:bottom w:val="none" w:sz="0" w:space="0" w:color="auto"/>
        <w:right w:val="none" w:sz="0" w:space="0" w:color="auto"/>
      </w:divBdr>
    </w:div>
    <w:div w:id="804274280">
      <w:marLeft w:val="0"/>
      <w:marRight w:val="0"/>
      <w:marTop w:val="0"/>
      <w:marBottom w:val="0"/>
      <w:divBdr>
        <w:top w:val="none" w:sz="0" w:space="0" w:color="auto"/>
        <w:left w:val="none" w:sz="0" w:space="0" w:color="auto"/>
        <w:bottom w:val="none" w:sz="0" w:space="0" w:color="auto"/>
        <w:right w:val="none" w:sz="0" w:space="0" w:color="auto"/>
      </w:divBdr>
    </w:div>
    <w:div w:id="805123889">
      <w:marLeft w:val="0"/>
      <w:marRight w:val="0"/>
      <w:marTop w:val="0"/>
      <w:marBottom w:val="0"/>
      <w:divBdr>
        <w:top w:val="none" w:sz="0" w:space="0" w:color="auto"/>
        <w:left w:val="none" w:sz="0" w:space="0" w:color="auto"/>
        <w:bottom w:val="none" w:sz="0" w:space="0" w:color="auto"/>
        <w:right w:val="none" w:sz="0" w:space="0" w:color="auto"/>
      </w:divBdr>
    </w:div>
    <w:div w:id="806701799">
      <w:marLeft w:val="0"/>
      <w:marRight w:val="0"/>
      <w:marTop w:val="0"/>
      <w:marBottom w:val="0"/>
      <w:divBdr>
        <w:top w:val="none" w:sz="0" w:space="0" w:color="auto"/>
        <w:left w:val="none" w:sz="0" w:space="0" w:color="auto"/>
        <w:bottom w:val="none" w:sz="0" w:space="0" w:color="auto"/>
        <w:right w:val="none" w:sz="0" w:space="0" w:color="auto"/>
      </w:divBdr>
    </w:div>
    <w:div w:id="807165709">
      <w:marLeft w:val="0"/>
      <w:marRight w:val="0"/>
      <w:marTop w:val="0"/>
      <w:marBottom w:val="0"/>
      <w:divBdr>
        <w:top w:val="none" w:sz="0" w:space="0" w:color="auto"/>
        <w:left w:val="none" w:sz="0" w:space="0" w:color="auto"/>
        <w:bottom w:val="none" w:sz="0" w:space="0" w:color="auto"/>
        <w:right w:val="none" w:sz="0" w:space="0" w:color="auto"/>
      </w:divBdr>
    </w:div>
    <w:div w:id="808714940">
      <w:marLeft w:val="0"/>
      <w:marRight w:val="0"/>
      <w:marTop w:val="100"/>
      <w:marBottom w:val="0"/>
      <w:divBdr>
        <w:top w:val="none" w:sz="0" w:space="0" w:color="auto"/>
        <w:left w:val="none" w:sz="0" w:space="0" w:color="auto"/>
        <w:bottom w:val="none" w:sz="0" w:space="0" w:color="auto"/>
        <w:right w:val="none" w:sz="0" w:space="0" w:color="auto"/>
      </w:divBdr>
      <w:divsChild>
        <w:div w:id="377632422">
          <w:marLeft w:val="0"/>
          <w:marRight w:val="0"/>
          <w:marTop w:val="0"/>
          <w:marBottom w:val="0"/>
          <w:divBdr>
            <w:top w:val="none" w:sz="0" w:space="0" w:color="auto"/>
            <w:left w:val="none" w:sz="0" w:space="0" w:color="auto"/>
            <w:bottom w:val="none" w:sz="0" w:space="0" w:color="auto"/>
            <w:right w:val="none" w:sz="0" w:space="0" w:color="auto"/>
          </w:divBdr>
        </w:div>
      </w:divsChild>
    </w:div>
    <w:div w:id="809127451">
      <w:marLeft w:val="0"/>
      <w:marRight w:val="0"/>
      <w:marTop w:val="0"/>
      <w:marBottom w:val="0"/>
      <w:divBdr>
        <w:top w:val="none" w:sz="0" w:space="0" w:color="auto"/>
        <w:left w:val="none" w:sz="0" w:space="0" w:color="auto"/>
        <w:bottom w:val="none" w:sz="0" w:space="0" w:color="auto"/>
        <w:right w:val="none" w:sz="0" w:space="0" w:color="auto"/>
      </w:divBdr>
    </w:div>
    <w:div w:id="812256307">
      <w:marLeft w:val="0"/>
      <w:marRight w:val="0"/>
      <w:marTop w:val="0"/>
      <w:marBottom w:val="0"/>
      <w:divBdr>
        <w:top w:val="none" w:sz="0" w:space="0" w:color="auto"/>
        <w:left w:val="none" w:sz="0" w:space="0" w:color="auto"/>
        <w:bottom w:val="none" w:sz="0" w:space="0" w:color="auto"/>
        <w:right w:val="none" w:sz="0" w:space="0" w:color="auto"/>
      </w:divBdr>
    </w:div>
    <w:div w:id="814830931">
      <w:marLeft w:val="0"/>
      <w:marRight w:val="0"/>
      <w:marTop w:val="0"/>
      <w:marBottom w:val="0"/>
      <w:divBdr>
        <w:top w:val="none" w:sz="0" w:space="0" w:color="auto"/>
        <w:left w:val="none" w:sz="0" w:space="0" w:color="auto"/>
        <w:bottom w:val="none" w:sz="0" w:space="0" w:color="auto"/>
        <w:right w:val="none" w:sz="0" w:space="0" w:color="auto"/>
      </w:divBdr>
    </w:div>
    <w:div w:id="817186190">
      <w:marLeft w:val="0"/>
      <w:marRight w:val="0"/>
      <w:marTop w:val="0"/>
      <w:marBottom w:val="0"/>
      <w:divBdr>
        <w:top w:val="none" w:sz="0" w:space="0" w:color="auto"/>
        <w:left w:val="none" w:sz="0" w:space="0" w:color="auto"/>
        <w:bottom w:val="none" w:sz="0" w:space="0" w:color="auto"/>
        <w:right w:val="none" w:sz="0" w:space="0" w:color="auto"/>
      </w:divBdr>
    </w:div>
    <w:div w:id="817845625">
      <w:marLeft w:val="0"/>
      <w:marRight w:val="0"/>
      <w:marTop w:val="0"/>
      <w:marBottom w:val="0"/>
      <w:divBdr>
        <w:top w:val="none" w:sz="0" w:space="0" w:color="auto"/>
        <w:left w:val="none" w:sz="0" w:space="0" w:color="auto"/>
        <w:bottom w:val="none" w:sz="0" w:space="0" w:color="auto"/>
        <w:right w:val="none" w:sz="0" w:space="0" w:color="auto"/>
      </w:divBdr>
    </w:div>
    <w:div w:id="818230979">
      <w:marLeft w:val="0"/>
      <w:marRight w:val="0"/>
      <w:marTop w:val="0"/>
      <w:marBottom w:val="0"/>
      <w:divBdr>
        <w:top w:val="none" w:sz="0" w:space="0" w:color="auto"/>
        <w:left w:val="none" w:sz="0" w:space="0" w:color="auto"/>
        <w:bottom w:val="none" w:sz="0" w:space="0" w:color="auto"/>
        <w:right w:val="none" w:sz="0" w:space="0" w:color="auto"/>
      </w:divBdr>
    </w:div>
    <w:div w:id="818887357">
      <w:marLeft w:val="0"/>
      <w:marRight w:val="0"/>
      <w:marTop w:val="0"/>
      <w:marBottom w:val="0"/>
      <w:divBdr>
        <w:top w:val="none" w:sz="0" w:space="0" w:color="auto"/>
        <w:left w:val="none" w:sz="0" w:space="0" w:color="auto"/>
        <w:bottom w:val="none" w:sz="0" w:space="0" w:color="auto"/>
        <w:right w:val="none" w:sz="0" w:space="0" w:color="auto"/>
      </w:divBdr>
    </w:div>
    <w:div w:id="819813435">
      <w:marLeft w:val="0"/>
      <w:marRight w:val="0"/>
      <w:marTop w:val="0"/>
      <w:marBottom w:val="0"/>
      <w:divBdr>
        <w:top w:val="none" w:sz="0" w:space="0" w:color="auto"/>
        <w:left w:val="none" w:sz="0" w:space="0" w:color="auto"/>
        <w:bottom w:val="none" w:sz="0" w:space="0" w:color="auto"/>
        <w:right w:val="none" w:sz="0" w:space="0" w:color="auto"/>
      </w:divBdr>
    </w:div>
    <w:div w:id="820199486">
      <w:marLeft w:val="0"/>
      <w:marRight w:val="0"/>
      <w:marTop w:val="0"/>
      <w:marBottom w:val="0"/>
      <w:divBdr>
        <w:top w:val="none" w:sz="0" w:space="0" w:color="auto"/>
        <w:left w:val="none" w:sz="0" w:space="0" w:color="auto"/>
        <w:bottom w:val="none" w:sz="0" w:space="0" w:color="auto"/>
        <w:right w:val="none" w:sz="0" w:space="0" w:color="auto"/>
      </w:divBdr>
    </w:div>
    <w:div w:id="823157821">
      <w:marLeft w:val="0"/>
      <w:marRight w:val="0"/>
      <w:marTop w:val="0"/>
      <w:marBottom w:val="0"/>
      <w:divBdr>
        <w:top w:val="none" w:sz="0" w:space="0" w:color="auto"/>
        <w:left w:val="none" w:sz="0" w:space="0" w:color="auto"/>
        <w:bottom w:val="none" w:sz="0" w:space="0" w:color="auto"/>
        <w:right w:val="none" w:sz="0" w:space="0" w:color="auto"/>
      </w:divBdr>
    </w:div>
    <w:div w:id="823935908">
      <w:marLeft w:val="0"/>
      <w:marRight w:val="0"/>
      <w:marTop w:val="0"/>
      <w:marBottom w:val="0"/>
      <w:divBdr>
        <w:top w:val="none" w:sz="0" w:space="0" w:color="auto"/>
        <w:left w:val="none" w:sz="0" w:space="0" w:color="auto"/>
        <w:bottom w:val="none" w:sz="0" w:space="0" w:color="auto"/>
        <w:right w:val="none" w:sz="0" w:space="0" w:color="auto"/>
      </w:divBdr>
    </w:div>
    <w:div w:id="824861289">
      <w:marLeft w:val="0"/>
      <w:marRight w:val="0"/>
      <w:marTop w:val="0"/>
      <w:marBottom w:val="0"/>
      <w:divBdr>
        <w:top w:val="none" w:sz="0" w:space="0" w:color="auto"/>
        <w:left w:val="none" w:sz="0" w:space="0" w:color="auto"/>
        <w:bottom w:val="none" w:sz="0" w:space="0" w:color="auto"/>
        <w:right w:val="none" w:sz="0" w:space="0" w:color="auto"/>
      </w:divBdr>
      <w:divsChild>
        <w:div w:id="1447500470">
          <w:marLeft w:val="0"/>
          <w:marRight w:val="0"/>
          <w:marTop w:val="0"/>
          <w:marBottom w:val="0"/>
          <w:divBdr>
            <w:top w:val="none" w:sz="0" w:space="0" w:color="auto"/>
            <w:left w:val="none" w:sz="0" w:space="0" w:color="auto"/>
            <w:bottom w:val="none" w:sz="0" w:space="0" w:color="auto"/>
            <w:right w:val="none" w:sz="0" w:space="0" w:color="auto"/>
          </w:divBdr>
        </w:div>
        <w:div w:id="1099985050">
          <w:marLeft w:val="0"/>
          <w:marRight w:val="0"/>
          <w:marTop w:val="0"/>
          <w:marBottom w:val="0"/>
          <w:divBdr>
            <w:top w:val="none" w:sz="0" w:space="0" w:color="auto"/>
            <w:left w:val="none" w:sz="0" w:space="0" w:color="auto"/>
            <w:bottom w:val="none" w:sz="0" w:space="0" w:color="auto"/>
            <w:right w:val="none" w:sz="0" w:space="0" w:color="auto"/>
          </w:divBdr>
        </w:div>
        <w:div w:id="1702052327">
          <w:marLeft w:val="0"/>
          <w:marRight w:val="0"/>
          <w:marTop w:val="0"/>
          <w:marBottom w:val="0"/>
          <w:divBdr>
            <w:top w:val="none" w:sz="0" w:space="0" w:color="auto"/>
            <w:left w:val="none" w:sz="0" w:space="0" w:color="auto"/>
            <w:bottom w:val="none" w:sz="0" w:space="0" w:color="auto"/>
            <w:right w:val="none" w:sz="0" w:space="0" w:color="auto"/>
          </w:divBdr>
        </w:div>
        <w:div w:id="1140343919">
          <w:marLeft w:val="0"/>
          <w:marRight w:val="0"/>
          <w:marTop w:val="0"/>
          <w:marBottom w:val="0"/>
          <w:divBdr>
            <w:top w:val="none" w:sz="0" w:space="0" w:color="auto"/>
            <w:left w:val="none" w:sz="0" w:space="0" w:color="auto"/>
            <w:bottom w:val="none" w:sz="0" w:space="0" w:color="auto"/>
            <w:right w:val="none" w:sz="0" w:space="0" w:color="auto"/>
          </w:divBdr>
        </w:div>
        <w:div w:id="1780837498">
          <w:marLeft w:val="0"/>
          <w:marRight w:val="0"/>
          <w:marTop w:val="0"/>
          <w:marBottom w:val="0"/>
          <w:divBdr>
            <w:top w:val="none" w:sz="0" w:space="0" w:color="auto"/>
            <w:left w:val="none" w:sz="0" w:space="0" w:color="auto"/>
            <w:bottom w:val="none" w:sz="0" w:space="0" w:color="auto"/>
            <w:right w:val="none" w:sz="0" w:space="0" w:color="auto"/>
          </w:divBdr>
        </w:div>
      </w:divsChild>
    </w:div>
    <w:div w:id="826674044">
      <w:marLeft w:val="0"/>
      <w:marRight w:val="0"/>
      <w:marTop w:val="0"/>
      <w:marBottom w:val="0"/>
      <w:divBdr>
        <w:top w:val="none" w:sz="0" w:space="0" w:color="auto"/>
        <w:left w:val="none" w:sz="0" w:space="0" w:color="auto"/>
        <w:bottom w:val="none" w:sz="0" w:space="0" w:color="auto"/>
        <w:right w:val="none" w:sz="0" w:space="0" w:color="auto"/>
      </w:divBdr>
    </w:div>
    <w:div w:id="826871056">
      <w:marLeft w:val="0"/>
      <w:marRight w:val="0"/>
      <w:marTop w:val="0"/>
      <w:marBottom w:val="0"/>
      <w:divBdr>
        <w:top w:val="none" w:sz="0" w:space="0" w:color="auto"/>
        <w:left w:val="none" w:sz="0" w:space="0" w:color="auto"/>
        <w:bottom w:val="none" w:sz="0" w:space="0" w:color="auto"/>
        <w:right w:val="none" w:sz="0" w:space="0" w:color="auto"/>
      </w:divBdr>
      <w:divsChild>
        <w:div w:id="507208095">
          <w:marLeft w:val="0"/>
          <w:marRight w:val="0"/>
          <w:marTop w:val="0"/>
          <w:marBottom w:val="0"/>
          <w:divBdr>
            <w:top w:val="none" w:sz="0" w:space="0" w:color="auto"/>
            <w:left w:val="none" w:sz="0" w:space="0" w:color="auto"/>
            <w:bottom w:val="none" w:sz="0" w:space="0" w:color="auto"/>
            <w:right w:val="none" w:sz="0" w:space="0" w:color="auto"/>
          </w:divBdr>
        </w:div>
        <w:div w:id="1155758625">
          <w:marLeft w:val="0"/>
          <w:marRight w:val="0"/>
          <w:marTop w:val="0"/>
          <w:marBottom w:val="0"/>
          <w:divBdr>
            <w:top w:val="none" w:sz="0" w:space="0" w:color="auto"/>
            <w:left w:val="none" w:sz="0" w:space="0" w:color="auto"/>
            <w:bottom w:val="none" w:sz="0" w:space="0" w:color="auto"/>
            <w:right w:val="none" w:sz="0" w:space="0" w:color="auto"/>
          </w:divBdr>
        </w:div>
      </w:divsChild>
    </w:div>
    <w:div w:id="832069179">
      <w:marLeft w:val="0"/>
      <w:marRight w:val="0"/>
      <w:marTop w:val="0"/>
      <w:marBottom w:val="0"/>
      <w:divBdr>
        <w:top w:val="none" w:sz="0" w:space="0" w:color="auto"/>
        <w:left w:val="none" w:sz="0" w:space="0" w:color="auto"/>
        <w:bottom w:val="none" w:sz="0" w:space="0" w:color="auto"/>
        <w:right w:val="none" w:sz="0" w:space="0" w:color="auto"/>
      </w:divBdr>
    </w:div>
    <w:div w:id="834498368">
      <w:marLeft w:val="0"/>
      <w:marRight w:val="0"/>
      <w:marTop w:val="0"/>
      <w:marBottom w:val="0"/>
      <w:divBdr>
        <w:top w:val="none" w:sz="0" w:space="0" w:color="auto"/>
        <w:left w:val="none" w:sz="0" w:space="0" w:color="auto"/>
        <w:bottom w:val="none" w:sz="0" w:space="0" w:color="auto"/>
        <w:right w:val="none" w:sz="0" w:space="0" w:color="auto"/>
      </w:divBdr>
    </w:div>
    <w:div w:id="834884003">
      <w:marLeft w:val="0"/>
      <w:marRight w:val="0"/>
      <w:marTop w:val="0"/>
      <w:marBottom w:val="0"/>
      <w:divBdr>
        <w:top w:val="none" w:sz="0" w:space="0" w:color="auto"/>
        <w:left w:val="none" w:sz="0" w:space="0" w:color="auto"/>
        <w:bottom w:val="none" w:sz="0" w:space="0" w:color="auto"/>
        <w:right w:val="none" w:sz="0" w:space="0" w:color="auto"/>
      </w:divBdr>
    </w:div>
    <w:div w:id="834884343">
      <w:marLeft w:val="0"/>
      <w:marRight w:val="0"/>
      <w:marTop w:val="0"/>
      <w:marBottom w:val="0"/>
      <w:divBdr>
        <w:top w:val="none" w:sz="0" w:space="0" w:color="auto"/>
        <w:left w:val="none" w:sz="0" w:space="0" w:color="auto"/>
        <w:bottom w:val="none" w:sz="0" w:space="0" w:color="auto"/>
        <w:right w:val="none" w:sz="0" w:space="0" w:color="auto"/>
      </w:divBdr>
    </w:div>
    <w:div w:id="835344261">
      <w:marLeft w:val="0"/>
      <w:marRight w:val="0"/>
      <w:marTop w:val="0"/>
      <w:marBottom w:val="0"/>
      <w:divBdr>
        <w:top w:val="none" w:sz="0" w:space="0" w:color="auto"/>
        <w:left w:val="none" w:sz="0" w:space="0" w:color="auto"/>
        <w:bottom w:val="none" w:sz="0" w:space="0" w:color="auto"/>
        <w:right w:val="none" w:sz="0" w:space="0" w:color="auto"/>
      </w:divBdr>
    </w:div>
    <w:div w:id="837035360">
      <w:marLeft w:val="0"/>
      <w:marRight w:val="0"/>
      <w:marTop w:val="0"/>
      <w:marBottom w:val="0"/>
      <w:divBdr>
        <w:top w:val="none" w:sz="0" w:space="0" w:color="auto"/>
        <w:left w:val="none" w:sz="0" w:space="0" w:color="auto"/>
        <w:bottom w:val="none" w:sz="0" w:space="0" w:color="auto"/>
        <w:right w:val="none" w:sz="0" w:space="0" w:color="auto"/>
      </w:divBdr>
    </w:div>
    <w:div w:id="837694455">
      <w:marLeft w:val="0"/>
      <w:marRight w:val="0"/>
      <w:marTop w:val="0"/>
      <w:marBottom w:val="0"/>
      <w:divBdr>
        <w:top w:val="none" w:sz="0" w:space="0" w:color="auto"/>
        <w:left w:val="none" w:sz="0" w:space="0" w:color="auto"/>
        <w:bottom w:val="none" w:sz="0" w:space="0" w:color="auto"/>
        <w:right w:val="none" w:sz="0" w:space="0" w:color="auto"/>
      </w:divBdr>
    </w:div>
    <w:div w:id="838353946">
      <w:marLeft w:val="0"/>
      <w:marRight w:val="0"/>
      <w:marTop w:val="0"/>
      <w:marBottom w:val="0"/>
      <w:divBdr>
        <w:top w:val="none" w:sz="0" w:space="0" w:color="auto"/>
        <w:left w:val="none" w:sz="0" w:space="0" w:color="auto"/>
        <w:bottom w:val="none" w:sz="0" w:space="0" w:color="auto"/>
        <w:right w:val="none" w:sz="0" w:space="0" w:color="auto"/>
      </w:divBdr>
    </w:div>
    <w:div w:id="838736374">
      <w:marLeft w:val="0"/>
      <w:marRight w:val="0"/>
      <w:marTop w:val="0"/>
      <w:marBottom w:val="0"/>
      <w:divBdr>
        <w:top w:val="none" w:sz="0" w:space="0" w:color="auto"/>
        <w:left w:val="none" w:sz="0" w:space="0" w:color="auto"/>
        <w:bottom w:val="none" w:sz="0" w:space="0" w:color="auto"/>
        <w:right w:val="none" w:sz="0" w:space="0" w:color="auto"/>
      </w:divBdr>
    </w:div>
    <w:div w:id="839003222">
      <w:marLeft w:val="0"/>
      <w:marRight w:val="0"/>
      <w:marTop w:val="0"/>
      <w:marBottom w:val="0"/>
      <w:divBdr>
        <w:top w:val="none" w:sz="0" w:space="0" w:color="auto"/>
        <w:left w:val="none" w:sz="0" w:space="0" w:color="auto"/>
        <w:bottom w:val="none" w:sz="0" w:space="0" w:color="auto"/>
        <w:right w:val="none" w:sz="0" w:space="0" w:color="auto"/>
      </w:divBdr>
    </w:div>
    <w:div w:id="840853730">
      <w:marLeft w:val="0"/>
      <w:marRight w:val="0"/>
      <w:marTop w:val="0"/>
      <w:marBottom w:val="0"/>
      <w:divBdr>
        <w:top w:val="none" w:sz="0" w:space="0" w:color="auto"/>
        <w:left w:val="none" w:sz="0" w:space="0" w:color="auto"/>
        <w:bottom w:val="none" w:sz="0" w:space="0" w:color="auto"/>
        <w:right w:val="none" w:sz="0" w:space="0" w:color="auto"/>
      </w:divBdr>
    </w:div>
    <w:div w:id="841973736">
      <w:marLeft w:val="0"/>
      <w:marRight w:val="0"/>
      <w:marTop w:val="0"/>
      <w:marBottom w:val="0"/>
      <w:divBdr>
        <w:top w:val="none" w:sz="0" w:space="0" w:color="auto"/>
        <w:left w:val="none" w:sz="0" w:space="0" w:color="auto"/>
        <w:bottom w:val="none" w:sz="0" w:space="0" w:color="auto"/>
        <w:right w:val="none" w:sz="0" w:space="0" w:color="auto"/>
      </w:divBdr>
    </w:div>
    <w:div w:id="843978762">
      <w:marLeft w:val="0"/>
      <w:marRight w:val="0"/>
      <w:marTop w:val="0"/>
      <w:marBottom w:val="0"/>
      <w:divBdr>
        <w:top w:val="none" w:sz="0" w:space="0" w:color="auto"/>
        <w:left w:val="none" w:sz="0" w:space="0" w:color="auto"/>
        <w:bottom w:val="none" w:sz="0" w:space="0" w:color="auto"/>
        <w:right w:val="none" w:sz="0" w:space="0" w:color="auto"/>
      </w:divBdr>
    </w:div>
    <w:div w:id="853300591">
      <w:marLeft w:val="0"/>
      <w:marRight w:val="0"/>
      <w:marTop w:val="0"/>
      <w:marBottom w:val="0"/>
      <w:divBdr>
        <w:top w:val="none" w:sz="0" w:space="0" w:color="auto"/>
        <w:left w:val="none" w:sz="0" w:space="0" w:color="auto"/>
        <w:bottom w:val="none" w:sz="0" w:space="0" w:color="auto"/>
        <w:right w:val="none" w:sz="0" w:space="0" w:color="auto"/>
      </w:divBdr>
      <w:divsChild>
        <w:div w:id="1993637635">
          <w:marLeft w:val="0"/>
          <w:marRight w:val="0"/>
          <w:marTop w:val="0"/>
          <w:marBottom w:val="0"/>
          <w:divBdr>
            <w:top w:val="none" w:sz="0" w:space="0" w:color="auto"/>
            <w:left w:val="none" w:sz="0" w:space="0" w:color="auto"/>
            <w:bottom w:val="none" w:sz="0" w:space="0" w:color="auto"/>
            <w:right w:val="none" w:sz="0" w:space="0" w:color="auto"/>
          </w:divBdr>
        </w:div>
      </w:divsChild>
    </w:div>
    <w:div w:id="854611869">
      <w:marLeft w:val="0"/>
      <w:marRight w:val="0"/>
      <w:marTop w:val="0"/>
      <w:marBottom w:val="0"/>
      <w:divBdr>
        <w:top w:val="none" w:sz="0" w:space="0" w:color="auto"/>
        <w:left w:val="none" w:sz="0" w:space="0" w:color="auto"/>
        <w:bottom w:val="none" w:sz="0" w:space="0" w:color="auto"/>
        <w:right w:val="none" w:sz="0" w:space="0" w:color="auto"/>
      </w:divBdr>
    </w:div>
    <w:div w:id="855576061">
      <w:marLeft w:val="0"/>
      <w:marRight w:val="0"/>
      <w:marTop w:val="0"/>
      <w:marBottom w:val="0"/>
      <w:divBdr>
        <w:top w:val="none" w:sz="0" w:space="0" w:color="auto"/>
        <w:left w:val="none" w:sz="0" w:space="0" w:color="auto"/>
        <w:bottom w:val="none" w:sz="0" w:space="0" w:color="auto"/>
        <w:right w:val="none" w:sz="0" w:space="0" w:color="auto"/>
      </w:divBdr>
    </w:div>
    <w:div w:id="856773689">
      <w:marLeft w:val="0"/>
      <w:marRight w:val="0"/>
      <w:marTop w:val="0"/>
      <w:marBottom w:val="0"/>
      <w:divBdr>
        <w:top w:val="none" w:sz="0" w:space="0" w:color="auto"/>
        <w:left w:val="none" w:sz="0" w:space="0" w:color="auto"/>
        <w:bottom w:val="none" w:sz="0" w:space="0" w:color="auto"/>
        <w:right w:val="none" w:sz="0" w:space="0" w:color="auto"/>
      </w:divBdr>
    </w:div>
    <w:div w:id="859707860">
      <w:marLeft w:val="0"/>
      <w:marRight w:val="0"/>
      <w:marTop w:val="0"/>
      <w:marBottom w:val="0"/>
      <w:divBdr>
        <w:top w:val="none" w:sz="0" w:space="0" w:color="auto"/>
        <w:left w:val="none" w:sz="0" w:space="0" w:color="auto"/>
        <w:bottom w:val="none" w:sz="0" w:space="0" w:color="auto"/>
        <w:right w:val="none" w:sz="0" w:space="0" w:color="auto"/>
      </w:divBdr>
    </w:div>
    <w:div w:id="863517624">
      <w:marLeft w:val="0"/>
      <w:marRight w:val="0"/>
      <w:marTop w:val="0"/>
      <w:marBottom w:val="0"/>
      <w:divBdr>
        <w:top w:val="none" w:sz="0" w:space="0" w:color="auto"/>
        <w:left w:val="none" w:sz="0" w:space="0" w:color="auto"/>
        <w:bottom w:val="none" w:sz="0" w:space="0" w:color="auto"/>
        <w:right w:val="none" w:sz="0" w:space="0" w:color="auto"/>
      </w:divBdr>
    </w:div>
    <w:div w:id="863592006">
      <w:marLeft w:val="0"/>
      <w:marRight w:val="0"/>
      <w:marTop w:val="0"/>
      <w:marBottom w:val="0"/>
      <w:divBdr>
        <w:top w:val="none" w:sz="0" w:space="0" w:color="auto"/>
        <w:left w:val="none" w:sz="0" w:space="0" w:color="auto"/>
        <w:bottom w:val="none" w:sz="0" w:space="0" w:color="auto"/>
        <w:right w:val="none" w:sz="0" w:space="0" w:color="auto"/>
      </w:divBdr>
    </w:div>
    <w:div w:id="864177072">
      <w:marLeft w:val="0"/>
      <w:marRight w:val="0"/>
      <w:marTop w:val="0"/>
      <w:marBottom w:val="0"/>
      <w:divBdr>
        <w:top w:val="none" w:sz="0" w:space="0" w:color="auto"/>
        <w:left w:val="none" w:sz="0" w:space="0" w:color="auto"/>
        <w:bottom w:val="none" w:sz="0" w:space="0" w:color="auto"/>
        <w:right w:val="none" w:sz="0" w:space="0" w:color="auto"/>
      </w:divBdr>
    </w:div>
    <w:div w:id="866218085">
      <w:marLeft w:val="0"/>
      <w:marRight w:val="0"/>
      <w:marTop w:val="0"/>
      <w:marBottom w:val="0"/>
      <w:divBdr>
        <w:top w:val="none" w:sz="0" w:space="0" w:color="auto"/>
        <w:left w:val="none" w:sz="0" w:space="0" w:color="auto"/>
        <w:bottom w:val="none" w:sz="0" w:space="0" w:color="auto"/>
        <w:right w:val="none" w:sz="0" w:space="0" w:color="auto"/>
      </w:divBdr>
    </w:div>
    <w:div w:id="867065425">
      <w:marLeft w:val="0"/>
      <w:marRight w:val="0"/>
      <w:marTop w:val="0"/>
      <w:marBottom w:val="0"/>
      <w:divBdr>
        <w:top w:val="none" w:sz="0" w:space="0" w:color="auto"/>
        <w:left w:val="none" w:sz="0" w:space="0" w:color="auto"/>
        <w:bottom w:val="none" w:sz="0" w:space="0" w:color="auto"/>
        <w:right w:val="none" w:sz="0" w:space="0" w:color="auto"/>
      </w:divBdr>
      <w:divsChild>
        <w:div w:id="432820017">
          <w:marLeft w:val="0"/>
          <w:marRight w:val="0"/>
          <w:marTop w:val="0"/>
          <w:marBottom w:val="0"/>
          <w:divBdr>
            <w:top w:val="none" w:sz="0" w:space="0" w:color="auto"/>
            <w:left w:val="none" w:sz="0" w:space="0" w:color="auto"/>
            <w:bottom w:val="none" w:sz="0" w:space="0" w:color="auto"/>
            <w:right w:val="none" w:sz="0" w:space="0" w:color="auto"/>
          </w:divBdr>
        </w:div>
      </w:divsChild>
    </w:div>
    <w:div w:id="867717689">
      <w:marLeft w:val="0"/>
      <w:marRight w:val="0"/>
      <w:marTop w:val="0"/>
      <w:marBottom w:val="0"/>
      <w:divBdr>
        <w:top w:val="none" w:sz="0" w:space="0" w:color="auto"/>
        <w:left w:val="none" w:sz="0" w:space="0" w:color="auto"/>
        <w:bottom w:val="none" w:sz="0" w:space="0" w:color="auto"/>
        <w:right w:val="none" w:sz="0" w:space="0" w:color="auto"/>
      </w:divBdr>
    </w:div>
    <w:div w:id="868907240">
      <w:marLeft w:val="0"/>
      <w:marRight w:val="0"/>
      <w:marTop w:val="0"/>
      <w:marBottom w:val="0"/>
      <w:divBdr>
        <w:top w:val="none" w:sz="0" w:space="0" w:color="auto"/>
        <w:left w:val="none" w:sz="0" w:space="0" w:color="auto"/>
        <w:bottom w:val="none" w:sz="0" w:space="0" w:color="auto"/>
        <w:right w:val="none" w:sz="0" w:space="0" w:color="auto"/>
      </w:divBdr>
    </w:div>
    <w:div w:id="870537993">
      <w:marLeft w:val="0"/>
      <w:marRight w:val="0"/>
      <w:marTop w:val="0"/>
      <w:marBottom w:val="0"/>
      <w:divBdr>
        <w:top w:val="none" w:sz="0" w:space="0" w:color="auto"/>
        <w:left w:val="none" w:sz="0" w:space="0" w:color="auto"/>
        <w:bottom w:val="none" w:sz="0" w:space="0" w:color="auto"/>
        <w:right w:val="none" w:sz="0" w:space="0" w:color="auto"/>
      </w:divBdr>
    </w:div>
    <w:div w:id="877621357">
      <w:marLeft w:val="0"/>
      <w:marRight w:val="0"/>
      <w:marTop w:val="0"/>
      <w:marBottom w:val="0"/>
      <w:divBdr>
        <w:top w:val="none" w:sz="0" w:space="0" w:color="auto"/>
        <w:left w:val="none" w:sz="0" w:space="0" w:color="auto"/>
        <w:bottom w:val="none" w:sz="0" w:space="0" w:color="auto"/>
        <w:right w:val="none" w:sz="0" w:space="0" w:color="auto"/>
      </w:divBdr>
    </w:div>
    <w:div w:id="877863433">
      <w:marLeft w:val="0"/>
      <w:marRight w:val="0"/>
      <w:marTop w:val="0"/>
      <w:marBottom w:val="0"/>
      <w:divBdr>
        <w:top w:val="none" w:sz="0" w:space="0" w:color="auto"/>
        <w:left w:val="none" w:sz="0" w:space="0" w:color="auto"/>
        <w:bottom w:val="none" w:sz="0" w:space="0" w:color="auto"/>
        <w:right w:val="none" w:sz="0" w:space="0" w:color="auto"/>
      </w:divBdr>
    </w:div>
    <w:div w:id="878786920">
      <w:marLeft w:val="0"/>
      <w:marRight w:val="0"/>
      <w:marTop w:val="0"/>
      <w:marBottom w:val="0"/>
      <w:divBdr>
        <w:top w:val="none" w:sz="0" w:space="0" w:color="auto"/>
        <w:left w:val="none" w:sz="0" w:space="0" w:color="auto"/>
        <w:bottom w:val="none" w:sz="0" w:space="0" w:color="auto"/>
        <w:right w:val="none" w:sz="0" w:space="0" w:color="auto"/>
      </w:divBdr>
    </w:div>
    <w:div w:id="881600080">
      <w:marLeft w:val="0"/>
      <w:marRight w:val="0"/>
      <w:marTop w:val="0"/>
      <w:marBottom w:val="0"/>
      <w:divBdr>
        <w:top w:val="none" w:sz="0" w:space="0" w:color="auto"/>
        <w:left w:val="none" w:sz="0" w:space="0" w:color="auto"/>
        <w:bottom w:val="none" w:sz="0" w:space="0" w:color="auto"/>
        <w:right w:val="none" w:sz="0" w:space="0" w:color="auto"/>
      </w:divBdr>
    </w:div>
    <w:div w:id="882250859">
      <w:marLeft w:val="0"/>
      <w:marRight w:val="0"/>
      <w:marTop w:val="0"/>
      <w:marBottom w:val="0"/>
      <w:divBdr>
        <w:top w:val="none" w:sz="0" w:space="0" w:color="auto"/>
        <w:left w:val="none" w:sz="0" w:space="0" w:color="auto"/>
        <w:bottom w:val="none" w:sz="0" w:space="0" w:color="auto"/>
        <w:right w:val="none" w:sz="0" w:space="0" w:color="auto"/>
      </w:divBdr>
    </w:div>
    <w:div w:id="883057141">
      <w:marLeft w:val="0"/>
      <w:marRight w:val="0"/>
      <w:marTop w:val="0"/>
      <w:marBottom w:val="0"/>
      <w:divBdr>
        <w:top w:val="none" w:sz="0" w:space="0" w:color="auto"/>
        <w:left w:val="none" w:sz="0" w:space="0" w:color="auto"/>
        <w:bottom w:val="none" w:sz="0" w:space="0" w:color="auto"/>
        <w:right w:val="none" w:sz="0" w:space="0" w:color="auto"/>
      </w:divBdr>
    </w:div>
    <w:div w:id="883062639">
      <w:marLeft w:val="0"/>
      <w:marRight w:val="0"/>
      <w:marTop w:val="0"/>
      <w:marBottom w:val="0"/>
      <w:divBdr>
        <w:top w:val="none" w:sz="0" w:space="0" w:color="auto"/>
        <w:left w:val="none" w:sz="0" w:space="0" w:color="auto"/>
        <w:bottom w:val="none" w:sz="0" w:space="0" w:color="auto"/>
        <w:right w:val="none" w:sz="0" w:space="0" w:color="auto"/>
      </w:divBdr>
      <w:divsChild>
        <w:div w:id="540898222">
          <w:marLeft w:val="0"/>
          <w:marRight w:val="0"/>
          <w:marTop w:val="0"/>
          <w:marBottom w:val="0"/>
          <w:divBdr>
            <w:top w:val="none" w:sz="0" w:space="0" w:color="auto"/>
            <w:left w:val="none" w:sz="0" w:space="0" w:color="auto"/>
            <w:bottom w:val="none" w:sz="0" w:space="0" w:color="auto"/>
            <w:right w:val="none" w:sz="0" w:space="0" w:color="auto"/>
          </w:divBdr>
        </w:div>
      </w:divsChild>
    </w:div>
    <w:div w:id="883638685">
      <w:marLeft w:val="0"/>
      <w:marRight w:val="0"/>
      <w:marTop w:val="0"/>
      <w:marBottom w:val="0"/>
      <w:divBdr>
        <w:top w:val="none" w:sz="0" w:space="0" w:color="auto"/>
        <w:left w:val="none" w:sz="0" w:space="0" w:color="auto"/>
        <w:bottom w:val="none" w:sz="0" w:space="0" w:color="auto"/>
        <w:right w:val="none" w:sz="0" w:space="0" w:color="auto"/>
      </w:divBdr>
    </w:div>
    <w:div w:id="890265974">
      <w:marLeft w:val="0"/>
      <w:marRight w:val="0"/>
      <w:marTop w:val="0"/>
      <w:marBottom w:val="0"/>
      <w:divBdr>
        <w:top w:val="none" w:sz="0" w:space="0" w:color="auto"/>
        <w:left w:val="none" w:sz="0" w:space="0" w:color="auto"/>
        <w:bottom w:val="none" w:sz="0" w:space="0" w:color="auto"/>
        <w:right w:val="none" w:sz="0" w:space="0" w:color="auto"/>
      </w:divBdr>
    </w:div>
    <w:div w:id="890578256">
      <w:marLeft w:val="0"/>
      <w:marRight w:val="0"/>
      <w:marTop w:val="0"/>
      <w:marBottom w:val="0"/>
      <w:divBdr>
        <w:top w:val="none" w:sz="0" w:space="0" w:color="auto"/>
        <w:left w:val="none" w:sz="0" w:space="0" w:color="auto"/>
        <w:bottom w:val="none" w:sz="0" w:space="0" w:color="auto"/>
        <w:right w:val="none" w:sz="0" w:space="0" w:color="auto"/>
      </w:divBdr>
    </w:div>
    <w:div w:id="892038376">
      <w:marLeft w:val="0"/>
      <w:marRight w:val="0"/>
      <w:marTop w:val="0"/>
      <w:marBottom w:val="0"/>
      <w:divBdr>
        <w:top w:val="none" w:sz="0" w:space="0" w:color="auto"/>
        <w:left w:val="none" w:sz="0" w:space="0" w:color="auto"/>
        <w:bottom w:val="none" w:sz="0" w:space="0" w:color="auto"/>
        <w:right w:val="none" w:sz="0" w:space="0" w:color="auto"/>
      </w:divBdr>
    </w:div>
    <w:div w:id="892078798">
      <w:marLeft w:val="0"/>
      <w:marRight w:val="0"/>
      <w:marTop w:val="0"/>
      <w:marBottom w:val="0"/>
      <w:divBdr>
        <w:top w:val="none" w:sz="0" w:space="0" w:color="auto"/>
        <w:left w:val="none" w:sz="0" w:space="0" w:color="auto"/>
        <w:bottom w:val="none" w:sz="0" w:space="0" w:color="auto"/>
        <w:right w:val="none" w:sz="0" w:space="0" w:color="auto"/>
      </w:divBdr>
    </w:div>
    <w:div w:id="892546612">
      <w:marLeft w:val="0"/>
      <w:marRight w:val="0"/>
      <w:marTop w:val="0"/>
      <w:marBottom w:val="0"/>
      <w:divBdr>
        <w:top w:val="none" w:sz="0" w:space="0" w:color="auto"/>
        <w:left w:val="none" w:sz="0" w:space="0" w:color="auto"/>
        <w:bottom w:val="none" w:sz="0" w:space="0" w:color="auto"/>
        <w:right w:val="none" w:sz="0" w:space="0" w:color="auto"/>
      </w:divBdr>
    </w:div>
    <w:div w:id="894588014">
      <w:marLeft w:val="0"/>
      <w:marRight w:val="0"/>
      <w:marTop w:val="0"/>
      <w:marBottom w:val="0"/>
      <w:divBdr>
        <w:top w:val="none" w:sz="0" w:space="0" w:color="auto"/>
        <w:left w:val="none" w:sz="0" w:space="0" w:color="auto"/>
        <w:bottom w:val="none" w:sz="0" w:space="0" w:color="auto"/>
        <w:right w:val="none" w:sz="0" w:space="0" w:color="auto"/>
      </w:divBdr>
    </w:div>
    <w:div w:id="900097422">
      <w:marLeft w:val="0"/>
      <w:marRight w:val="0"/>
      <w:marTop w:val="0"/>
      <w:marBottom w:val="0"/>
      <w:divBdr>
        <w:top w:val="none" w:sz="0" w:space="0" w:color="auto"/>
        <w:left w:val="none" w:sz="0" w:space="0" w:color="auto"/>
        <w:bottom w:val="none" w:sz="0" w:space="0" w:color="auto"/>
        <w:right w:val="none" w:sz="0" w:space="0" w:color="auto"/>
      </w:divBdr>
    </w:div>
    <w:div w:id="904145039">
      <w:marLeft w:val="0"/>
      <w:marRight w:val="0"/>
      <w:marTop w:val="0"/>
      <w:marBottom w:val="0"/>
      <w:divBdr>
        <w:top w:val="none" w:sz="0" w:space="0" w:color="auto"/>
        <w:left w:val="none" w:sz="0" w:space="0" w:color="auto"/>
        <w:bottom w:val="none" w:sz="0" w:space="0" w:color="auto"/>
        <w:right w:val="none" w:sz="0" w:space="0" w:color="auto"/>
      </w:divBdr>
    </w:div>
    <w:div w:id="904485580">
      <w:marLeft w:val="0"/>
      <w:marRight w:val="0"/>
      <w:marTop w:val="0"/>
      <w:marBottom w:val="0"/>
      <w:divBdr>
        <w:top w:val="none" w:sz="0" w:space="0" w:color="auto"/>
        <w:left w:val="none" w:sz="0" w:space="0" w:color="auto"/>
        <w:bottom w:val="none" w:sz="0" w:space="0" w:color="auto"/>
        <w:right w:val="none" w:sz="0" w:space="0" w:color="auto"/>
      </w:divBdr>
    </w:div>
    <w:div w:id="904948908">
      <w:marLeft w:val="0"/>
      <w:marRight w:val="0"/>
      <w:marTop w:val="0"/>
      <w:marBottom w:val="0"/>
      <w:divBdr>
        <w:top w:val="none" w:sz="0" w:space="0" w:color="auto"/>
        <w:left w:val="none" w:sz="0" w:space="0" w:color="auto"/>
        <w:bottom w:val="none" w:sz="0" w:space="0" w:color="auto"/>
        <w:right w:val="none" w:sz="0" w:space="0" w:color="auto"/>
      </w:divBdr>
    </w:div>
    <w:div w:id="905601972">
      <w:marLeft w:val="0"/>
      <w:marRight w:val="0"/>
      <w:marTop w:val="0"/>
      <w:marBottom w:val="0"/>
      <w:divBdr>
        <w:top w:val="none" w:sz="0" w:space="0" w:color="auto"/>
        <w:left w:val="none" w:sz="0" w:space="0" w:color="auto"/>
        <w:bottom w:val="none" w:sz="0" w:space="0" w:color="auto"/>
        <w:right w:val="none" w:sz="0" w:space="0" w:color="auto"/>
      </w:divBdr>
    </w:div>
    <w:div w:id="905919459">
      <w:marLeft w:val="0"/>
      <w:marRight w:val="0"/>
      <w:marTop w:val="0"/>
      <w:marBottom w:val="0"/>
      <w:divBdr>
        <w:top w:val="none" w:sz="0" w:space="0" w:color="auto"/>
        <w:left w:val="none" w:sz="0" w:space="0" w:color="auto"/>
        <w:bottom w:val="none" w:sz="0" w:space="0" w:color="auto"/>
        <w:right w:val="none" w:sz="0" w:space="0" w:color="auto"/>
      </w:divBdr>
    </w:div>
    <w:div w:id="909773820">
      <w:marLeft w:val="0"/>
      <w:marRight w:val="0"/>
      <w:marTop w:val="0"/>
      <w:marBottom w:val="0"/>
      <w:divBdr>
        <w:top w:val="none" w:sz="0" w:space="0" w:color="auto"/>
        <w:left w:val="none" w:sz="0" w:space="0" w:color="auto"/>
        <w:bottom w:val="none" w:sz="0" w:space="0" w:color="auto"/>
        <w:right w:val="none" w:sz="0" w:space="0" w:color="auto"/>
      </w:divBdr>
    </w:div>
    <w:div w:id="913201109">
      <w:marLeft w:val="0"/>
      <w:marRight w:val="0"/>
      <w:marTop w:val="0"/>
      <w:marBottom w:val="0"/>
      <w:divBdr>
        <w:top w:val="none" w:sz="0" w:space="0" w:color="auto"/>
        <w:left w:val="none" w:sz="0" w:space="0" w:color="auto"/>
        <w:bottom w:val="none" w:sz="0" w:space="0" w:color="auto"/>
        <w:right w:val="none" w:sz="0" w:space="0" w:color="auto"/>
      </w:divBdr>
      <w:divsChild>
        <w:div w:id="505633256">
          <w:marLeft w:val="0"/>
          <w:marRight w:val="0"/>
          <w:marTop w:val="0"/>
          <w:marBottom w:val="0"/>
          <w:divBdr>
            <w:top w:val="none" w:sz="0" w:space="0" w:color="auto"/>
            <w:left w:val="none" w:sz="0" w:space="0" w:color="auto"/>
            <w:bottom w:val="none" w:sz="0" w:space="0" w:color="auto"/>
            <w:right w:val="none" w:sz="0" w:space="0" w:color="auto"/>
          </w:divBdr>
        </w:div>
      </w:divsChild>
    </w:div>
    <w:div w:id="913389782">
      <w:marLeft w:val="0"/>
      <w:marRight w:val="0"/>
      <w:marTop w:val="0"/>
      <w:marBottom w:val="0"/>
      <w:divBdr>
        <w:top w:val="none" w:sz="0" w:space="0" w:color="auto"/>
        <w:left w:val="none" w:sz="0" w:space="0" w:color="auto"/>
        <w:bottom w:val="none" w:sz="0" w:space="0" w:color="auto"/>
        <w:right w:val="none" w:sz="0" w:space="0" w:color="auto"/>
      </w:divBdr>
    </w:div>
    <w:div w:id="915475480">
      <w:marLeft w:val="0"/>
      <w:marRight w:val="0"/>
      <w:marTop w:val="0"/>
      <w:marBottom w:val="0"/>
      <w:divBdr>
        <w:top w:val="none" w:sz="0" w:space="0" w:color="auto"/>
        <w:left w:val="none" w:sz="0" w:space="0" w:color="auto"/>
        <w:bottom w:val="none" w:sz="0" w:space="0" w:color="auto"/>
        <w:right w:val="none" w:sz="0" w:space="0" w:color="auto"/>
      </w:divBdr>
    </w:div>
    <w:div w:id="915481670">
      <w:marLeft w:val="0"/>
      <w:marRight w:val="0"/>
      <w:marTop w:val="0"/>
      <w:marBottom w:val="0"/>
      <w:divBdr>
        <w:top w:val="none" w:sz="0" w:space="0" w:color="auto"/>
        <w:left w:val="none" w:sz="0" w:space="0" w:color="auto"/>
        <w:bottom w:val="none" w:sz="0" w:space="0" w:color="auto"/>
        <w:right w:val="none" w:sz="0" w:space="0" w:color="auto"/>
      </w:divBdr>
    </w:div>
    <w:div w:id="915940681">
      <w:marLeft w:val="0"/>
      <w:marRight w:val="0"/>
      <w:marTop w:val="0"/>
      <w:marBottom w:val="0"/>
      <w:divBdr>
        <w:top w:val="none" w:sz="0" w:space="0" w:color="auto"/>
        <w:left w:val="none" w:sz="0" w:space="0" w:color="auto"/>
        <w:bottom w:val="none" w:sz="0" w:space="0" w:color="auto"/>
        <w:right w:val="none" w:sz="0" w:space="0" w:color="auto"/>
      </w:divBdr>
    </w:div>
    <w:div w:id="916667877">
      <w:marLeft w:val="0"/>
      <w:marRight w:val="0"/>
      <w:marTop w:val="0"/>
      <w:marBottom w:val="0"/>
      <w:divBdr>
        <w:top w:val="none" w:sz="0" w:space="0" w:color="auto"/>
        <w:left w:val="none" w:sz="0" w:space="0" w:color="auto"/>
        <w:bottom w:val="none" w:sz="0" w:space="0" w:color="auto"/>
        <w:right w:val="none" w:sz="0" w:space="0" w:color="auto"/>
      </w:divBdr>
    </w:div>
    <w:div w:id="917590989">
      <w:marLeft w:val="0"/>
      <w:marRight w:val="0"/>
      <w:marTop w:val="0"/>
      <w:marBottom w:val="0"/>
      <w:divBdr>
        <w:top w:val="none" w:sz="0" w:space="0" w:color="auto"/>
        <w:left w:val="none" w:sz="0" w:space="0" w:color="auto"/>
        <w:bottom w:val="none" w:sz="0" w:space="0" w:color="auto"/>
        <w:right w:val="none" w:sz="0" w:space="0" w:color="auto"/>
      </w:divBdr>
    </w:div>
    <w:div w:id="918444542">
      <w:marLeft w:val="0"/>
      <w:marRight w:val="0"/>
      <w:marTop w:val="0"/>
      <w:marBottom w:val="0"/>
      <w:divBdr>
        <w:top w:val="none" w:sz="0" w:space="0" w:color="auto"/>
        <w:left w:val="none" w:sz="0" w:space="0" w:color="auto"/>
        <w:bottom w:val="none" w:sz="0" w:space="0" w:color="auto"/>
        <w:right w:val="none" w:sz="0" w:space="0" w:color="auto"/>
      </w:divBdr>
    </w:div>
    <w:div w:id="918711902">
      <w:marLeft w:val="0"/>
      <w:marRight w:val="0"/>
      <w:marTop w:val="0"/>
      <w:marBottom w:val="0"/>
      <w:divBdr>
        <w:top w:val="none" w:sz="0" w:space="0" w:color="auto"/>
        <w:left w:val="none" w:sz="0" w:space="0" w:color="auto"/>
        <w:bottom w:val="none" w:sz="0" w:space="0" w:color="auto"/>
        <w:right w:val="none" w:sz="0" w:space="0" w:color="auto"/>
      </w:divBdr>
    </w:div>
    <w:div w:id="919094924">
      <w:marLeft w:val="0"/>
      <w:marRight w:val="0"/>
      <w:marTop w:val="0"/>
      <w:marBottom w:val="0"/>
      <w:divBdr>
        <w:top w:val="none" w:sz="0" w:space="0" w:color="auto"/>
        <w:left w:val="none" w:sz="0" w:space="0" w:color="auto"/>
        <w:bottom w:val="none" w:sz="0" w:space="0" w:color="auto"/>
        <w:right w:val="none" w:sz="0" w:space="0" w:color="auto"/>
      </w:divBdr>
    </w:div>
    <w:div w:id="919951263">
      <w:marLeft w:val="0"/>
      <w:marRight w:val="0"/>
      <w:marTop w:val="0"/>
      <w:marBottom w:val="0"/>
      <w:divBdr>
        <w:top w:val="none" w:sz="0" w:space="0" w:color="auto"/>
        <w:left w:val="none" w:sz="0" w:space="0" w:color="auto"/>
        <w:bottom w:val="none" w:sz="0" w:space="0" w:color="auto"/>
        <w:right w:val="none" w:sz="0" w:space="0" w:color="auto"/>
      </w:divBdr>
    </w:div>
    <w:div w:id="920944514">
      <w:marLeft w:val="0"/>
      <w:marRight w:val="0"/>
      <w:marTop w:val="0"/>
      <w:marBottom w:val="0"/>
      <w:divBdr>
        <w:top w:val="none" w:sz="0" w:space="0" w:color="auto"/>
        <w:left w:val="none" w:sz="0" w:space="0" w:color="auto"/>
        <w:bottom w:val="none" w:sz="0" w:space="0" w:color="auto"/>
        <w:right w:val="none" w:sz="0" w:space="0" w:color="auto"/>
      </w:divBdr>
    </w:div>
    <w:div w:id="921448802">
      <w:marLeft w:val="0"/>
      <w:marRight w:val="0"/>
      <w:marTop w:val="0"/>
      <w:marBottom w:val="0"/>
      <w:divBdr>
        <w:top w:val="none" w:sz="0" w:space="0" w:color="auto"/>
        <w:left w:val="none" w:sz="0" w:space="0" w:color="auto"/>
        <w:bottom w:val="none" w:sz="0" w:space="0" w:color="auto"/>
        <w:right w:val="none" w:sz="0" w:space="0" w:color="auto"/>
      </w:divBdr>
    </w:div>
    <w:div w:id="922372019">
      <w:marLeft w:val="0"/>
      <w:marRight w:val="0"/>
      <w:marTop w:val="0"/>
      <w:marBottom w:val="0"/>
      <w:divBdr>
        <w:top w:val="none" w:sz="0" w:space="0" w:color="auto"/>
        <w:left w:val="none" w:sz="0" w:space="0" w:color="auto"/>
        <w:bottom w:val="none" w:sz="0" w:space="0" w:color="auto"/>
        <w:right w:val="none" w:sz="0" w:space="0" w:color="auto"/>
      </w:divBdr>
    </w:div>
    <w:div w:id="923340526">
      <w:marLeft w:val="0"/>
      <w:marRight w:val="0"/>
      <w:marTop w:val="0"/>
      <w:marBottom w:val="0"/>
      <w:divBdr>
        <w:top w:val="none" w:sz="0" w:space="0" w:color="auto"/>
        <w:left w:val="none" w:sz="0" w:space="0" w:color="auto"/>
        <w:bottom w:val="none" w:sz="0" w:space="0" w:color="auto"/>
        <w:right w:val="none" w:sz="0" w:space="0" w:color="auto"/>
      </w:divBdr>
    </w:div>
    <w:div w:id="926883286">
      <w:marLeft w:val="0"/>
      <w:marRight w:val="0"/>
      <w:marTop w:val="0"/>
      <w:marBottom w:val="0"/>
      <w:divBdr>
        <w:top w:val="none" w:sz="0" w:space="0" w:color="auto"/>
        <w:left w:val="none" w:sz="0" w:space="0" w:color="auto"/>
        <w:bottom w:val="none" w:sz="0" w:space="0" w:color="auto"/>
        <w:right w:val="none" w:sz="0" w:space="0" w:color="auto"/>
      </w:divBdr>
    </w:div>
    <w:div w:id="927080655">
      <w:marLeft w:val="0"/>
      <w:marRight w:val="0"/>
      <w:marTop w:val="0"/>
      <w:marBottom w:val="0"/>
      <w:divBdr>
        <w:top w:val="none" w:sz="0" w:space="0" w:color="auto"/>
        <w:left w:val="none" w:sz="0" w:space="0" w:color="auto"/>
        <w:bottom w:val="none" w:sz="0" w:space="0" w:color="auto"/>
        <w:right w:val="none" w:sz="0" w:space="0" w:color="auto"/>
      </w:divBdr>
    </w:div>
    <w:div w:id="929241707">
      <w:marLeft w:val="0"/>
      <w:marRight w:val="0"/>
      <w:marTop w:val="0"/>
      <w:marBottom w:val="0"/>
      <w:divBdr>
        <w:top w:val="none" w:sz="0" w:space="0" w:color="auto"/>
        <w:left w:val="none" w:sz="0" w:space="0" w:color="auto"/>
        <w:bottom w:val="none" w:sz="0" w:space="0" w:color="auto"/>
        <w:right w:val="none" w:sz="0" w:space="0" w:color="auto"/>
      </w:divBdr>
    </w:div>
    <w:div w:id="929655218">
      <w:marLeft w:val="0"/>
      <w:marRight w:val="0"/>
      <w:marTop w:val="0"/>
      <w:marBottom w:val="0"/>
      <w:divBdr>
        <w:top w:val="none" w:sz="0" w:space="0" w:color="auto"/>
        <w:left w:val="none" w:sz="0" w:space="0" w:color="auto"/>
        <w:bottom w:val="none" w:sz="0" w:space="0" w:color="auto"/>
        <w:right w:val="none" w:sz="0" w:space="0" w:color="auto"/>
      </w:divBdr>
    </w:div>
    <w:div w:id="934097322">
      <w:marLeft w:val="0"/>
      <w:marRight w:val="0"/>
      <w:marTop w:val="0"/>
      <w:marBottom w:val="0"/>
      <w:divBdr>
        <w:top w:val="none" w:sz="0" w:space="0" w:color="auto"/>
        <w:left w:val="none" w:sz="0" w:space="0" w:color="auto"/>
        <w:bottom w:val="none" w:sz="0" w:space="0" w:color="auto"/>
        <w:right w:val="none" w:sz="0" w:space="0" w:color="auto"/>
      </w:divBdr>
    </w:div>
    <w:div w:id="938295610">
      <w:marLeft w:val="0"/>
      <w:marRight w:val="0"/>
      <w:marTop w:val="0"/>
      <w:marBottom w:val="0"/>
      <w:divBdr>
        <w:top w:val="none" w:sz="0" w:space="0" w:color="auto"/>
        <w:left w:val="none" w:sz="0" w:space="0" w:color="auto"/>
        <w:bottom w:val="none" w:sz="0" w:space="0" w:color="auto"/>
        <w:right w:val="none" w:sz="0" w:space="0" w:color="auto"/>
      </w:divBdr>
    </w:div>
    <w:div w:id="938873733">
      <w:marLeft w:val="0"/>
      <w:marRight w:val="0"/>
      <w:marTop w:val="0"/>
      <w:marBottom w:val="0"/>
      <w:divBdr>
        <w:top w:val="none" w:sz="0" w:space="0" w:color="auto"/>
        <w:left w:val="none" w:sz="0" w:space="0" w:color="auto"/>
        <w:bottom w:val="none" w:sz="0" w:space="0" w:color="auto"/>
        <w:right w:val="none" w:sz="0" w:space="0" w:color="auto"/>
      </w:divBdr>
    </w:div>
    <w:div w:id="941956359">
      <w:marLeft w:val="0"/>
      <w:marRight w:val="0"/>
      <w:marTop w:val="0"/>
      <w:marBottom w:val="0"/>
      <w:divBdr>
        <w:top w:val="none" w:sz="0" w:space="0" w:color="auto"/>
        <w:left w:val="none" w:sz="0" w:space="0" w:color="auto"/>
        <w:bottom w:val="none" w:sz="0" w:space="0" w:color="auto"/>
        <w:right w:val="none" w:sz="0" w:space="0" w:color="auto"/>
      </w:divBdr>
    </w:div>
    <w:div w:id="944314116">
      <w:marLeft w:val="0"/>
      <w:marRight w:val="0"/>
      <w:marTop w:val="0"/>
      <w:marBottom w:val="0"/>
      <w:divBdr>
        <w:top w:val="none" w:sz="0" w:space="0" w:color="auto"/>
        <w:left w:val="none" w:sz="0" w:space="0" w:color="auto"/>
        <w:bottom w:val="none" w:sz="0" w:space="0" w:color="auto"/>
        <w:right w:val="none" w:sz="0" w:space="0" w:color="auto"/>
      </w:divBdr>
    </w:div>
    <w:div w:id="951865442">
      <w:marLeft w:val="0"/>
      <w:marRight w:val="0"/>
      <w:marTop w:val="40"/>
      <w:marBottom w:val="40"/>
      <w:divBdr>
        <w:top w:val="none" w:sz="0" w:space="0" w:color="auto"/>
        <w:left w:val="none" w:sz="0" w:space="0" w:color="auto"/>
        <w:bottom w:val="none" w:sz="0" w:space="0" w:color="auto"/>
        <w:right w:val="none" w:sz="0" w:space="0" w:color="auto"/>
      </w:divBdr>
    </w:div>
    <w:div w:id="953515382">
      <w:marLeft w:val="0"/>
      <w:marRight w:val="0"/>
      <w:marTop w:val="0"/>
      <w:marBottom w:val="0"/>
      <w:divBdr>
        <w:top w:val="none" w:sz="0" w:space="0" w:color="auto"/>
        <w:left w:val="none" w:sz="0" w:space="0" w:color="auto"/>
        <w:bottom w:val="none" w:sz="0" w:space="0" w:color="auto"/>
        <w:right w:val="none" w:sz="0" w:space="0" w:color="auto"/>
      </w:divBdr>
      <w:divsChild>
        <w:div w:id="2092651767">
          <w:marLeft w:val="0"/>
          <w:marRight w:val="0"/>
          <w:marTop w:val="0"/>
          <w:marBottom w:val="0"/>
          <w:divBdr>
            <w:top w:val="none" w:sz="0" w:space="0" w:color="auto"/>
            <w:left w:val="none" w:sz="0" w:space="0" w:color="auto"/>
            <w:bottom w:val="none" w:sz="0" w:space="0" w:color="auto"/>
            <w:right w:val="none" w:sz="0" w:space="0" w:color="auto"/>
          </w:divBdr>
        </w:div>
      </w:divsChild>
    </w:div>
    <w:div w:id="955596363">
      <w:marLeft w:val="0"/>
      <w:marRight w:val="0"/>
      <w:marTop w:val="0"/>
      <w:marBottom w:val="0"/>
      <w:divBdr>
        <w:top w:val="none" w:sz="0" w:space="0" w:color="auto"/>
        <w:left w:val="none" w:sz="0" w:space="0" w:color="auto"/>
        <w:bottom w:val="none" w:sz="0" w:space="0" w:color="auto"/>
        <w:right w:val="none" w:sz="0" w:space="0" w:color="auto"/>
      </w:divBdr>
    </w:div>
    <w:div w:id="959068485">
      <w:marLeft w:val="0"/>
      <w:marRight w:val="0"/>
      <w:marTop w:val="0"/>
      <w:marBottom w:val="0"/>
      <w:divBdr>
        <w:top w:val="none" w:sz="0" w:space="0" w:color="auto"/>
        <w:left w:val="none" w:sz="0" w:space="0" w:color="auto"/>
        <w:bottom w:val="none" w:sz="0" w:space="0" w:color="auto"/>
        <w:right w:val="none" w:sz="0" w:space="0" w:color="auto"/>
      </w:divBdr>
    </w:div>
    <w:div w:id="959144314">
      <w:marLeft w:val="0"/>
      <w:marRight w:val="0"/>
      <w:marTop w:val="0"/>
      <w:marBottom w:val="0"/>
      <w:divBdr>
        <w:top w:val="none" w:sz="0" w:space="0" w:color="auto"/>
        <w:left w:val="none" w:sz="0" w:space="0" w:color="auto"/>
        <w:bottom w:val="none" w:sz="0" w:space="0" w:color="auto"/>
        <w:right w:val="none" w:sz="0" w:space="0" w:color="auto"/>
      </w:divBdr>
    </w:div>
    <w:div w:id="961109690">
      <w:marLeft w:val="0"/>
      <w:marRight w:val="0"/>
      <w:marTop w:val="0"/>
      <w:marBottom w:val="0"/>
      <w:divBdr>
        <w:top w:val="none" w:sz="0" w:space="0" w:color="auto"/>
        <w:left w:val="none" w:sz="0" w:space="0" w:color="auto"/>
        <w:bottom w:val="none" w:sz="0" w:space="0" w:color="auto"/>
        <w:right w:val="none" w:sz="0" w:space="0" w:color="auto"/>
      </w:divBdr>
    </w:div>
    <w:div w:id="961618769">
      <w:marLeft w:val="0"/>
      <w:marRight w:val="0"/>
      <w:marTop w:val="0"/>
      <w:marBottom w:val="0"/>
      <w:divBdr>
        <w:top w:val="none" w:sz="0" w:space="0" w:color="auto"/>
        <w:left w:val="none" w:sz="0" w:space="0" w:color="auto"/>
        <w:bottom w:val="none" w:sz="0" w:space="0" w:color="auto"/>
        <w:right w:val="none" w:sz="0" w:space="0" w:color="auto"/>
      </w:divBdr>
    </w:div>
    <w:div w:id="965549651">
      <w:marLeft w:val="0"/>
      <w:marRight w:val="0"/>
      <w:marTop w:val="0"/>
      <w:marBottom w:val="0"/>
      <w:divBdr>
        <w:top w:val="none" w:sz="0" w:space="0" w:color="auto"/>
        <w:left w:val="none" w:sz="0" w:space="0" w:color="auto"/>
        <w:bottom w:val="none" w:sz="0" w:space="0" w:color="auto"/>
        <w:right w:val="none" w:sz="0" w:space="0" w:color="auto"/>
      </w:divBdr>
    </w:div>
    <w:div w:id="966425727">
      <w:marLeft w:val="0"/>
      <w:marRight w:val="0"/>
      <w:marTop w:val="0"/>
      <w:marBottom w:val="0"/>
      <w:divBdr>
        <w:top w:val="none" w:sz="0" w:space="0" w:color="auto"/>
        <w:left w:val="none" w:sz="0" w:space="0" w:color="auto"/>
        <w:bottom w:val="none" w:sz="0" w:space="0" w:color="auto"/>
        <w:right w:val="none" w:sz="0" w:space="0" w:color="auto"/>
      </w:divBdr>
    </w:div>
    <w:div w:id="966549030">
      <w:marLeft w:val="0"/>
      <w:marRight w:val="0"/>
      <w:marTop w:val="0"/>
      <w:marBottom w:val="0"/>
      <w:divBdr>
        <w:top w:val="none" w:sz="0" w:space="0" w:color="auto"/>
        <w:left w:val="none" w:sz="0" w:space="0" w:color="auto"/>
        <w:bottom w:val="none" w:sz="0" w:space="0" w:color="auto"/>
        <w:right w:val="none" w:sz="0" w:space="0" w:color="auto"/>
      </w:divBdr>
    </w:div>
    <w:div w:id="969558311">
      <w:marLeft w:val="0"/>
      <w:marRight w:val="0"/>
      <w:marTop w:val="0"/>
      <w:marBottom w:val="0"/>
      <w:divBdr>
        <w:top w:val="none" w:sz="0" w:space="0" w:color="auto"/>
        <w:left w:val="none" w:sz="0" w:space="0" w:color="auto"/>
        <w:bottom w:val="none" w:sz="0" w:space="0" w:color="auto"/>
        <w:right w:val="none" w:sz="0" w:space="0" w:color="auto"/>
      </w:divBdr>
    </w:div>
    <w:div w:id="969674104">
      <w:marLeft w:val="0"/>
      <w:marRight w:val="0"/>
      <w:marTop w:val="0"/>
      <w:marBottom w:val="0"/>
      <w:divBdr>
        <w:top w:val="none" w:sz="0" w:space="0" w:color="auto"/>
        <w:left w:val="none" w:sz="0" w:space="0" w:color="auto"/>
        <w:bottom w:val="none" w:sz="0" w:space="0" w:color="auto"/>
        <w:right w:val="none" w:sz="0" w:space="0" w:color="auto"/>
      </w:divBdr>
    </w:div>
    <w:div w:id="970094994">
      <w:marLeft w:val="0"/>
      <w:marRight w:val="0"/>
      <w:marTop w:val="0"/>
      <w:marBottom w:val="0"/>
      <w:divBdr>
        <w:top w:val="none" w:sz="0" w:space="0" w:color="auto"/>
        <w:left w:val="none" w:sz="0" w:space="0" w:color="auto"/>
        <w:bottom w:val="none" w:sz="0" w:space="0" w:color="auto"/>
        <w:right w:val="none" w:sz="0" w:space="0" w:color="auto"/>
      </w:divBdr>
    </w:div>
    <w:div w:id="973019378">
      <w:marLeft w:val="0"/>
      <w:marRight w:val="0"/>
      <w:marTop w:val="0"/>
      <w:marBottom w:val="0"/>
      <w:divBdr>
        <w:top w:val="none" w:sz="0" w:space="0" w:color="auto"/>
        <w:left w:val="none" w:sz="0" w:space="0" w:color="auto"/>
        <w:bottom w:val="none" w:sz="0" w:space="0" w:color="auto"/>
        <w:right w:val="none" w:sz="0" w:space="0" w:color="auto"/>
      </w:divBdr>
    </w:div>
    <w:div w:id="973753801">
      <w:marLeft w:val="0"/>
      <w:marRight w:val="0"/>
      <w:marTop w:val="0"/>
      <w:marBottom w:val="0"/>
      <w:divBdr>
        <w:top w:val="none" w:sz="0" w:space="0" w:color="auto"/>
        <w:left w:val="none" w:sz="0" w:space="0" w:color="auto"/>
        <w:bottom w:val="none" w:sz="0" w:space="0" w:color="auto"/>
        <w:right w:val="none" w:sz="0" w:space="0" w:color="auto"/>
      </w:divBdr>
    </w:div>
    <w:div w:id="973946035">
      <w:marLeft w:val="0"/>
      <w:marRight w:val="0"/>
      <w:marTop w:val="0"/>
      <w:marBottom w:val="0"/>
      <w:divBdr>
        <w:top w:val="none" w:sz="0" w:space="0" w:color="auto"/>
        <w:left w:val="none" w:sz="0" w:space="0" w:color="auto"/>
        <w:bottom w:val="none" w:sz="0" w:space="0" w:color="auto"/>
        <w:right w:val="none" w:sz="0" w:space="0" w:color="auto"/>
      </w:divBdr>
    </w:div>
    <w:div w:id="975179387">
      <w:marLeft w:val="0"/>
      <w:marRight w:val="0"/>
      <w:marTop w:val="0"/>
      <w:marBottom w:val="0"/>
      <w:divBdr>
        <w:top w:val="none" w:sz="0" w:space="0" w:color="auto"/>
        <w:left w:val="none" w:sz="0" w:space="0" w:color="auto"/>
        <w:bottom w:val="none" w:sz="0" w:space="0" w:color="auto"/>
        <w:right w:val="none" w:sz="0" w:space="0" w:color="auto"/>
      </w:divBdr>
    </w:div>
    <w:div w:id="976179438">
      <w:marLeft w:val="0"/>
      <w:marRight w:val="0"/>
      <w:marTop w:val="0"/>
      <w:marBottom w:val="0"/>
      <w:divBdr>
        <w:top w:val="none" w:sz="0" w:space="0" w:color="auto"/>
        <w:left w:val="none" w:sz="0" w:space="0" w:color="auto"/>
        <w:bottom w:val="none" w:sz="0" w:space="0" w:color="auto"/>
        <w:right w:val="none" w:sz="0" w:space="0" w:color="auto"/>
      </w:divBdr>
    </w:div>
    <w:div w:id="976452543">
      <w:marLeft w:val="0"/>
      <w:marRight w:val="0"/>
      <w:marTop w:val="0"/>
      <w:marBottom w:val="0"/>
      <w:divBdr>
        <w:top w:val="none" w:sz="0" w:space="0" w:color="auto"/>
        <w:left w:val="none" w:sz="0" w:space="0" w:color="auto"/>
        <w:bottom w:val="none" w:sz="0" w:space="0" w:color="auto"/>
        <w:right w:val="none" w:sz="0" w:space="0" w:color="auto"/>
      </w:divBdr>
    </w:div>
    <w:div w:id="979572494">
      <w:marLeft w:val="0"/>
      <w:marRight w:val="0"/>
      <w:marTop w:val="0"/>
      <w:marBottom w:val="0"/>
      <w:divBdr>
        <w:top w:val="none" w:sz="0" w:space="0" w:color="auto"/>
        <w:left w:val="none" w:sz="0" w:space="0" w:color="auto"/>
        <w:bottom w:val="none" w:sz="0" w:space="0" w:color="auto"/>
        <w:right w:val="none" w:sz="0" w:space="0" w:color="auto"/>
      </w:divBdr>
    </w:div>
    <w:div w:id="983125691">
      <w:marLeft w:val="0"/>
      <w:marRight w:val="0"/>
      <w:marTop w:val="0"/>
      <w:marBottom w:val="0"/>
      <w:divBdr>
        <w:top w:val="none" w:sz="0" w:space="0" w:color="auto"/>
        <w:left w:val="none" w:sz="0" w:space="0" w:color="auto"/>
        <w:bottom w:val="none" w:sz="0" w:space="0" w:color="auto"/>
        <w:right w:val="none" w:sz="0" w:space="0" w:color="auto"/>
      </w:divBdr>
    </w:div>
    <w:div w:id="985822680">
      <w:marLeft w:val="0"/>
      <w:marRight w:val="0"/>
      <w:marTop w:val="0"/>
      <w:marBottom w:val="0"/>
      <w:divBdr>
        <w:top w:val="none" w:sz="0" w:space="0" w:color="auto"/>
        <w:left w:val="none" w:sz="0" w:space="0" w:color="auto"/>
        <w:bottom w:val="none" w:sz="0" w:space="0" w:color="auto"/>
        <w:right w:val="none" w:sz="0" w:space="0" w:color="auto"/>
      </w:divBdr>
    </w:div>
    <w:div w:id="988897790">
      <w:marLeft w:val="0"/>
      <w:marRight w:val="0"/>
      <w:marTop w:val="0"/>
      <w:marBottom w:val="0"/>
      <w:divBdr>
        <w:top w:val="none" w:sz="0" w:space="0" w:color="auto"/>
        <w:left w:val="none" w:sz="0" w:space="0" w:color="auto"/>
        <w:bottom w:val="none" w:sz="0" w:space="0" w:color="auto"/>
        <w:right w:val="none" w:sz="0" w:space="0" w:color="auto"/>
      </w:divBdr>
    </w:div>
    <w:div w:id="990519781">
      <w:marLeft w:val="0"/>
      <w:marRight w:val="0"/>
      <w:marTop w:val="0"/>
      <w:marBottom w:val="0"/>
      <w:divBdr>
        <w:top w:val="none" w:sz="0" w:space="0" w:color="auto"/>
        <w:left w:val="none" w:sz="0" w:space="0" w:color="auto"/>
        <w:bottom w:val="none" w:sz="0" w:space="0" w:color="auto"/>
        <w:right w:val="none" w:sz="0" w:space="0" w:color="auto"/>
      </w:divBdr>
      <w:divsChild>
        <w:div w:id="329796895">
          <w:marLeft w:val="0"/>
          <w:marRight w:val="0"/>
          <w:marTop w:val="0"/>
          <w:marBottom w:val="0"/>
          <w:divBdr>
            <w:top w:val="none" w:sz="0" w:space="0" w:color="auto"/>
            <w:left w:val="none" w:sz="0" w:space="0" w:color="auto"/>
            <w:bottom w:val="none" w:sz="0" w:space="0" w:color="auto"/>
            <w:right w:val="none" w:sz="0" w:space="0" w:color="auto"/>
          </w:divBdr>
        </w:div>
      </w:divsChild>
    </w:div>
    <w:div w:id="991373416">
      <w:marLeft w:val="0"/>
      <w:marRight w:val="0"/>
      <w:marTop w:val="0"/>
      <w:marBottom w:val="0"/>
      <w:divBdr>
        <w:top w:val="none" w:sz="0" w:space="0" w:color="auto"/>
        <w:left w:val="none" w:sz="0" w:space="0" w:color="auto"/>
        <w:bottom w:val="none" w:sz="0" w:space="0" w:color="auto"/>
        <w:right w:val="none" w:sz="0" w:space="0" w:color="auto"/>
      </w:divBdr>
    </w:div>
    <w:div w:id="995038097">
      <w:marLeft w:val="0"/>
      <w:marRight w:val="0"/>
      <w:marTop w:val="0"/>
      <w:marBottom w:val="0"/>
      <w:divBdr>
        <w:top w:val="none" w:sz="0" w:space="0" w:color="auto"/>
        <w:left w:val="none" w:sz="0" w:space="0" w:color="auto"/>
        <w:bottom w:val="none" w:sz="0" w:space="0" w:color="auto"/>
        <w:right w:val="none" w:sz="0" w:space="0" w:color="auto"/>
      </w:divBdr>
    </w:div>
    <w:div w:id="995762915">
      <w:marLeft w:val="0"/>
      <w:marRight w:val="0"/>
      <w:marTop w:val="0"/>
      <w:marBottom w:val="0"/>
      <w:divBdr>
        <w:top w:val="none" w:sz="0" w:space="0" w:color="auto"/>
        <w:left w:val="none" w:sz="0" w:space="0" w:color="auto"/>
        <w:bottom w:val="none" w:sz="0" w:space="0" w:color="auto"/>
        <w:right w:val="none" w:sz="0" w:space="0" w:color="auto"/>
      </w:divBdr>
    </w:div>
    <w:div w:id="997880039">
      <w:marLeft w:val="0"/>
      <w:marRight w:val="0"/>
      <w:marTop w:val="0"/>
      <w:marBottom w:val="0"/>
      <w:divBdr>
        <w:top w:val="none" w:sz="0" w:space="0" w:color="auto"/>
        <w:left w:val="none" w:sz="0" w:space="0" w:color="auto"/>
        <w:bottom w:val="none" w:sz="0" w:space="0" w:color="auto"/>
        <w:right w:val="none" w:sz="0" w:space="0" w:color="auto"/>
      </w:divBdr>
    </w:div>
    <w:div w:id="1000086810">
      <w:marLeft w:val="0"/>
      <w:marRight w:val="0"/>
      <w:marTop w:val="0"/>
      <w:marBottom w:val="0"/>
      <w:divBdr>
        <w:top w:val="none" w:sz="0" w:space="0" w:color="auto"/>
        <w:left w:val="none" w:sz="0" w:space="0" w:color="auto"/>
        <w:bottom w:val="none" w:sz="0" w:space="0" w:color="auto"/>
        <w:right w:val="none" w:sz="0" w:space="0" w:color="auto"/>
      </w:divBdr>
    </w:div>
    <w:div w:id="1004748881">
      <w:marLeft w:val="0"/>
      <w:marRight w:val="0"/>
      <w:marTop w:val="0"/>
      <w:marBottom w:val="0"/>
      <w:divBdr>
        <w:top w:val="none" w:sz="0" w:space="0" w:color="auto"/>
        <w:left w:val="none" w:sz="0" w:space="0" w:color="auto"/>
        <w:bottom w:val="none" w:sz="0" w:space="0" w:color="auto"/>
        <w:right w:val="none" w:sz="0" w:space="0" w:color="auto"/>
      </w:divBdr>
    </w:div>
    <w:div w:id="1005790891">
      <w:marLeft w:val="0"/>
      <w:marRight w:val="0"/>
      <w:marTop w:val="0"/>
      <w:marBottom w:val="0"/>
      <w:divBdr>
        <w:top w:val="none" w:sz="0" w:space="0" w:color="auto"/>
        <w:left w:val="none" w:sz="0" w:space="0" w:color="auto"/>
        <w:bottom w:val="none" w:sz="0" w:space="0" w:color="auto"/>
        <w:right w:val="none" w:sz="0" w:space="0" w:color="auto"/>
      </w:divBdr>
    </w:div>
    <w:div w:id="1006251368">
      <w:marLeft w:val="0"/>
      <w:marRight w:val="0"/>
      <w:marTop w:val="0"/>
      <w:marBottom w:val="0"/>
      <w:divBdr>
        <w:top w:val="none" w:sz="0" w:space="0" w:color="auto"/>
        <w:left w:val="none" w:sz="0" w:space="0" w:color="auto"/>
        <w:bottom w:val="none" w:sz="0" w:space="0" w:color="auto"/>
        <w:right w:val="none" w:sz="0" w:space="0" w:color="auto"/>
      </w:divBdr>
    </w:div>
    <w:div w:id="1008631028">
      <w:marLeft w:val="0"/>
      <w:marRight w:val="0"/>
      <w:marTop w:val="0"/>
      <w:marBottom w:val="0"/>
      <w:divBdr>
        <w:top w:val="none" w:sz="0" w:space="0" w:color="auto"/>
        <w:left w:val="none" w:sz="0" w:space="0" w:color="auto"/>
        <w:bottom w:val="none" w:sz="0" w:space="0" w:color="auto"/>
        <w:right w:val="none" w:sz="0" w:space="0" w:color="auto"/>
      </w:divBdr>
    </w:div>
    <w:div w:id="1009017546">
      <w:marLeft w:val="0"/>
      <w:marRight w:val="0"/>
      <w:marTop w:val="0"/>
      <w:marBottom w:val="0"/>
      <w:divBdr>
        <w:top w:val="none" w:sz="0" w:space="0" w:color="auto"/>
        <w:left w:val="none" w:sz="0" w:space="0" w:color="auto"/>
        <w:bottom w:val="none" w:sz="0" w:space="0" w:color="auto"/>
        <w:right w:val="none" w:sz="0" w:space="0" w:color="auto"/>
      </w:divBdr>
    </w:div>
    <w:div w:id="1012027649">
      <w:marLeft w:val="0"/>
      <w:marRight w:val="0"/>
      <w:marTop w:val="0"/>
      <w:marBottom w:val="0"/>
      <w:divBdr>
        <w:top w:val="none" w:sz="0" w:space="0" w:color="auto"/>
        <w:left w:val="none" w:sz="0" w:space="0" w:color="auto"/>
        <w:bottom w:val="none" w:sz="0" w:space="0" w:color="auto"/>
        <w:right w:val="none" w:sz="0" w:space="0" w:color="auto"/>
      </w:divBdr>
    </w:div>
    <w:div w:id="1013606564">
      <w:marLeft w:val="0"/>
      <w:marRight w:val="0"/>
      <w:marTop w:val="0"/>
      <w:marBottom w:val="0"/>
      <w:divBdr>
        <w:top w:val="none" w:sz="0" w:space="0" w:color="auto"/>
        <w:left w:val="none" w:sz="0" w:space="0" w:color="auto"/>
        <w:bottom w:val="none" w:sz="0" w:space="0" w:color="auto"/>
        <w:right w:val="none" w:sz="0" w:space="0" w:color="auto"/>
      </w:divBdr>
    </w:div>
    <w:div w:id="1014529306">
      <w:marLeft w:val="0"/>
      <w:marRight w:val="0"/>
      <w:marTop w:val="0"/>
      <w:marBottom w:val="0"/>
      <w:divBdr>
        <w:top w:val="none" w:sz="0" w:space="0" w:color="auto"/>
        <w:left w:val="none" w:sz="0" w:space="0" w:color="auto"/>
        <w:bottom w:val="none" w:sz="0" w:space="0" w:color="auto"/>
        <w:right w:val="none" w:sz="0" w:space="0" w:color="auto"/>
      </w:divBdr>
      <w:divsChild>
        <w:div w:id="1900939157">
          <w:marLeft w:val="0"/>
          <w:marRight w:val="0"/>
          <w:marTop w:val="0"/>
          <w:marBottom w:val="0"/>
          <w:divBdr>
            <w:top w:val="none" w:sz="0" w:space="0" w:color="auto"/>
            <w:left w:val="none" w:sz="0" w:space="0" w:color="auto"/>
            <w:bottom w:val="none" w:sz="0" w:space="0" w:color="auto"/>
            <w:right w:val="none" w:sz="0" w:space="0" w:color="auto"/>
          </w:divBdr>
        </w:div>
        <w:div w:id="1447385955">
          <w:marLeft w:val="0"/>
          <w:marRight w:val="0"/>
          <w:marTop w:val="0"/>
          <w:marBottom w:val="0"/>
          <w:divBdr>
            <w:top w:val="none" w:sz="0" w:space="0" w:color="auto"/>
            <w:left w:val="none" w:sz="0" w:space="0" w:color="auto"/>
            <w:bottom w:val="none" w:sz="0" w:space="0" w:color="auto"/>
            <w:right w:val="none" w:sz="0" w:space="0" w:color="auto"/>
          </w:divBdr>
        </w:div>
      </w:divsChild>
    </w:div>
    <w:div w:id="1020623345">
      <w:marLeft w:val="0"/>
      <w:marRight w:val="0"/>
      <w:marTop w:val="0"/>
      <w:marBottom w:val="0"/>
      <w:divBdr>
        <w:top w:val="none" w:sz="0" w:space="0" w:color="auto"/>
        <w:left w:val="none" w:sz="0" w:space="0" w:color="auto"/>
        <w:bottom w:val="none" w:sz="0" w:space="0" w:color="auto"/>
        <w:right w:val="none" w:sz="0" w:space="0" w:color="auto"/>
      </w:divBdr>
    </w:div>
    <w:div w:id="1023168561">
      <w:marLeft w:val="0"/>
      <w:marRight w:val="0"/>
      <w:marTop w:val="0"/>
      <w:marBottom w:val="0"/>
      <w:divBdr>
        <w:top w:val="none" w:sz="0" w:space="0" w:color="auto"/>
        <w:left w:val="none" w:sz="0" w:space="0" w:color="auto"/>
        <w:bottom w:val="none" w:sz="0" w:space="0" w:color="auto"/>
        <w:right w:val="none" w:sz="0" w:space="0" w:color="auto"/>
      </w:divBdr>
    </w:div>
    <w:div w:id="1024750951">
      <w:marLeft w:val="0"/>
      <w:marRight w:val="0"/>
      <w:marTop w:val="0"/>
      <w:marBottom w:val="0"/>
      <w:divBdr>
        <w:top w:val="none" w:sz="0" w:space="0" w:color="auto"/>
        <w:left w:val="none" w:sz="0" w:space="0" w:color="auto"/>
        <w:bottom w:val="none" w:sz="0" w:space="0" w:color="auto"/>
        <w:right w:val="none" w:sz="0" w:space="0" w:color="auto"/>
      </w:divBdr>
    </w:div>
    <w:div w:id="1025324238">
      <w:marLeft w:val="0"/>
      <w:marRight w:val="0"/>
      <w:marTop w:val="0"/>
      <w:marBottom w:val="0"/>
      <w:divBdr>
        <w:top w:val="none" w:sz="0" w:space="0" w:color="auto"/>
        <w:left w:val="none" w:sz="0" w:space="0" w:color="auto"/>
        <w:bottom w:val="none" w:sz="0" w:space="0" w:color="auto"/>
        <w:right w:val="none" w:sz="0" w:space="0" w:color="auto"/>
      </w:divBdr>
    </w:div>
    <w:div w:id="1029381160">
      <w:marLeft w:val="0"/>
      <w:marRight w:val="0"/>
      <w:marTop w:val="0"/>
      <w:marBottom w:val="0"/>
      <w:divBdr>
        <w:top w:val="none" w:sz="0" w:space="0" w:color="auto"/>
        <w:left w:val="none" w:sz="0" w:space="0" w:color="auto"/>
        <w:bottom w:val="none" w:sz="0" w:space="0" w:color="auto"/>
        <w:right w:val="none" w:sz="0" w:space="0" w:color="auto"/>
      </w:divBdr>
    </w:div>
    <w:div w:id="1029834936">
      <w:marLeft w:val="0"/>
      <w:marRight w:val="0"/>
      <w:marTop w:val="0"/>
      <w:marBottom w:val="0"/>
      <w:divBdr>
        <w:top w:val="none" w:sz="0" w:space="0" w:color="auto"/>
        <w:left w:val="none" w:sz="0" w:space="0" w:color="auto"/>
        <w:bottom w:val="none" w:sz="0" w:space="0" w:color="auto"/>
        <w:right w:val="none" w:sz="0" w:space="0" w:color="auto"/>
      </w:divBdr>
    </w:div>
    <w:div w:id="1031229879">
      <w:marLeft w:val="0"/>
      <w:marRight w:val="0"/>
      <w:marTop w:val="0"/>
      <w:marBottom w:val="0"/>
      <w:divBdr>
        <w:top w:val="none" w:sz="0" w:space="0" w:color="auto"/>
        <w:left w:val="none" w:sz="0" w:space="0" w:color="auto"/>
        <w:bottom w:val="none" w:sz="0" w:space="0" w:color="auto"/>
        <w:right w:val="none" w:sz="0" w:space="0" w:color="auto"/>
      </w:divBdr>
    </w:div>
    <w:div w:id="1031957574">
      <w:marLeft w:val="0"/>
      <w:marRight w:val="0"/>
      <w:marTop w:val="0"/>
      <w:marBottom w:val="0"/>
      <w:divBdr>
        <w:top w:val="none" w:sz="0" w:space="0" w:color="auto"/>
        <w:left w:val="none" w:sz="0" w:space="0" w:color="auto"/>
        <w:bottom w:val="none" w:sz="0" w:space="0" w:color="auto"/>
        <w:right w:val="none" w:sz="0" w:space="0" w:color="auto"/>
      </w:divBdr>
    </w:div>
    <w:div w:id="1032655860">
      <w:marLeft w:val="0"/>
      <w:marRight w:val="0"/>
      <w:marTop w:val="0"/>
      <w:marBottom w:val="0"/>
      <w:divBdr>
        <w:top w:val="none" w:sz="0" w:space="0" w:color="auto"/>
        <w:left w:val="none" w:sz="0" w:space="0" w:color="auto"/>
        <w:bottom w:val="none" w:sz="0" w:space="0" w:color="auto"/>
        <w:right w:val="none" w:sz="0" w:space="0" w:color="auto"/>
      </w:divBdr>
    </w:div>
    <w:div w:id="1034037661">
      <w:marLeft w:val="0"/>
      <w:marRight w:val="0"/>
      <w:marTop w:val="0"/>
      <w:marBottom w:val="0"/>
      <w:divBdr>
        <w:top w:val="none" w:sz="0" w:space="0" w:color="auto"/>
        <w:left w:val="none" w:sz="0" w:space="0" w:color="auto"/>
        <w:bottom w:val="none" w:sz="0" w:space="0" w:color="auto"/>
        <w:right w:val="none" w:sz="0" w:space="0" w:color="auto"/>
      </w:divBdr>
    </w:div>
    <w:div w:id="1034430094">
      <w:marLeft w:val="0"/>
      <w:marRight w:val="0"/>
      <w:marTop w:val="0"/>
      <w:marBottom w:val="0"/>
      <w:divBdr>
        <w:top w:val="none" w:sz="0" w:space="0" w:color="auto"/>
        <w:left w:val="none" w:sz="0" w:space="0" w:color="auto"/>
        <w:bottom w:val="none" w:sz="0" w:space="0" w:color="auto"/>
        <w:right w:val="none" w:sz="0" w:space="0" w:color="auto"/>
      </w:divBdr>
    </w:div>
    <w:div w:id="1038511334">
      <w:marLeft w:val="0"/>
      <w:marRight w:val="0"/>
      <w:marTop w:val="0"/>
      <w:marBottom w:val="0"/>
      <w:divBdr>
        <w:top w:val="none" w:sz="0" w:space="0" w:color="auto"/>
        <w:left w:val="none" w:sz="0" w:space="0" w:color="auto"/>
        <w:bottom w:val="none" w:sz="0" w:space="0" w:color="auto"/>
        <w:right w:val="none" w:sz="0" w:space="0" w:color="auto"/>
      </w:divBdr>
      <w:divsChild>
        <w:div w:id="1817145349">
          <w:marLeft w:val="0"/>
          <w:marRight w:val="0"/>
          <w:marTop w:val="0"/>
          <w:marBottom w:val="0"/>
          <w:divBdr>
            <w:top w:val="none" w:sz="0" w:space="0" w:color="auto"/>
            <w:left w:val="none" w:sz="0" w:space="0" w:color="auto"/>
            <w:bottom w:val="none" w:sz="0" w:space="0" w:color="auto"/>
            <w:right w:val="none" w:sz="0" w:space="0" w:color="auto"/>
          </w:divBdr>
        </w:div>
        <w:div w:id="260770196">
          <w:marLeft w:val="0"/>
          <w:marRight w:val="0"/>
          <w:marTop w:val="0"/>
          <w:marBottom w:val="0"/>
          <w:divBdr>
            <w:top w:val="none" w:sz="0" w:space="0" w:color="auto"/>
            <w:left w:val="none" w:sz="0" w:space="0" w:color="auto"/>
            <w:bottom w:val="none" w:sz="0" w:space="0" w:color="auto"/>
            <w:right w:val="none" w:sz="0" w:space="0" w:color="auto"/>
          </w:divBdr>
        </w:div>
        <w:div w:id="129322780">
          <w:marLeft w:val="0"/>
          <w:marRight w:val="0"/>
          <w:marTop w:val="0"/>
          <w:marBottom w:val="0"/>
          <w:divBdr>
            <w:top w:val="none" w:sz="0" w:space="0" w:color="auto"/>
            <w:left w:val="none" w:sz="0" w:space="0" w:color="auto"/>
            <w:bottom w:val="none" w:sz="0" w:space="0" w:color="auto"/>
            <w:right w:val="none" w:sz="0" w:space="0" w:color="auto"/>
          </w:divBdr>
        </w:div>
        <w:div w:id="2006938573">
          <w:marLeft w:val="0"/>
          <w:marRight w:val="0"/>
          <w:marTop w:val="0"/>
          <w:marBottom w:val="0"/>
          <w:divBdr>
            <w:top w:val="none" w:sz="0" w:space="0" w:color="auto"/>
            <w:left w:val="none" w:sz="0" w:space="0" w:color="auto"/>
            <w:bottom w:val="none" w:sz="0" w:space="0" w:color="auto"/>
            <w:right w:val="none" w:sz="0" w:space="0" w:color="auto"/>
          </w:divBdr>
        </w:div>
      </w:divsChild>
    </w:div>
    <w:div w:id="1039013832">
      <w:marLeft w:val="0"/>
      <w:marRight w:val="0"/>
      <w:marTop w:val="0"/>
      <w:marBottom w:val="0"/>
      <w:divBdr>
        <w:top w:val="none" w:sz="0" w:space="0" w:color="auto"/>
        <w:left w:val="none" w:sz="0" w:space="0" w:color="auto"/>
        <w:bottom w:val="none" w:sz="0" w:space="0" w:color="auto"/>
        <w:right w:val="none" w:sz="0" w:space="0" w:color="auto"/>
      </w:divBdr>
    </w:div>
    <w:div w:id="1039085845">
      <w:marLeft w:val="0"/>
      <w:marRight w:val="0"/>
      <w:marTop w:val="0"/>
      <w:marBottom w:val="0"/>
      <w:divBdr>
        <w:top w:val="none" w:sz="0" w:space="0" w:color="auto"/>
        <w:left w:val="none" w:sz="0" w:space="0" w:color="auto"/>
        <w:bottom w:val="none" w:sz="0" w:space="0" w:color="auto"/>
        <w:right w:val="none" w:sz="0" w:space="0" w:color="auto"/>
      </w:divBdr>
    </w:div>
    <w:div w:id="1039281987">
      <w:marLeft w:val="0"/>
      <w:marRight w:val="0"/>
      <w:marTop w:val="0"/>
      <w:marBottom w:val="0"/>
      <w:divBdr>
        <w:top w:val="none" w:sz="0" w:space="0" w:color="auto"/>
        <w:left w:val="none" w:sz="0" w:space="0" w:color="auto"/>
        <w:bottom w:val="none" w:sz="0" w:space="0" w:color="auto"/>
        <w:right w:val="none" w:sz="0" w:space="0" w:color="auto"/>
      </w:divBdr>
    </w:div>
    <w:div w:id="1044524644">
      <w:marLeft w:val="0"/>
      <w:marRight w:val="0"/>
      <w:marTop w:val="0"/>
      <w:marBottom w:val="0"/>
      <w:divBdr>
        <w:top w:val="none" w:sz="0" w:space="0" w:color="auto"/>
        <w:left w:val="none" w:sz="0" w:space="0" w:color="auto"/>
        <w:bottom w:val="none" w:sz="0" w:space="0" w:color="auto"/>
        <w:right w:val="none" w:sz="0" w:space="0" w:color="auto"/>
      </w:divBdr>
    </w:div>
    <w:div w:id="1045256737">
      <w:marLeft w:val="0"/>
      <w:marRight w:val="0"/>
      <w:marTop w:val="0"/>
      <w:marBottom w:val="0"/>
      <w:divBdr>
        <w:top w:val="none" w:sz="0" w:space="0" w:color="auto"/>
        <w:left w:val="none" w:sz="0" w:space="0" w:color="auto"/>
        <w:bottom w:val="none" w:sz="0" w:space="0" w:color="auto"/>
        <w:right w:val="none" w:sz="0" w:space="0" w:color="auto"/>
      </w:divBdr>
    </w:div>
    <w:div w:id="1051348926">
      <w:marLeft w:val="0"/>
      <w:marRight w:val="0"/>
      <w:marTop w:val="0"/>
      <w:marBottom w:val="0"/>
      <w:divBdr>
        <w:top w:val="none" w:sz="0" w:space="0" w:color="auto"/>
        <w:left w:val="none" w:sz="0" w:space="0" w:color="auto"/>
        <w:bottom w:val="none" w:sz="0" w:space="0" w:color="auto"/>
        <w:right w:val="none" w:sz="0" w:space="0" w:color="auto"/>
      </w:divBdr>
    </w:div>
    <w:div w:id="1053845471">
      <w:marLeft w:val="0"/>
      <w:marRight w:val="0"/>
      <w:marTop w:val="0"/>
      <w:marBottom w:val="0"/>
      <w:divBdr>
        <w:top w:val="none" w:sz="0" w:space="0" w:color="auto"/>
        <w:left w:val="none" w:sz="0" w:space="0" w:color="auto"/>
        <w:bottom w:val="none" w:sz="0" w:space="0" w:color="auto"/>
        <w:right w:val="none" w:sz="0" w:space="0" w:color="auto"/>
      </w:divBdr>
      <w:divsChild>
        <w:div w:id="1673676830">
          <w:marLeft w:val="0"/>
          <w:marRight w:val="0"/>
          <w:marTop w:val="0"/>
          <w:marBottom w:val="0"/>
          <w:divBdr>
            <w:top w:val="none" w:sz="0" w:space="0" w:color="auto"/>
            <w:left w:val="none" w:sz="0" w:space="0" w:color="auto"/>
            <w:bottom w:val="none" w:sz="0" w:space="0" w:color="auto"/>
            <w:right w:val="none" w:sz="0" w:space="0" w:color="auto"/>
          </w:divBdr>
        </w:div>
      </w:divsChild>
    </w:div>
    <w:div w:id="1056440564">
      <w:marLeft w:val="0"/>
      <w:marRight w:val="0"/>
      <w:marTop w:val="0"/>
      <w:marBottom w:val="0"/>
      <w:divBdr>
        <w:top w:val="none" w:sz="0" w:space="0" w:color="auto"/>
        <w:left w:val="none" w:sz="0" w:space="0" w:color="auto"/>
        <w:bottom w:val="none" w:sz="0" w:space="0" w:color="auto"/>
        <w:right w:val="none" w:sz="0" w:space="0" w:color="auto"/>
      </w:divBdr>
    </w:div>
    <w:div w:id="1057163894">
      <w:marLeft w:val="0"/>
      <w:marRight w:val="0"/>
      <w:marTop w:val="0"/>
      <w:marBottom w:val="0"/>
      <w:divBdr>
        <w:top w:val="none" w:sz="0" w:space="0" w:color="auto"/>
        <w:left w:val="none" w:sz="0" w:space="0" w:color="auto"/>
        <w:bottom w:val="none" w:sz="0" w:space="0" w:color="auto"/>
        <w:right w:val="none" w:sz="0" w:space="0" w:color="auto"/>
      </w:divBdr>
    </w:div>
    <w:div w:id="1062750389">
      <w:marLeft w:val="0"/>
      <w:marRight w:val="0"/>
      <w:marTop w:val="0"/>
      <w:marBottom w:val="0"/>
      <w:divBdr>
        <w:top w:val="none" w:sz="0" w:space="0" w:color="auto"/>
        <w:left w:val="none" w:sz="0" w:space="0" w:color="auto"/>
        <w:bottom w:val="none" w:sz="0" w:space="0" w:color="auto"/>
        <w:right w:val="none" w:sz="0" w:space="0" w:color="auto"/>
      </w:divBdr>
    </w:div>
    <w:div w:id="1071076833">
      <w:marLeft w:val="0"/>
      <w:marRight w:val="0"/>
      <w:marTop w:val="0"/>
      <w:marBottom w:val="0"/>
      <w:divBdr>
        <w:top w:val="none" w:sz="0" w:space="0" w:color="auto"/>
        <w:left w:val="none" w:sz="0" w:space="0" w:color="auto"/>
        <w:bottom w:val="none" w:sz="0" w:space="0" w:color="auto"/>
        <w:right w:val="none" w:sz="0" w:space="0" w:color="auto"/>
      </w:divBdr>
    </w:div>
    <w:div w:id="1074358062">
      <w:marLeft w:val="0"/>
      <w:marRight w:val="0"/>
      <w:marTop w:val="0"/>
      <w:marBottom w:val="0"/>
      <w:divBdr>
        <w:top w:val="none" w:sz="0" w:space="0" w:color="auto"/>
        <w:left w:val="none" w:sz="0" w:space="0" w:color="auto"/>
        <w:bottom w:val="none" w:sz="0" w:space="0" w:color="auto"/>
        <w:right w:val="none" w:sz="0" w:space="0" w:color="auto"/>
      </w:divBdr>
    </w:div>
    <w:div w:id="1074476550">
      <w:marLeft w:val="0"/>
      <w:marRight w:val="0"/>
      <w:marTop w:val="0"/>
      <w:marBottom w:val="0"/>
      <w:divBdr>
        <w:top w:val="none" w:sz="0" w:space="0" w:color="auto"/>
        <w:left w:val="none" w:sz="0" w:space="0" w:color="auto"/>
        <w:bottom w:val="none" w:sz="0" w:space="0" w:color="auto"/>
        <w:right w:val="none" w:sz="0" w:space="0" w:color="auto"/>
      </w:divBdr>
    </w:div>
    <w:div w:id="1076705282">
      <w:marLeft w:val="0"/>
      <w:marRight w:val="0"/>
      <w:marTop w:val="0"/>
      <w:marBottom w:val="0"/>
      <w:divBdr>
        <w:top w:val="none" w:sz="0" w:space="0" w:color="auto"/>
        <w:left w:val="none" w:sz="0" w:space="0" w:color="auto"/>
        <w:bottom w:val="none" w:sz="0" w:space="0" w:color="auto"/>
        <w:right w:val="none" w:sz="0" w:space="0" w:color="auto"/>
      </w:divBdr>
    </w:div>
    <w:div w:id="1080327551">
      <w:marLeft w:val="0"/>
      <w:marRight w:val="0"/>
      <w:marTop w:val="0"/>
      <w:marBottom w:val="0"/>
      <w:divBdr>
        <w:top w:val="none" w:sz="0" w:space="0" w:color="auto"/>
        <w:left w:val="none" w:sz="0" w:space="0" w:color="auto"/>
        <w:bottom w:val="none" w:sz="0" w:space="0" w:color="auto"/>
        <w:right w:val="none" w:sz="0" w:space="0" w:color="auto"/>
      </w:divBdr>
    </w:div>
    <w:div w:id="1083405865">
      <w:marLeft w:val="0"/>
      <w:marRight w:val="0"/>
      <w:marTop w:val="0"/>
      <w:marBottom w:val="0"/>
      <w:divBdr>
        <w:top w:val="none" w:sz="0" w:space="0" w:color="auto"/>
        <w:left w:val="none" w:sz="0" w:space="0" w:color="auto"/>
        <w:bottom w:val="none" w:sz="0" w:space="0" w:color="auto"/>
        <w:right w:val="none" w:sz="0" w:space="0" w:color="auto"/>
      </w:divBdr>
      <w:divsChild>
        <w:div w:id="736325598">
          <w:marLeft w:val="0"/>
          <w:marRight w:val="0"/>
          <w:marTop w:val="0"/>
          <w:marBottom w:val="0"/>
          <w:divBdr>
            <w:top w:val="none" w:sz="0" w:space="0" w:color="auto"/>
            <w:left w:val="none" w:sz="0" w:space="0" w:color="auto"/>
            <w:bottom w:val="none" w:sz="0" w:space="0" w:color="auto"/>
            <w:right w:val="none" w:sz="0" w:space="0" w:color="auto"/>
          </w:divBdr>
        </w:div>
      </w:divsChild>
    </w:div>
    <w:div w:id="1084768607">
      <w:marLeft w:val="0"/>
      <w:marRight w:val="0"/>
      <w:marTop w:val="0"/>
      <w:marBottom w:val="0"/>
      <w:divBdr>
        <w:top w:val="none" w:sz="0" w:space="0" w:color="auto"/>
        <w:left w:val="none" w:sz="0" w:space="0" w:color="auto"/>
        <w:bottom w:val="none" w:sz="0" w:space="0" w:color="auto"/>
        <w:right w:val="none" w:sz="0" w:space="0" w:color="auto"/>
      </w:divBdr>
    </w:div>
    <w:div w:id="1087381033">
      <w:marLeft w:val="0"/>
      <w:marRight w:val="0"/>
      <w:marTop w:val="0"/>
      <w:marBottom w:val="0"/>
      <w:divBdr>
        <w:top w:val="none" w:sz="0" w:space="0" w:color="auto"/>
        <w:left w:val="none" w:sz="0" w:space="0" w:color="auto"/>
        <w:bottom w:val="none" w:sz="0" w:space="0" w:color="auto"/>
        <w:right w:val="none" w:sz="0" w:space="0" w:color="auto"/>
      </w:divBdr>
    </w:div>
    <w:div w:id="1091007732">
      <w:marLeft w:val="0"/>
      <w:marRight w:val="0"/>
      <w:marTop w:val="0"/>
      <w:marBottom w:val="0"/>
      <w:divBdr>
        <w:top w:val="none" w:sz="0" w:space="0" w:color="auto"/>
        <w:left w:val="none" w:sz="0" w:space="0" w:color="auto"/>
        <w:bottom w:val="none" w:sz="0" w:space="0" w:color="auto"/>
        <w:right w:val="none" w:sz="0" w:space="0" w:color="auto"/>
      </w:divBdr>
    </w:div>
    <w:div w:id="1091124195">
      <w:marLeft w:val="0"/>
      <w:marRight w:val="0"/>
      <w:marTop w:val="0"/>
      <w:marBottom w:val="0"/>
      <w:divBdr>
        <w:top w:val="none" w:sz="0" w:space="0" w:color="auto"/>
        <w:left w:val="none" w:sz="0" w:space="0" w:color="auto"/>
        <w:bottom w:val="none" w:sz="0" w:space="0" w:color="auto"/>
        <w:right w:val="none" w:sz="0" w:space="0" w:color="auto"/>
      </w:divBdr>
    </w:div>
    <w:div w:id="1091200229">
      <w:marLeft w:val="0"/>
      <w:marRight w:val="0"/>
      <w:marTop w:val="0"/>
      <w:marBottom w:val="0"/>
      <w:divBdr>
        <w:top w:val="none" w:sz="0" w:space="0" w:color="auto"/>
        <w:left w:val="none" w:sz="0" w:space="0" w:color="auto"/>
        <w:bottom w:val="none" w:sz="0" w:space="0" w:color="auto"/>
        <w:right w:val="none" w:sz="0" w:space="0" w:color="auto"/>
      </w:divBdr>
    </w:div>
    <w:div w:id="1091969741">
      <w:marLeft w:val="0"/>
      <w:marRight w:val="0"/>
      <w:marTop w:val="0"/>
      <w:marBottom w:val="0"/>
      <w:divBdr>
        <w:top w:val="none" w:sz="0" w:space="0" w:color="auto"/>
        <w:left w:val="none" w:sz="0" w:space="0" w:color="auto"/>
        <w:bottom w:val="none" w:sz="0" w:space="0" w:color="auto"/>
        <w:right w:val="none" w:sz="0" w:space="0" w:color="auto"/>
      </w:divBdr>
    </w:div>
    <w:div w:id="1093014757">
      <w:marLeft w:val="0"/>
      <w:marRight w:val="0"/>
      <w:marTop w:val="0"/>
      <w:marBottom w:val="0"/>
      <w:divBdr>
        <w:top w:val="none" w:sz="0" w:space="0" w:color="auto"/>
        <w:left w:val="none" w:sz="0" w:space="0" w:color="auto"/>
        <w:bottom w:val="none" w:sz="0" w:space="0" w:color="auto"/>
        <w:right w:val="none" w:sz="0" w:space="0" w:color="auto"/>
      </w:divBdr>
    </w:div>
    <w:div w:id="1099563454">
      <w:marLeft w:val="0"/>
      <w:marRight w:val="0"/>
      <w:marTop w:val="0"/>
      <w:marBottom w:val="0"/>
      <w:divBdr>
        <w:top w:val="none" w:sz="0" w:space="0" w:color="auto"/>
        <w:left w:val="none" w:sz="0" w:space="0" w:color="auto"/>
        <w:bottom w:val="none" w:sz="0" w:space="0" w:color="auto"/>
        <w:right w:val="none" w:sz="0" w:space="0" w:color="auto"/>
      </w:divBdr>
    </w:div>
    <w:div w:id="1100950648">
      <w:marLeft w:val="0"/>
      <w:marRight w:val="0"/>
      <w:marTop w:val="0"/>
      <w:marBottom w:val="0"/>
      <w:divBdr>
        <w:top w:val="none" w:sz="0" w:space="0" w:color="auto"/>
        <w:left w:val="none" w:sz="0" w:space="0" w:color="auto"/>
        <w:bottom w:val="none" w:sz="0" w:space="0" w:color="auto"/>
        <w:right w:val="none" w:sz="0" w:space="0" w:color="auto"/>
      </w:divBdr>
    </w:div>
    <w:div w:id="1104617336">
      <w:marLeft w:val="0"/>
      <w:marRight w:val="0"/>
      <w:marTop w:val="0"/>
      <w:marBottom w:val="0"/>
      <w:divBdr>
        <w:top w:val="none" w:sz="0" w:space="0" w:color="auto"/>
        <w:left w:val="none" w:sz="0" w:space="0" w:color="auto"/>
        <w:bottom w:val="none" w:sz="0" w:space="0" w:color="auto"/>
        <w:right w:val="none" w:sz="0" w:space="0" w:color="auto"/>
      </w:divBdr>
    </w:div>
    <w:div w:id="1106849456">
      <w:marLeft w:val="0"/>
      <w:marRight w:val="0"/>
      <w:marTop w:val="0"/>
      <w:marBottom w:val="0"/>
      <w:divBdr>
        <w:top w:val="none" w:sz="0" w:space="0" w:color="auto"/>
        <w:left w:val="none" w:sz="0" w:space="0" w:color="auto"/>
        <w:bottom w:val="none" w:sz="0" w:space="0" w:color="auto"/>
        <w:right w:val="none" w:sz="0" w:space="0" w:color="auto"/>
      </w:divBdr>
    </w:div>
    <w:div w:id="1107189812">
      <w:marLeft w:val="0"/>
      <w:marRight w:val="0"/>
      <w:marTop w:val="0"/>
      <w:marBottom w:val="0"/>
      <w:divBdr>
        <w:top w:val="none" w:sz="0" w:space="0" w:color="auto"/>
        <w:left w:val="none" w:sz="0" w:space="0" w:color="auto"/>
        <w:bottom w:val="none" w:sz="0" w:space="0" w:color="auto"/>
        <w:right w:val="none" w:sz="0" w:space="0" w:color="auto"/>
      </w:divBdr>
    </w:div>
    <w:div w:id="1114246088">
      <w:marLeft w:val="0"/>
      <w:marRight w:val="0"/>
      <w:marTop w:val="0"/>
      <w:marBottom w:val="120"/>
      <w:divBdr>
        <w:top w:val="none" w:sz="0" w:space="0" w:color="auto"/>
        <w:left w:val="none" w:sz="0" w:space="0" w:color="auto"/>
        <w:bottom w:val="none" w:sz="0" w:space="0" w:color="auto"/>
        <w:right w:val="none" w:sz="0" w:space="0" w:color="auto"/>
      </w:divBdr>
    </w:div>
    <w:div w:id="1114599128">
      <w:marLeft w:val="0"/>
      <w:marRight w:val="0"/>
      <w:marTop w:val="0"/>
      <w:marBottom w:val="0"/>
      <w:divBdr>
        <w:top w:val="none" w:sz="0" w:space="0" w:color="auto"/>
        <w:left w:val="none" w:sz="0" w:space="0" w:color="auto"/>
        <w:bottom w:val="none" w:sz="0" w:space="0" w:color="auto"/>
        <w:right w:val="none" w:sz="0" w:space="0" w:color="auto"/>
      </w:divBdr>
    </w:div>
    <w:div w:id="1116873940">
      <w:marLeft w:val="0"/>
      <w:marRight w:val="0"/>
      <w:marTop w:val="0"/>
      <w:marBottom w:val="0"/>
      <w:divBdr>
        <w:top w:val="none" w:sz="0" w:space="0" w:color="auto"/>
        <w:left w:val="none" w:sz="0" w:space="0" w:color="auto"/>
        <w:bottom w:val="none" w:sz="0" w:space="0" w:color="auto"/>
        <w:right w:val="none" w:sz="0" w:space="0" w:color="auto"/>
      </w:divBdr>
      <w:divsChild>
        <w:div w:id="295573157">
          <w:marLeft w:val="0"/>
          <w:marRight w:val="0"/>
          <w:marTop w:val="0"/>
          <w:marBottom w:val="0"/>
          <w:divBdr>
            <w:top w:val="none" w:sz="0" w:space="0" w:color="auto"/>
            <w:left w:val="none" w:sz="0" w:space="0" w:color="auto"/>
            <w:bottom w:val="none" w:sz="0" w:space="0" w:color="auto"/>
            <w:right w:val="none" w:sz="0" w:space="0" w:color="auto"/>
          </w:divBdr>
        </w:div>
      </w:divsChild>
    </w:div>
    <w:div w:id="1122380720">
      <w:marLeft w:val="0"/>
      <w:marRight w:val="0"/>
      <w:marTop w:val="0"/>
      <w:marBottom w:val="0"/>
      <w:divBdr>
        <w:top w:val="none" w:sz="0" w:space="0" w:color="auto"/>
        <w:left w:val="none" w:sz="0" w:space="0" w:color="auto"/>
        <w:bottom w:val="none" w:sz="0" w:space="0" w:color="auto"/>
        <w:right w:val="none" w:sz="0" w:space="0" w:color="auto"/>
      </w:divBdr>
    </w:div>
    <w:div w:id="1126504537">
      <w:marLeft w:val="0"/>
      <w:marRight w:val="0"/>
      <w:marTop w:val="0"/>
      <w:marBottom w:val="0"/>
      <w:divBdr>
        <w:top w:val="none" w:sz="0" w:space="0" w:color="auto"/>
        <w:left w:val="none" w:sz="0" w:space="0" w:color="auto"/>
        <w:bottom w:val="none" w:sz="0" w:space="0" w:color="auto"/>
        <w:right w:val="none" w:sz="0" w:space="0" w:color="auto"/>
      </w:divBdr>
    </w:div>
    <w:div w:id="1126776921">
      <w:marLeft w:val="0"/>
      <w:marRight w:val="0"/>
      <w:marTop w:val="0"/>
      <w:marBottom w:val="0"/>
      <w:divBdr>
        <w:top w:val="none" w:sz="0" w:space="0" w:color="auto"/>
        <w:left w:val="none" w:sz="0" w:space="0" w:color="auto"/>
        <w:bottom w:val="none" w:sz="0" w:space="0" w:color="auto"/>
        <w:right w:val="none" w:sz="0" w:space="0" w:color="auto"/>
      </w:divBdr>
    </w:div>
    <w:div w:id="1131481927">
      <w:marLeft w:val="0"/>
      <w:marRight w:val="0"/>
      <w:marTop w:val="0"/>
      <w:marBottom w:val="0"/>
      <w:divBdr>
        <w:top w:val="none" w:sz="0" w:space="0" w:color="auto"/>
        <w:left w:val="none" w:sz="0" w:space="0" w:color="auto"/>
        <w:bottom w:val="none" w:sz="0" w:space="0" w:color="auto"/>
        <w:right w:val="none" w:sz="0" w:space="0" w:color="auto"/>
      </w:divBdr>
    </w:div>
    <w:div w:id="1133138884">
      <w:marLeft w:val="0"/>
      <w:marRight w:val="0"/>
      <w:marTop w:val="0"/>
      <w:marBottom w:val="0"/>
      <w:divBdr>
        <w:top w:val="none" w:sz="0" w:space="0" w:color="auto"/>
        <w:left w:val="none" w:sz="0" w:space="0" w:color="auto"/>
        <w:bottom w:val="none" w:sz="0" w:space="0" w:color="auto"/>
        <w:right w:val="none" w:sz="0" w:space="0" w:color="auto"/>
      </w:divBdr>
    </w:div>
    <w:div w:id="1137264836">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1148014278">
      <w:marLeft w:val="0"/>
      <w:marRight w:val="0"/>
      <w:marTop w:val="0"/>
      <w:marBottom w:val="0"/>
      <w:divBdr>
        <w:top w:val="none" w:sz="0" w:space="0" w:color="auto"/>
        <w:left w:val="none" w:sz="0" w:space="0" w:color="auto"/>
        <w:bottom w:val="none" w:sz="0" w:space="0" w:color="auto"/>
        <w:right w:val="none" w:sz="0" w:space="0" w:color="auto"/>
      </w:divBdr>
    </w:div>
    <w:div w:id="1149252869">
      <w:marLeft w:val="0"/>
      <w:marRight w:val="0"/>
      <w:marTop w:val="0"/>
      <w:marBottom w:val="0"/>
      <w:divBdr>
        <w:top w:val="none" w:sz="0" w:space="0" w:color="auto"/>
        <w:left w:val="none" w:sz="0" w:space="0" w:color="auto"/>
        <w:bottom w:val="none" w:sz="0" w:space="0" w:color="auto"/>
        <w:right w:val="none" w:sz="0" w:space="0" w:color="auto"/>
      </w:divBdr>
    </w:div>
    <w:div w:id="1149861780">
      <w:marLeft w:val="0"/>
      <w:marRight w:val="0"/>
      <w:marTop w:val="0"/>
      <w:marBottom w:val="240"/>
      <w:divBdr>
        <w:top w:val="none" w:sz="0" w:space="0" w:color="auto"/>
        <w:left w:val="none" w:sz="0" w:space="0" w:color="auto"/>
        <w:bottom w:val="none" w:sz="0" w:space="0" w:color="auto"/>
        <w:right w:val="none" w:sz="0" w:space="0" w:color="auto"/>
      </w:divBdr>
      <w:divsChild>
        <w:div w:id="1856383942">
          <w:marLeft w:val="0"/>
          <w:marRight w:val="0"/>
          <w:marTop w:val="0"/>
          <w:marBottom w:val="0"/>
          <w:divBdr>
            <w:top w:val="none" w:sz="0" w:space="0" w:color="auto"/>
            <w:left w:val="none" w:sz="0" w:space="0" w:color="auto"/>
            <w:bottom w:val="none" w:sz="0" w:space="0" w:color="auto"/>
            <w:right w:val="none" w:sz="0" w:space="0" w:color="auto"/>
          </w:divBdr>
        </w:div>
        <w:div w:id="1823426390">
          <w:marLeft w:val="0"/>
          <w:marRight w:val="0"/>
          <w:marTop w:val="0"/>
          <w:marBottom w:val="0"/>
          <w:divBdr>
            <w:top w:val="none" w:sz="0" w:space="0" w:color="auto"/>
            <w:left w:val="none" w:sz="0" w:space="0" w:color="auto"/>
            <w:bottom w:val="none" w:sz="0" w:space="0" w:color="auto"/>
            <w:right w:val="none" w:sz="0" w:space="0" w:color="auto"/>
          </w:divBdr>
        </w:div>
      </w:divsChild>
    </w:div>
    <w:div w:id="1150050262">
      <w:marLeft w:val="0"/>
      <w:marRight w:val="0"/>
      <w:marTop w:val="0"/>
      <w:marBottom w:val="0"/>
      <w:divBdr>
        <w:top w:val="none" w:sz="0" w:space="0" w:color="auto"/>
        <w:left w:val="none" w:sz="0" w:space="0" w:color="auto"/>
        <w:bottom w:val="none" w:sz="0" w:space="0" w:color="auto"/>
        <w:right w:val="none" w:sz="0" w:space="0" w:color="auto"/>
      </w:divBdr>
    </w:div>
    <w:div w:id="1150442111">
      <w:marLeft w:val="0"/>
      <w:marRight w:val="0"/>
      <w:marTop w:val="0"/>
      <w:marBottom w:val="0"/>
      <w:divBdr>
        <w:top w:val="none" w:sz="0" w:space="0" w:color="auto"/>
        <w:left w:val="none" w:sz="0" w:space="0" w:color="auto"/>
        <w:bottom w:val="none" w:sz="0" w:space="0" w:color="auto"/>
        <w:right w:val="none" w:sz="0" w:space="0" w:color="auto"/>
      </w:divBdr>
    </w:div>
    <w:div w:id="1152066074">
      <w:marLeft w:val="0"/>
      <w:marRight w:val="0"/>
      <w:marTop w:val="0"/>
      <w:marBottom w:val="0"/>
      <w:divBdr>
        <w:top w:val="none" w:sz="0" w:space="0" w:color="auto"/>
        <w:left w:val="none" w:sz="0" w:space="0" w:color="auto"/>
        <w:bottom w:val="none" w:sz="0" w:space="0" w:color="auto"/>
        <w:right w:val="none" w:sz="0" w:space="0" w:color="auto"/>
      </w:divBdr>
    </w:div>
    <w:div w:id="1152789270">
      <w:marLeft w:val="0"/>
      <w:marRight w:val="0"/>
      <w:marTop w:val="0"/>
      <w:marBottom w:val="0"/>
      <w:divBdr>
        <w:top w:val="none" w:sz="0" w:space="0" w:color="auto"/>
        <w:left w:val="none" w:sz="0" w:space="0" w:color="auto"/>
        <w:bottom w:val="none" w:sz="0" w:space="0" w:color="auto"/>
        <w:right w:val="none" w:sz="0" w:space="0" w:color="auto"/>
      </w:divBdr>
    </w:div>
    <w:div w:id="1154375636">
      <w:marLeft w:val="0"/>
      <w:marRight w:val="0"/>
      <w:marTop w:val="0"/>
      <w:marBottom w:val="0"/>
      <w:divBdr>
        <w:top w:val="none" w:sz="0" w:space="0" w:color="auto"/>
        <w:left w:val="none" w:sz="0" w:space="0" w:color="auto"/>
        <w:bottom w:val="none" w:sz="0" w:space="0" w:color="auto"/>
        <w:right w:val="none" w:sz="0" w:space="0" w:color="auto"/>
      </w:divBdr>
    </w:div>
    <w:div w:id="1155030254">
      <w:marLeft w:val="0"/>
      <w:marRight w:val="0"/>
      <w:marTop w:val="0"/>
      <w:marBottom w:val="0"/>
      <w:divBdr>
        <w:top w:val="none" w:sz="0" w:space="0" w:color="auto"/>
        <w:left w:val="none" w:sz="0" w:space="0" w:color="auto"/>
        <w:bottom w:val="none" w:sz="0" w:space="0" w:color="auto"/>
        <w:right w:val="none" w:sz="0" w:space="0" w:color="auto"/>
      </w:divBdr>
    </w:div>
    <w:div w:id="1157957873">
      <w:marLeft w:val="0"/>
      <w:marRight w:val="0"/>
      <w:marTop w:val="0"/>
      <w:marBottom w:val="0"/>
      <w:divBdr>
        <w:top w:val="none" w:sz="0" w:space="0" w:color="auto"/>
        <w:left w:val="none" w:sz="0" w:space="0" w:color="auto"/>
        <w:bottom w:val="none" w:sz="0" w:space="0" w:color="auto"/>
        <w:right w:val="none" w:sz="0" w:space="0" w:color="auto"/>
      </w:divBdr>
    </w:div>
    <w:div w:id="1159153002">
      <w:marLeft w:val="0"/>
      <w:marRight w:val="0"/>
      <w:marTop w:val="0"/>
      <w:marBottom w:val="0"/>
      <w:divBdr>
        <w:top w:val="none" w:sz="0" w:space="0" w:color="auto"/>
        <w:left w:val="none" w:sz="0" w:space="0" w:color="auto"/>
        <w:bottom w:val="none" w:sz="0" w:space="0" w:color="auto"/>
        <w:right w:val="none" w:sz="0" w:space="0" w:color="auto"/>
      </w:divBdr>
      <w:divsChild>
        <w:div w:id="466320875">
          <w:marLeft w:val="0"/>
          <w:marRight w:val="0"/>
          <w:marTop w:val="0"/>
          <w:marBottom w:val="0"/>
          <w:divBdr>
            <w:top w:val="none" w:sz="0" w:space="0" w:color="auto"/>
            <w:left w:val="none" w:sz="0" w:space="0" w:color="auto"/>
            <w:bottom w:val="none" w:sz="0" w:space="0" w:color="auto"/>
            <w:right w:val="none" w:sz="0" w:space="0" w:color="auto"/>
          </w:divBdr>
        </w:div>
        <w:div w:id="1232621991">
          <w:marLeft w:val="0"/>
          <w:marRight w:val="0"/>
          <w:marTop w:val="0"/>
          <w:marBottom w:val="0"/>
          <w:divBdr>
            <w:top w:val="none" w:sz="0" w:space="0" w:color="auto"/>
            <w:left w:val="none" w:sz="0" w:space="0" w:color="auto"/>
            <w:bottom w:val="none" w:sz="0" w:space="0" w:color="auto"/>
            <w:right w:val="none" w:sz="0" w:space="0" w:color="auto"/>
          </w:divBdr>
        </w:div>
        <w:div w:id="88738223">
          <w:marLeft w:val="0"/>
          <w:marRight w:val="0"/>
          <w:marTop w:val="0"/>
          <w:marBottom w:val="0"/>
          <w:divBdr>
            <w:top w:val="none" w:sz="0" w:space="0" w:color="auto"/>
            <w:left w:val="none" w:sz="0" w:space="0" w:color="auto"/>
            <w:bottom w:val="none" w:sz="0" w:space="0" w:color="auto"/>
            <w:right w:val="none" w:sz="0" w:space="0" w:color="auto"/>
          </w:divBdr>
        </w:div>
        <w:div w:id="2086225575">
          <w:marLeft w:val="0"/>
          <w:marRight w:val="0"/>
          <w:marTop w:val="0"/>
          <w:marBottom w:val="0"/>
          <w:divBdr>
            <w:top w:val="none" w:sz="0" w:space="0" w:color="auto"/>
            <w:left w:val="none" w:sz="0" w:space="0" w:color="auto"/>
            <w:bottom w:val="none" w:sz="0" w:space="0" w:color="auto"/>
            <w:right w:val="none" w:sz="0" w:space="0" w:color="auto"/>
          </w:divBdr>
        </w:div>
        <w:div w:id="119734716">
          <w:marLeft w:val="0"/>
          <w:marRight w:val="0"/>
          <w:marTop w:val="0"/>
          <w:marBottom w:val="0"/>
          <w:divBdr>
            <w:top w:val="none" w:sz="0" w:space="0" w:color="auto"/>
            <w:left w:val="none" w:sz="0" w:space="0" w:color="auto"/>
            <w:bottom w:val="none" w:sz="0" w:space="0" w:color="auto"/>
            <w:right w:val="none" w:sz="0" w:space="0" w:color="auto"/>
          </w:divBdr>
        </w:div>
        <w:div w:id="12151714">
          <w:marLeft w:val="0"/>
          <w:marRight w:val="0"/>
          <w:marTop w:val="0"/>
          <w:marBottom w:val="0"/>
          <w:divBdr>
            <w:top w:val="none" w:sz="0" w:space="0" w:color="auto"/>
            <w:left w:val="none" w:sz="0" w:space="0" w:color="auto"/>
            <w:bottom w:val="none" w:sz="0" w:space="0" w:color="auto"/>
            <w:right w:val="none" w:sz="0" w:space="0" w:color="auto"/>
          </w:divBdr>
        </w:div>
        <w:div w:id="1177964533">
          <w:marLeft w:val="0"/>
          <w:marRight w:val="0"/>
          <w:marTop w:val="0"/>
          <w:marBottom w:val="0"/>
          <w:divBdr>
            <w:top w:val="none" w:sz="0" w:space="0" w:color="auto"/>
            <w:left w:val="none" w:sz="0" w:space="0" w:color="auto"/>
            <w:bottom w:val="none" w:sz="0" w:space="0" w:color="auto"/>
            <w:right w:val="none" w:sz="0" w:space="0" w:color="auto"/>
          </w:divBdr>
        </w:div>
        <w:div w:id="411971872">
          <w:marLeft w:val="0"/>
          <w:marRight w:val="0"/>
          <w:marTop w:val="0"/>
          <w:marBottom w:val="0"/>
          <w:divBdr>
            <w:top w:val="none" w:sz="0" w:space="0" w:color="auto"/>
            <w:left w:val="none" w:sz="0" w:space="0" w:color="auto"/>
            <w:bottom w:val="none" w:sz="0" w:space="0" w:color="auto"/>
            <w:right w:val="none" w:sz="0" w:space="0" w:color="auto"/>
          </w:divBdr>
        </w:div>
        <w:div w:id="743067668">
          <w:marLeft w:val="0"/>
          <w:marRight w:val="0"/>
          <w:marTop w:val="0"/>
          <w:marBottom w:val="0"/>
          <w:divBdr>
            <w:top w:val="none" w:sz="0" w:space="0" w:color="auto"/>
            <w:left w:val="none" w:sz="0" w:space="0" w:color="auto"/>
            <w:bottom w:val="none" w:sz="0" w:space="0" w:color="auto"/>
            <w:right w:val="none" w:sz="0" w:space="0" w:color="auto"/>
          </w:divBdr>
        </w:div>
        <w:div w:id="747771948">
          <w:marLeft w:val="0"/>
          <w:marRight w:val="0"/>
          <w:marTop w:val="0"/>
          <w:marBottom w:val="0"/>
          <w:divBdr>
            <w:top w:val="none" w:sz="0" w:space="0" w:color="auto"/>
            <w:left w:val="none" w:sz="0" w:space="0" w:color="auto"/>
            <w:bottom w:val="none" w:sz="0" w:space="0" w:color="auto"/>
            <w:right w:val="none" w:sz="0" w:space="0" w:color="auto"/>
          </w:divBdr>
        </w:div>
        <w:div w:id="1889107010">
          <w:marLeft w:val="0"/>
          <w:marRight w:val="0"/>
          <w:marTop w:val="0"/>
          <w:marBottom w:val="0"/>
          <w:divBdr>
            <w:top w:val="none" w:sz="0" w:space="0" w:color="auto"/>
            <w:left w:val="none" w:sz="0" w:space="0" w:color="auto"/>
            <w:bottom w:val="none" w:sz="0" w:space="0" w:color="auto"/>
            <w:right w:val="none" w:sz="0" w:space="0" w:color="auto"/>
          </w:divBdr>
        </w:div>
        <w:div w:id="428307924">
          <w:marLeft w:val="0"/>
          <w:marRight w:val="0"/>
          <w:marTop w:val="0"/>
          <w:marBottom w:val="0"/>
          <w:divBdr>
            <w:top w:val="none" w:sz="0" w:space="0" w:color="auto"/>
            <w:left w:val="none" w:sz="0" w:space="0" w:color="auto"/>
            <w:bottom w:val="none" w:sz="0" w:space="0" w:color="auto"/>
            <w:right w:val="none" w:sz="0" w:space="0" w:color="auto"/>
          </w:divBdr>
        </w:div>
        <w:div w:id="1940945699">
          <w:marLeft w:val="0"/>
          <w:marRight w:val="0"/>
          <w:marTop w:val="0"/>
          <w:marBottom w:val="0"/>
          <w:divBdr>
            <w:top w:val="none" w:sz="0" w:space="0" w:color="auto"/>
            <w:left w:val="none" w:sz="0" w:space="0" w:color="auto"/>
            <w:bottom w:val="none" w:sz="0" w:space="0" w:color="auto"/>
            <w:right w:val="none" w:sz="0" w:space="0" w:color="auto"/>
          </w:divBdr>
        </w:div>
        <w:div w:id="531264870">
          <w:marLeft w:val="0"/>
          <w:marRight w:val="0"/>
          <w:marTop w:val="0"/>
          <w:marBottom w:val="0"/>
          <w:divBdr>
            <w:top w:val="none" w:sz="0" w:space="0" w:color="auto"/>
            <w:left w:val="none" w:sz="0" w:space="0" w:color="auto"/>
            <w:bottom w:val="none" w:sz="0" w:space="0" w:color="auto"/>
            <w:right w:val="none" w:sz="0" w:space="0" w:color="auto"/>
          </w:divBdr>
        </w:div>
        <w:div w:id="2016229373">
          <w:marLeft w:val="0"/>
          <w:marRight w:val="0"/>
          <w:marTop w:val="0"/>
          <w:marBottom w:val="0"/>
          <w:divBdr>
            <w:top w:val="none" w:sz="0" w:space="0" w:color="auto"/>
            <w:left w:val="none" w:sz="0" w:space="0" w:color="auto"/>
            <w:bottom w:val="none" w:sz="0" w:space="0" w:color="auto"/>
            <w:right w:val="none" w:sz="0" w:space="0" w:color="auto"/>
          </w:divBdr>
        </w:div>
      </w:divsChild>
    </w:div>
    <w:div w:id="1165317786">
      <w:marLeft w:val="0"/>
      <w:marRight w:val="0"/>
      <w:marTop w:val="0"/>
      <w:marBottom w:val="0"/>
      <w:divBdr>
        <w:top w:val="none" w:sz="0" w:space="0" w:color="auto"/>
        <w:left w:val="none" w:sz="0" w:space="0" w:color="auto"/>
        <w:bottom w:val="none" w:sz="0" w:space="0" w:color="auto"/>
        <w:right w:val="none" w:sz="0" w:space="0" w:color="auto"/>
      </w:divBdr>
    </w:div>
    <w:div w:id="1165971957">
      <w:marLeft w:val="0"/>
      <w:marRight w:val="0"/>
      <w:marTop w:val="0"/>
      <w:marBottom w:val="0"/>
      <w:divBdr>
        <w:top w:val="none" w:sz="0" w:space="0" w:color="auto"/>
        <w:left w:val="none" w:sz="0" w:space="0" w:color="auto"/>
        <w:bottom w:val="none" w:sz="0" w:space="0" w:color="auto"/>
        <w:right w:val="none" w:sz="0" w:space="0" w:color="auto"/>
      </w:divBdr>
    </w:div>
    <w:div w:id="1167021338">
      <w:marLeft w:val="0"/>
      <w:marRight w:val="0"/>
      <w:marTop w:val="0"/>
      <w:marBottom w:val="0"/>
      <w:divBdr>
        <w:top w:val="none" w:sz="0" w:space="0" w:color="auto"/>
        <w:left w:val="none" w:sz="0" w:space="0" w:color="auto"/>
        <w:bottom w:val="none" w:sz="0" w:space="0" w:color="auto"/>
        <w:right w:val="none" w:sz="0" w:space="0" w:color="auto"/>
      </w:divBdr>
    </w:div>
    <w:div w:id="1168330616">
      <w:marLeft w:val="0"/>
      <w:marRight w:val="0"/>
      <w:marTop w:val="0"/>
      <w:marBottom w:val="120"/>
      <w:divBdr>
        <w:top w:val="none" w:sz="0" w:space="0" w:color="auto"/>
        <w:left w:val="none" w:sz="0" w:space="0" w:color="auto"/>
        <w:bottom w:val="none" w:sz="0" w:space="0" w:color="auto"/>
        <w:right w:val="none" w:sz="0" w:space="0" w:color="auto"/>
      </w:divBdr>
    </w:div>
    <w:div w:id="1169171800">
      <w:marLeft w:val="0"/>
      <w:marRight w:val="0"/>
      <w:marTop w:val="0"/>
      <w:marBottom w:val="0"/>
      <w:divBdr>
        <w:top w:val="none" w:sz="0" w:space="0" w:color="auto"/>
        <w:left w:val="none" w:sz="0" w:space="0" w:color="auto"/>
        <w:bottom w:val="none" w:sz="0" w:space="0" w:color="auto"/>
        <w:right w:val="none" w:sz="0" w:space="0" w:color="auto"/>
      </w:divBdr>
    </w:div>
    <w:div w:id="1171944989">
      <w:marLeft w:val="0"/>
      <w:marRight w:val="0"/>
      <w:marTop w:val="0"/>
      <w:marBottom w:val="0"/>
      <w:divBdr>
        <w:top w:val="none" w:sz="0" w:space="0" w:color="auto"/>
        <w:left w:val="none" w:sz="0" w:space="0" w:color="auto"/>
        <w:bottom w:val="none" w:sz="0" w:space="0" w:color="auto"/>
        <w:right w:val="none" w:sz="0" w:space="0" w:color="auto"/>
      </w:divBdr>
    </w:div>
    <w:div w:id="1172139082">
      <w:marLeft w:val="0"/>
      <w:marRight w:val="0"/>
      <w:marTop w:val="0"/>
      <w:marBottom w:val="0"/>
      <w:divBdr>
        <w:top w:val="none" w:sz="0" w:space="0" w:color="auto"/>
        <w:left w:val="none" w:sz="0" w:space="0" w:color="auto"/>
        <w:bottom w:val="none" w:sz="0" w:space="0" w:color="auto"/>
        <w:right w:val="none" w:sz="0" w:space="0" w:color="auto"/>
      </w:divBdr>
      <w:divsChild>
        <w:div w:id="1974404805">
          <w:marLeft w:val="0"/>
          <w:marRight w:val="0"/>
          <w:marTop w:val="0"/>
          <w:marBottom w:val="0"/>
          <w:divBdr>
            <w:top w:val="none" w:sz="0" w:space="0" w:color="auto"/>
            <w:left w:val="none" w:sz="0" w:space="0" w:color="auto"/>
            <w:bottom w:val="none" w:sz="0" w:space="0" w:color="auto"/>
            <w:right w:val="none" w:sz="0" w:space="0" w:color="auto"/>
          </w:divBdr>
        </w:div>
      </w:divsChild>
    </w:div>
    <w:div w:id="1175806514">
      <w:marLeft w:val="0"/>
      <w:marRight w:val="0"/>
      <w:marTop w:val="0"/>
      <w:marBottom w:val="0"/>
      <w:divBdr>
        <w:top w:val="none" w:sz="0" w:space="0" w:color="auto"/>
        <w:left w:val="none" w:sz="0" w:space="0" w:color="auto"/>
        <w:bottom w:val="none" w:sz="0" w:space="0" w:color="auto"/>
        <w:right w:val="none" w:sz="0" w:space="0" w:color="auto"/>
      </w:divBdr>
    </w:div>
    <w:div w:id="1176726723">
      <w:marLeft w:val="0"/>
      <w:marRight w:val="0"/>
      <w:marTop w:val="0"/>
      <w:marBottom w:val="0"/>
      <w:divBdr>
        <w:top w:val="none" w:sz="0" w:space="0" w:color="auto"/>
        <w:left w:val="none" w:sz="0" w:space="0" w:color="auto"/>
        <w:bottom w:val="none" w:sz="0" w:space="0" w:color="auto"/>
        <w:right w:val="none" w:sz="0" w:space="0" w:color="auto"/>
      </w:divBdr>
    </w:div>
    <w:div w:id="1176916803">
      <w:marLeft w:val="0"/>
      <w:marRight w:val="0"/>
      <w:marTop w:val="0"/>
      <w:marBottom w:val="0"/>
      <w:divBdr>
        <w:top w:val="none" w:sz="0" w:space="0" w:color="auto"/>
        <w:left w:val="none" w:sz="0" w:space="0" w:color="auto"/>
        <w:bottom w:val="none" w:sz="0" w:space="0" w:color="auto"/>
        <w:right w:val="none" w:sz="0" w:space="0" w:color="auto"/>
      </w:divBdr>
    </w:div>
    <w:div w:id="1178472054">
      <w:marLeft w:val="0"/>
      <w:marRight w:val="0"/>
      <w:marTop w:val="0"/>
      <w:marBottom w:val="0"/>
      <w:divBdr>
        <w:top w:val="none" w:sz="0" w:space="0" w:color="auto"/>
        <w:left w:val="none" w:sz="0" w:space="0" w:color="auto"/>
        <w:bottom w:val="none" w:sz="0" w:space="0" w:color="auto"/>
        <w:right w:val="none" w:sz="0" w:space="0" w:color="auto"/>
      </w:divBdr>
    </w:div>
    <w:div w:id="1178734340">
      <w:marLeft w:val="0"/>
      <w:marRight w:val="0"/>
      <w:marTop w:val="0"/>
      <w:marBottom w:val="0"/>
      <w:divBdr>
        <w:top w:val="none" w:sz="0" w:space="0" w:color="auto"/>
        <w:left w:val="none" w:sz="0" w:space="0" w:color="auto"/>
        <w:bottom w:val="none" w:sz="0" w:space="0" w:color="auto"/>
        <w:right w:val="none" w:sz="0" w:space="0" w:color="auto"/>
      </w:divBdr>
    </w:div>
    <w:div w:id="1180698468">
      <w:marLeft w:val="0"/>
      <w:marRight w:val="0"/>
      <w:marTop w:val="0"/>
      <w:marBottom w:val="0"/>
      <w:divBdr>
        <w:top w:val="none" w:sz="0" w:space="0" w:color="auto"/>
        <w:left w:val="none" w:sz="0" w:space="0" w:color="auto"/>
        <w:bottom w:val="none" w:sz="0" w:space="0" w:color="auto"/>
        <w:right w:val="none" w:sz="0" w:space="0" w:color="auto"/>
      </w:divBdr>
    </w:div>
    <w:div w:id="1181745589">
      <w:marLeft w:val="0"/>
      <w:marRight w:val="0"/>
      <w:marTop w:val="0"/>
      <w:marBottom w:val="0"/>
      <w:divBdr>
        <w:top w:val="none" w:sz="0" w:space="0" w:color="auto"/>
        <w:left w:val="none" w:sz="0" w:space="0" w:color="auto"/>
        <w:bottom w:val="none" w:sz="0" w:space="0" w:color="auto"/>
        <w:right w:val="none" w:sz="0" w:space="0" w:color="auto"/>
      </w:divBdr>
    </w:div>
    <w:div w:id="1186408399">
      <w:marLeft w:val="0"/>
      <w:marRight w:val="0"/>
      <w:marTop w:val="0"/>
      <w:marBottom w:val="0"/>
      <w:divBdr>
        <w:top w:val="none" w:sz="0" w:space="0" w:color="auto"/>
        <w:left w:val="none" w:sz="0" w:space="0" w:color="auto"/>
        <w:bottom w:val="none" w:sz="0" w:space="0" w:color="auto"/>
        <w:right w:val="none" w:sz="0" w:space="0" w:color="auto"/>
      </w:divBdr>
    </w:div>
    <w:div w:id="1193181036">
      <w:marLeft w:val="0"/>
      <w:marRight w:val="0"/>
      <w:marTop w:val="100"/>
      <w:marBottom w:val="0"/>
      <w:divBdr>
        <w:top w:val="none" w:sz="0" w:space="0" w:color="auto"/>
        <w:left w:val="none" w:sz="0" w:space="0" w:color="auto"/>
        <w:bottom w:val="none" w:sz="0" w:space="0" w:color="auto"/>
        <w:right w:val="none" w:sz="0" w:space="0" w:color="auto"/>
      </w:divBdr>
      <w:divsChild>
        <w:div w:id="794249294">
          <w:marLeft w:val="0"/>
          <w:marRight w:val="0"/>
          <w:marTop w:val="0"/>
          <w:marBottom w:val="0"/>
          <w:divBdr>
            <w:top w:val="none" w:sz="0" w:space="0" w:color="auto"/>
            <w:left w:val="none" w:sz="0" w:space="0" w:color="auto"/>
            <w:bottom w:val="none" w:sz="0" w:space="0" w:color="auto"/>
            <w:right w:val="none" w:sz="0" w:space="0" w:color="auto"/>
          </w:divBdr>
        </w:div>
        <w:div w:id="105201567">
          <w:marLeft w:val="0"/>
          <w:marRight w:val="0"/>
          <w:marTop w:val="0"/>
          <w:marBottom w:val="0"/>
          <w:divBdr>
            <w:top w:val="none" w:sz="0" w:space="0" w:color="auto"/>
            <w:left w:val="none" w:sz="0" w:space="0" w:color="auto"/>
            <w:bottom w:val="none" w:sz="0" w:space="0" w:color="auto"/>
            <w:right w:val="none" w:sz="0" w:space="0" w:color="auto"/>
          </w:divBdr>
        </w:div>
        <w:div w:id="1120998023">
          <w:marLeft w:val="0"/>
          <w:marRight w:val="0"/>
          <w:marTop w:val="0"/>
          <w:marBottom w:val="0"/>
          <w:divBdr>
            <w:top w:val="none" w:sz="0" w:space="0" w:color="auto"/>
            <w:left w:val="none" w:sz="0" w:space="0" w:color="auto"/>
            <w:bottom w:val="none" w:sz="0" w:space="0" w:color="auto"/>
            <w:right w:val="none" w:sz="0" w:space="0" w:color="auto"/>
          </w:divBdr>
        </w:div>
        <w:div w:id="1209611467">
          <w:marLeft w:val="0"/>
          <w:marRight w:val="0"/>
          <w:marTop w:val="0"/>
          <w:marBottom w:val="0"/>
          <w:divBdr>
            <w:top w:val="none" w:sz="0" w:space="0" w:color="auto"/>
            <w:left w:val="none" w:sz="0" w:space="0" w:color="auto"/>
            <w:bottom w:val="none" w:sz="0" w:space="0" w:color="auto"/>
            <w:right w:val="none" w:sz="0" w:space="0" w:color="auto"/>
          </w:divBdr>
        </w:div>
        <w:div w:id="1468551878">
          <w:marLeft w:val="0"/>
          <w:marRight w:val="0"/>
          <w:marTop w:val="0"/>
          <w:marBottom w:val="0"/>
          <w:divBdr>
            <w:top w:val="none" w:sz="0" w:space="0" w:color="auto"/>
            <w:left w:val="none" w:sz="0" w:space="0" w:color="auto"/>
            <w:bottom w:val="none" w:sz="0" w:space="0" w:color="auto"/>
            <w:right w:val="none" w:sz="0" w:space="0" w:color="auto"/>
          </w:divBdr>
        </w:div>
        <w:div w:id="77749450">
          <w:marLeft w:val="0"/>
          <w:marRight w:val="0"/>
          <w:marTop w:val="0"/>
          <w:marBottom w:val="0"/>
          <w:divBdr>
            <w:top w:val="none" w:sz="0" w:space="0" w:color="auto"/>
            <w:left w:val="none" w:sz="0" w:space="0" w:color="auto"/>
            <w:bottom w:val="none" w:sz="0" w:space="0" w:color="auto"/>
            <w:right w:val="none" w:sz="0" w:space="0" w:color="auto"/>
          </w:divBdr>
        </w:div>
        <w:div w:id="1313952201">
          <w:marLeft w:val="0"/>
          <w:marRight w:val="0"/>
          <w:marTop w:val="0"/>
          <w:marBottom w:val="0"/>
          <w:divBdr>
            <w:top w:val="none" w:sz="0" w:space="0" w:color="auto"/>
            <w:left w:val="none" w:sz="0" w:space="0" w:color="auto"/>
            <w:bottom w:val="none" w:sz="0" w:space="0" w:color="auto"/>
            <w:right w:val="none" w:sz="0" w:space="0" w:color="auto"/>
          </w:divBdr>
        </w:div>
        <w:div w:id="1009256649">
          <w:marLeft w:val="0"/>
          <w:marRight w:val="0"/>
          <w:marTop w:val="0"/>
          <w:marBottom w:val="0"/>
          <w:divBdr>
            <w:top w:val="none" w:sz="0" w:space="0" w:color="auto"/>
            <w:left w:val="none" w:sz="0" w:space="0" w:color="auto"/>
            <w:bottom w:val="none" w:sz="0" w:space="0" w:color="auto"/>
            <w:right w:val="none" w:sz="0" w:space="0" w:color="auto"/>
          </w:divBdr>
        </w:div>
        <w:div w:id="237861982">
          <w:marLeft w:val="0"/>
          <w:marRight w:val="0"/>
          <w:marTop w:val="0"/>
          <w:marBottom w:val="0"/>
          <w:divBdr>
            <w:top w:val="none" w:sz="0" w:space="0" w:color="auto"/>
            <w:left w:val="none" w:sz="0" w:space="0" w:color="auto"/>
            <w:bottom w:val="none" w:sz="0" w:space="0" w:color="auto"/>
            <w:right w:val="none" w:sz="0" w:space="0" w:color="auto"/>
          </w:divBdr>
        </w:div>
        <w:div w:id="1444037326">
          <w:marLeft w:val="0"/>
          <w:marRight w:val="0"/>
          <w:marTop w:val="0"/>
          <w:marBottom w:val="0"/>
          <w:divBdr>
            <w:top w:val="none" w:sz="0" w:space="0" w:color="auto"/>
            <w:left w:val="none" w:sz="0" w:space="0" w:color="auto"/>
            <w:bottom w:val="none" w:sz="0" w:space="0" w:color="auto"/>
            <w:right w:val="none" w:sz="0" w:space="0" w:color="auto"/>
          </w:divBdr>
        </w:div>
        <w:div w:id="1681351101">
          <w:marLeft w:val="0"/>
          <w:marRight w:val="0"/>
          <w:marTop w:val="0"/>
          <w:marBottom w:val="0"/>
          <w:divBdr>
            <w:top w:val="none" w:sz="0" w:space="0" w:color="auto"/>
            <w:left w:val="none" w:sz="0" w:space="0" w:color="auto"/>
            <w:bottom w:val="none" w:sz="0" w:space="0" w:color="auto"/>
            <w:right w:val="none" w:sz="0" w:space="0" w:color="auto"/>
          </w:divBdr>
        </w:div>
      </w:divsChild>
    </w:div>
    <w:div w:id="1193491653">
      <w:marLeft w:val="0"/>
      <w:marRight w:val="0"/>
      <w:marTop w:val="0"/>
      <w:marBottom w:val="0"/>
      <w:divBdr>
        <w:top w:val="none" w:sz="0" w:space="0" w:color="auto"/>
        <w:left w:val="none" w:sz="0" w:space="0" w:color="auto"/>
        <w:bottom w:val="none" w:sz="0" w:space="0" w:color="auto"/>
        <w:right w:val="none" w:sz="0" w:space="0" w:color="auto"/>
      </w:divBdr>
    </w:div>
    <w:div w:id="1194852523">
      <w:marLeft w:val="0"/>
      <w:marRight w:val="0"/>
      <w:marTop w:val="0"/>
      <w:marBottom w:val="0"/>
      <w:divBdr>
        <w:top w:val="none" w:sz="0" w:space="0" w:color="auto"/>
        <w:left w:val="none" w:sz="0" w:space="0" w:color="auto"/>
        <w:bottom w:val="none" w:sz="0" w:space="0" w:color="auto"/>
        <w:right w:val="none" w:sz="0" w:space="0" w:color="auto"/>
      </w:divBdr>
    </w:div>
    <w:div w:id="1195311792">
      <w:marLeft w:val="0"/>
      <w:marRight w:val="0"/>
      <w:marTop w:val="0"/>
      <w:marBottom w:val="0"/>
      <w:divBdr>
        <w:top w:val="none" w:sz="0" w:space="0" w:color="auto"/>
        <w:left w:val="none" w:sz="0" w:space="0" w:color="auto"/>
        <w:bottom w:val="none" w:sz="0" w:space="0" w:color="auto"/>
        <w:right w:val="none" w:sz="0" w:space="0" w:color="auto"/>
      </w:divBdr>
    </w:div>
    <w:div w:id="1197351650">
      <w:marLeft w:val="0"/>
      <w:marRight w:val="0"/>
      <w:marTop w:val="0"/>
      <w:marBottom w:val="0"/>
      <w:divBdr>
        <w:top w:val="none" w:sz="0" w:space="0" w:color="auto"/>
        <w:left w:val="none" w:sz="0" w:space="0" w:color="auto"/>
        <w:bottom w:val="none" w:sz="0" w:space="0" w:color="auto"/>
        <w:right w:val="none" w:sz="0" w:space="0" w:color="auto"/>
      </w:divBdr>
    </w:div>
    <w:div w:id="1200166620">
      <w:marLeft w:val="0"/>
      <w:marRight w:val="0"/>
      <w:marTop w:val="0"/>
      <w:marBottom w:val="0"/>
      <w:divBdr>
        <w:top w:val="none" w:sz="0" w:space="0" w:color="auto"/>
        <w:left w:val="none" w:sz="0" w:space="0" w:color="auto"/>
        <w:bottom w:val="none" w:sz="0" w:space="0" w:color="auto"/>
        <w:right w:val="none" w:sz="0" w:space="0" w:color="auto"/>
      </w:divBdr>
    </w:div>
    <w:div w:id="1200899052">
      <w:marLeft w:val="0"/>
      <w:marRight w:val="0"/>
      <w:marTop w:val="0"/>
      <w:marBottom w:val="0"/>
      <w:divBdr>
        <w:top w:val="none" w:sz="0" w:space="0" w:color="auto"/>
        <w:left w:val="none" w:sz="0" w:space="0" w:color="auto"/>
        <w:bottom w:val="none" w:sz="0" w:space="0" w:color="auto"/>
        <w:right w:val="none" w:sz="0" w:space="0" w:color="auto"/>
      </w:divBdr>
    </w:div>
    <w:div w:id="1204707896">
      <w:marLeft w:val="0"/>
      <w:marRight w:val="0"/>
      <w:marTop w:val="0"/>
      <w:marBottom w:val="0"/>
      <w:divBdr>
        <w:top w:val="none" w:sz="0" w:space="0" w:color="auto"/>
        <w:left w:val="none" w:sz="0" w:space="0" w:color="auto"/>
        <w:bottom w:val="none" w:sz="0" w:space="0" w:color="auto"/>
        <w:right w:val="none" w:sz="0" w:space="0" w:color="auto"/>
      </w:divBdr>
      <w:divsChild>
        <w:div w:id="743722595">
          <w:marLeft w:val="0"/>
          <w:marRight w:val="0"/>
          <w:marTop w:val="0"/>
          <w:marBottom w:val="0"/>
          <w:divBdr>
            <w:top w:val="none" w:sz="0" w:space="0" w:color="auto"/>
            <w:left w:val="none" w:sz="0" w:space="0" w:color="auto"/>
            <w:bottom w:val="none" w:sz="0" w:space="0" w:color="auto"/>
            <w:right w:val="none" w:sz="0" w:space="0" w:color="auto"/>
          </w:divBdr>
        </w:div>
      </w:divsChild>
    </w:div>
    <w:div w:id="1204828678">
      <w:marLeft w:val="0"/>
      <w:marRight w:val="0"/>
      <w:marTop w:val="0"/>
      <w:marBottom w:val="0"/>
      <w:divBdr>
        <w:top w:val="none" w:sz="0" w:space="0" w:color="auto"/>
        <w:left w:val="none" w:sz="0" w:space="0" w:color="auto"/>
        <w:bottom w:val="none" w:sz="0" w:space="0" w:color="auto"/>
        <w:right w:val="none" w:sz="0" w:space="0" w:color="auto"/>
      </w:divBdr>
    </w:div>
    <w:div w:id="1207335936">
      <w:marLeft w:val="0"/>
      <w:marRight w:val="0"/>
      <w:marTop w:val="0"/>
      <w:marBottom w:val="0"/>
      <w:divBdr>
        <w:top w:val="none" w:sz="0" w:space="0" w:color="auto"/>
        <w:left w:val="none" w:sz="0" w:space="0" w:color="auto"/>
        <w:bottom w:val="none" w:sz="0" w:space="0" w:color="auto"/>
        <w:right w:val="none" w:sz="0" w:space="0" w:color="auto"/>
      </w:divBdr>
    </w:div>
    <w:div w:id="1214266568">
      <w:marLeft w:val="0"/>
      <w:marRight w:val="0"/>
      <w:marTop w:val="0"/>
      <w:marBottom w:val="0"/>
      <w:divBdr>
        <w:top w:val="none" w:sz="0" w:space="0" w:color="auto"/>
        <w:left w:val="none" w:sz="0" w:space="0" w:color="auto"/>
        <w:bottom w:val="none" w:sz="0" w:space="0" w:color="auto"/>
        <w:right w:val="none" w:sz="0" w:space="0" w:color="auto"/>
      </w:divBdr>
    </w:div>
    <w:div w:id="1215895149">
      <w:marLeft w:val="0"/>
      <w:marRight w:val="0"/>
      <w:marTop w:val="0"/>
      <w:marBottom w:val="0"/>
      <w:divBdr>
        <w:top w:val="none" w:sz="0" w:space="0" w:color="auto"/>
        <w:left w:val="none" w:sz="0" w:space="0" w:color="auto"/>
        <w:bottom w:val="none" w:sz="0" w:space="0" w:color="auto"/>
        <w:right w:val="none" w:sz="0" w:space="0" w:color="auto"/>
      </w:divBdr>
    </w:div>
    <w:div w:id="1218973394">
      <w:marLeft w:val="0"/>
      <w:marRight w:val="0"/>
      <w:marTop w:val="0"/>
      <w:marBottom w:val="0"/>
      <w:divBdr>
        <w:top w:val="none" w:sz="0" w:space="0" w:color="auto"/>
        <w:left w:val="none" w:sz="0" w:space="0" w:color="auto"/>
        <w:bottom w:val="none" w:sz="0" w:space="0" w:color="auto"/>
        <w:right w:val="none" w:sz="0" w:space="0" w:color="auto"/>
      </w:divBdr>
    </w:div>
    <w:div w:id="1220626983">
      <w:marLeft w:val="0"/>
      <w:marRight w:val="0"/>
      <w:marTop w:val="0"/>
      <w:marBottom w:val="0"/>
      <w:divBdr>
        <w:top w:val="none" w:sz="0" w:space="0" w:color="auto"/>
        <w:left w:val="none" w:sz="0" w:space="0" w:color="auto"/>
        <w:bottom w:val="none" w:sz="0" w:space="0" w:color="auto"/>
        <w:right w:val="none" w:sz="0" w:space="0" w:color="auto"/>
      </w:divBdr>
    </w:div>
    <w:div w:id="1220825710">
      <w:marLeft w:val="0"/>
      <w:marRight w:val="0"/>
      <w:marTop w:val="0"/>
      <w:marBottom w:val="0"/>
      <w:divBdr>
        <w:top w:val="none" w:sz="0" w:space="0" w:color="auto"/>
        <w:left w:val="none" w:sz="0" w:space="0" w:color="auto"/>
        <w:bottom w:val="none" w:sz="0" w:space="0" w:color="auto"/>
        <w:right w:val="none" w:sz="0" w:space="0" w:color="auto"/>
      </w:divBdr>
    </w:div>
    <w:div w:id="1220828378">
      <w:marLeft w:val="0"/>
      <w:marRight w:val="0"/>
      <w:marTop w:val="0"/>
      <w:marBottom w:val="0"/>
      <w:divBdr>
        <w:top w:val="none" w:sz="0" w:space="0" w:color="auto"/>
        <w:left w:val="none" w:sz="0" w:space="0" w:color="auto"/>
        <w:bottom w:val="none" w:sz="0" w:space="0" w:color="auto"/>
        <w:right w:val="none" w:sz="0" w:space="0" w:color="auto"/>
      </w:divBdr>
    </w:div>
    <w:div w:id="1224291020">
      <w:marLeft w:val="0"/>
      <w:marRight w:val="0"/>
      <w:marTop w:val="0"/>
      <w:marBottom w:val="0"/>
      <w:divBdr>
        <w:top w:val="none" w:sz="0" w:space="0" w:color="auto"/>
        <w:left w:val="none" w:sz="0" w:space="0" w:color="auto"/>
        <w:bottom w:val="none" w:sz="0" w:space="0" w:color="auto"/>
        <w:right w:val="none" w:sz="0" w:space="0" w:color="auto"/>
      </w:divBdr>
    </w:div>
    <w:div w:id="1224875665">
      <w:marLeft w:val="0"/>
      <w:marRight w:val="0"/>
      <w:marTop w:val="0"/>
      <w:marBottom w:val="0"/>
      <w:divBdr>
        <w:top w:val="none" w:sz="0" w:space="0" w:color="auto"/>
        <w:left w:val="none" w:sz="0" w:space="0" w:color="auto"/>
        <w:bottom w:val="none" w:sz="0" w:space="0" w:color="auto"/>
        <w:right w:val="none" w:sz="0" w:space="0" w:color="auto"/>
      </w:divBdr>
    </w:div>
    <w:div w:id="1226717584">
      <w:marLeft w:val="0"/>
      <w:marRight w:val="0"/>
      <w:marTop w:val="0"/>
      <w:marBottom w:val="0"/>
      <w:divBdr>
        <w:top w:val="none" w:sz="0" w:space="0" w:color="auto"/>
        <w:left w:val="none" w:sz="0" w:space="0" w:color="auto"/>
        <w:bottom w:val="none" w:sz="0" w:space="0" w:color="auto"/>
        <w:right w:val="none" w:sz="0" w:space="0" w:color="auto"/>
      </w:divBdr>
    </w:div>
    <w:div w:id="1227882970">
      <w:marLeft w:val="0"/>
      <w:marRight w:val="0"/>
      <w:marTop w:val="0"/>
      <w:marBottom w:val="0"/>
      <w:divBdr>
        <w:top w:val="none" w:sz="0" w:space="0" w:color="auto"/>
        <w:left w:val="none" w:sz="0" w:space="0" w:color="auto"/>
        <w:bottom w:val="none" w:sz="0" w:space="0" w:color="auto"/>
        <w:right w:val="none" w:sz="0" w:space="0" w:color="auto"/>
      </w:divBdr>
    </w:div>
    <w:div w:id="1231765233">
      <w:marLeft w:val="0"/>
      <w:marRight w:val="0"/>
      <w:marTop w:val="0"/>
      <w:marBottom w:val="0"/>
      <w:divBdr>
        <w:top w:val="none" w:sz="0" w:space="0" w:color="auto"/>
        <w:left w:val="none" w:sz="0" w:space="0" w:color="auto"/>
        <w:bottom w:val="none" w:sz="0" w:space="0" w:color="auto"/>
        <w:right w:val="none" w:sz="0" w:space="0" w:color="auto"/>
      </w:divBdr>
    </w:div>
    <w:div w:id="1237662959">
      <w:marLeft w:val="0"/>
      <w:marRight w:val="0"/>
      <w:marTop w:val="0"/>
      <w:marBottom w:val="0"/>
      <w:divBdr>
        <w:top w:val="none" w:sz="0" w:space="0" w:color="auto"/>
        <w:left w:val="none" w:sz="0" w:space="0" w:color="auto"/>
        <w:bottom w:val="none" w:sz="0" w:space="0" w:color="auto"/>
        <w:right w:val="none" w:sz="0" w:space="0" w:color="auto"/>
      </w:divBdr>
    </w:div>
    <w:div w:id="1244339553">
      <w:marLeft w:val="0"/>
      <w:marRight w:val="0"/>
      <w:marTop w:val="0"/>
      <w:marBottom w:val="0"/>
      <w:divBdr>
        <w:top w:val="none" w:sz="0" w:space="0" w:color="auto"/>
        <w:left w:val="none" w:sz="0" w:space="0" w:color="auto"/>
        <w:bottom w:val="none" w:sz="0" w:space="0" w:color="auto"/>
        <w:right w:val="none" w:sz="0" w:space="0" w:color="auto"/>
      </w:divBdr>
    </w:div>
    <w:div w:id="1244727965">
      <w:marLeft w:val="0"/>
      <w:marRight w:val="0"/>
      <w:marTop w:val="0"/>
      <w:marBottom w:val="0"/>
      <w:divBdr>
        <w:top w:val="none" w:sz="0" w:space="0" w:color="auto"/>
        <w:left w:val="none" w:sz="0" w:space="0" w:color="auto"/>
        <w:bottom w:val="none" w:sz="0" w:space="0" w:color="auto"/>
        <w:right w:val="none" w:sz="0" w:space="0" w:color="auto"/>
      </w:divBdr>
    </w:div>
    <w:div w:id="1246459242">
      <w:marLeft w:val="0"/>
      <w:marRight w:val="0"/>
      <w:marTop w:val="0"/>
      <w:marBottom w:val="0"/>
      <w:divBdr>
        <w:top w:val="none" w:sz="0" w:space="0" w:color="auto"/>
        <w:left w:val="none" w:sz="0" w:space="0" w:color="auto"/>
        <w:bottom w:val="none" w:sz="0" w:space="0" w:color="auto"/>
        <w:right w:val="none" w:sz="0" w:space="0" w:color="auto"/>
      </w:divBdr>
    </w:div>
    <w:div w:id="1247114495">
      <w:marLeft w:val="0"/>
      <w:marRight w:val="0"/>
      <w:marTop w:val="0"/>
      <w:marBottom w:val="0"/>
      <w:divBdr>
        <w:top w:val="none" w:sz="0" w:space="0" w:color="auto"/>
        <w:left w:val="none" w:sz="0" w:space="0" w:color="auto"/>
        <w:bottom w:val="none" w:sz="0" w:space="0" w:color="auto"/>
        <w:right w:val="none" w:sz="0" w:space="0" w:color="auto"/>
      </w:divBdr>
    </w:div>
    <w:div w:id="1249270848">
      <w:marLeft w:val="0"/>
      <w:marRight w:val="0"/>
      <w:marTop w:val="0"/>
      <w:marBottom w:val="0"/>
      <w:divBdr>
        <w:top w:val="none" w:sz="0" w:space="0" w:color="auto"/>
        <w:left w:val="none" w:sz="0" w:space="0" w:color="auto"/>
        <w:bottom w:val="none" w:sz="0" w:space="0" w:color="auto"/>
        <w:right w:val="none" w:sz="0" w:space="0" w:color="auto"/>
      </w:divBdr>
    </w:div>
    <w:div w:id="1249923183">
      <w:marLeft w:val="0"/>
      <w:marRight w:val="0"/>
      <w:marTop w:val="0"/>
      <w:marBottom w:val="0"/>
      <w:divBdr>
        <w:top w:val="none" w:sz="0" w:space="0" w:color="auto"/>
        <w:left w:val="none" w:sz="0" w:space="0" w:color="auto"/>
        <w:bottom w:val="none" w:sz="0" w:space="0" w:color="auto"/>
        <w:right w:val="none" w:sz="0" w:space="0" w:color="auto"/>
      </w:divBdr>
    </w:div>
    <w:div w:id="1252085605">
      <w:marLeft w:val="0"/>
      <w:marRight w:val="0"/>
      <w:marTop w:val="0"/>
      <w:marBottom w:val="0"/>
      <w:divBdr>
        <w:top w:val="none" w:sz="0" w:space="0" w:color="auto"/>
        <w:left w:val="none" w:sz="0" w:space="0" w:color="auto"/>
        <w:bottom w:val="none" w:sz="0" w:space="0" w:color="auto"/>
        <w:right w:val="none" w:sz="0" w:space="0" w:color="auto"/>
      </w:divBdr>
    </w:div>
    <w:div w:id="1254700434">
      <w:marLeft w:val="0"/>
      <w:marRight w:val="0"/>
      <w:marTop w:val="0"/>
      <w:marBottom w:val="0"/>
      <w:divBdr>
        <w:top w:val="none" w:sz="0" w:space="0" w:color="auto"/>
        <w:left w:val="none" w:sz="0" w:space="0" w:color="auto"/>
        <w:bottom w:val="none" w:sz="0" w:space="0" w:color="auto"/>
        <w:right w:val="none" w:sz="0" w:space="0" w:color="auto"/>
      </w:divBdr>
    </w:div>
    <w:div w:id="1254824465">
      <w:marLeft w:val="0"/>
      <w:marRight w:val="0"/>
      <w:marTop w:val="0"/>
      <w:marBottom w:val="0"/>
      <w:divBdr>
        <w:top w:val="none" w:sz="0" w:space="0" w:color="auto"/>
        <w:left w:val="none" w:sz="0" w:space="0" w:color="auto"/>
        <w:bottom w:val="none" w:sz="0" w:space="0" w:color="auto"/>
        <w:right w:val="none" w:sz="0" w:space="0" w:color="auto"/>
      </w:divBdr>
    </w:div>
    <w:div w:id="1255743699">
      <w:marLeft w:val="0"/>
      <w:marRight w:val="0"/>
      <w:marTop w:val="0"/>
      <w:marBottom w:val="0"/>
      <w:divBdr>
        <w:top w:val="none" w:sz="0" w:space="0" w:color="auto"/>
        <w:left w:val="none" w:sz="0" w:space="0" w:color="auto"/>
        <w:bottom w:val="none" w:sz="0" w:space="0" w:color="auto"/>
        <w:right w:val="none" w:sz="0" w:space="0" w:color="auto"/>
      </w:divBdr>
    </w:div>
    <w:div w:id="1256399292">
      <w:marLeft w:val="0"/>
      <w:marRight w:val="0"/>
      <w:marTop w:val="0"/>
      <w:marBottom w:val="0"/>
      <w:divBdr>
        <w:top w:val="none" w:sz="0" w:space="0" w:color="auto"/>
        <w:left w:val="none" w:sz="0" w:space="0" w:color="auto"/>
        <w:bottom w:val="none" w:sz="0" w:space="0" w:color="auto"/>
        <w:right w:val="none" w:sz="0" w:space="0" w:color="auto"/>
      </w:divBdr>
    </w:div>
    <w:div w:id="1256400881">
      <w:marLeft w:val="0"/>
      <w:marRight w:val="0"/>
      <w:marTop w:val="0"/>
      <w:marBottom w:val="0"/>
      <w:divBdr>
        <w:top w:val="none" w:sz="0" w:space="0" w:color="auto"/>
        <w:left w:val="none" w:sz="0" w:space="0" w:color="auto"/>
        <w:bottom w:val="none" w:sz="0" w:space="0" w:color="auto"/>
        <w:right w:val="none" w:sz="0" w:space="0" w:color="auto"/>
      </w:divBdr>
    </w:div>
    <w:div w:id="1262495734">
      <w:marLeft w:val="0"/>
      <w:marRight w:val="0"/>
      <w:marTop w:val="0"/>
      <w:marBottom w:val="0"/>
      <w:divBdr>
        <w:top w:val="none" w:sz="0" w:space="0" w:color="auto"/>
        <w:left w:val="none" w:sz="0" w:space="0" w:color="auto"/>
        <w:bottom w:val="none" w:sz="0" w:space="0" w:color="auto"/>
        <w:right w:val="none" w:sz="0" w:space="0" w:color="auto"/>
      </w:divBdr>
    </w:div>
    <w:div w:id="1263101200">
      <w:marLeft w:val="0"/>
      <w:marRight w:val="0"/>
      <w:marTop w:val="0"/>
      <w:marBottom w:val="0"/>
      <w:divBdr>
        <w:top w:val="none" w:sz="0" w:space="0" w:color="auto"/>
        <w:left w:val="none" w:sz="0" w:space="0" w:color="auto"/>
        <w:bottom w:val="none" w:sz="0" w:space="0" w:color="auto"/>
        <w:right w:val="none" w:sz="0" w:space="0" w:color="auto"/>
      </w:divBdr>
    </w:div>
    <w:div w:id="1263999597">
      <w:marLeft w:val="0"/>
      <w:marRight w:val="0"/>
      <w:marTop w:val="0"/>
      <w:marBottom w:val="0"/>
      <w:divBdr>
        <w:top w:val="none" w:sz="0" w:space="0" w:color="auto"/>
        <w:left w:val="none" w:sz="0" w:space="0" w:color="auto"/>
        <w:bottom w:val="none" w:sz="0" w:space="0" w:color="auto"/>
        <w:right w:val="none" w:sz="0" w:space="0" w:color="auto"/>
      </w:divBdr>
    </w:div>
    <w:div w:id="1264730590">
      <w:marLeft w:val="0"/>
      <w:marRight w:val="0"/>
      <w:marTop w:val="0"/>
      <w:marBottom w:val="0"/>
      <w:divBdr>
        <w:top w:val="none" w:sz="0" w:space="0" w:color="auto"/>
        <w:left w:val="none" w:sz="0" w:space="0" w:color="auto"/>
        <w:bottom w:val="none" w:sz="0" w:space="0" w:color="auto"/>
        <w:right w:val="none" w:sz="0" w:space="0" w:color="auto"/>
      </w:divBdr>
    </w:div>
    <w:div w:id="1264848327">
      <w:marLeft w:val="0"/>
      <w:marRight w:val="0"/>
      <w:marTop w:val="0"/>
      <w:marBottom w:val="0"/>
      <w:divBdr>
        <w:top w:val="none" w:sz="0" w:space="0" w:color="auto"/>
        <w:left w:val="none" w:sz="0" w:space="0" w:color="auto"/>
        <w:bottom w:val="none" w:sz="0" w:space="0" w:color="auto"/>
        <w:right w:val="none" w:sz="0" w:space="0" w:color="auto"/>
      </w:divBdr>
    </w:div>
    <w:div w:id="1266769351">
      <w:marLeft w:val="0"/>
      <w:marRight w:val="0"/>
      <w:marTop w:val="0"/>
      <w:marBottom w:val="0"/>
      <w:divBdr>
        <w:top w:val="none" w:sz="0" w:space="0" w:color="auto"/>
        <w:left w:val="none" w:sz="0" w:space="0" w:color="auto"/>
        <w:bottom w:val="none" w:sz="0" w:space="0" w:color="auto"/>
        <w:right w:val="none" w:sz="0" w:space="0" w:color="auto"/>
      </w:divBdr>
    </w:div>
    <w:div w:id="1267687974">
      <w:marLeft w:val="0"/>
      <w:marRight w:val="0"/>
      <w:marTop w:val="0"/>
      <w:marBottom w:val="0"/>
      <w:divBdr>
        <w:top w:val="none" w:sz="0" w:space="0" w:color="auto"/>
        <w:left w:val="none" w:sz="0" w:space="0" w:color="auto"/>
        <w:bottom w:val="none" w:sz="0" w:space="0" w:color="auto"/>
        <w:right w:val="none" w:sz="0" w:space="0" w:color="auto"/>
      </w:divBdr>
    </w:div>
    <w:div w:id="1267691586">
      <w:marLeft w:val="0"/>
      <w:marRight w:val="0"/>
      <w:marTop w:val="0"/>
      <w:marBottom w:val="0"/>
      <w:divBdr>
        <w:top w:val="none" w:sz="0" w:space="0" w:color="auto"/>
        <w:left w:val="none" w:sz="0" w:space="0" w:color="auto"/>
        <w:bottom w:val="none" w:sz="0" w:space="0" w:color="auto"/>
        <w:right w:val="none" w:sz="0" w:space="0" w:color="auto"/>
      </w:divBdr>
    </w:div>
    <w:div w:id="1272392053">
      <w:marLeft w:val="0"/>
      <w:marRight w:val="0"/>
      <w:marTop w:val="60"/>
      <w:marBottom w:val="0"/>
      <w:divBdr>
        <w:top w:val="none" w:sz="0" w:space="0" w:color="auto"/>
        <w:left w:val="none" w:sz="0" w:space="0" w:color="auto"/>
        <w:bottom w:val="none" w:sz="0" w:space="0" w:color="auto"/>
        <w:right w:val="none" w:sz="0" w:space="0" w:color="auto"/>
      </w:divBdr>
    </w:div>
    <w:div w:id="1272398464">
      <w:marLeft w:val="0"/>
      <w:marRight w:val="0"/>
      <w:marTop w:val="0"/>
      <w:marBottom w:val="0"/>
      <w:divBdr>
        <w:top w:val="none" w:sz="0" w:space="0" w:color="auto"/>
        <w:left w:val="none" w:sz="0" w:space="0" w:color="auto"/>
        <w:bottom w:val="none" w:sz="0" w:space="0" w:color="auto"/>
        <w:right w:val="none" w:sz="0" w:space="0" w:color="auto"/>
      </w:divBdr>
    </w:div>
    <w:div w:id="1275014176">
      <w:marLeft w:val="0"/>
      <w:marRight w:val="0"/>
      <w:marTop w:val="0"/>
      <w:marBottom w:val="0"/>
      <w:divBdr>
        <w:top w:val="none" w:sz="0" w:space="0" w:color="auto"/>
        <w:left w:val="none" w:sz="0" w:space="0" w:color="auto"/>
        <w:bottom w:val="none" w:sz="0" w:space="0" w:color="auto"/>
        <w:right w:val="none" w:sz="0" w:space="0" w:color="auto"/>
      </w:divBdr>
    </w:div>
    <w:div w:id="1275285922">
      <w:marLeft w:val="0"/>
      <w:marRight w:val="0"/>
      <w:marTop w:val="0"/>
      <w:marBottom w:val="0"/>
      <w:divBdr>
        <w:top w:val="none" w:sz="0" w:space="0" w:color="auto"/>
        <w:left w:val="none" w:sz="0" w:space="0" w:color="auto"/>
        <w:bottom w:val="none" w:sz="0" w:space="0" w:color="auto"/>
        <w:right w:val="none" w:sz="0" w:space="0" w:color="auto"/>
      </w:divBdr>
    </w:div>
    <w:div w:id="1276251724">
      <w:marLeft w:val="0"/>
      <w:marRight w:val="0"/>
      <w:marTop w:val="0"/>
      <w:marBottom w:val="0"/>
      <w:divBdr>
        <w:top w:val="none" w:sz="0" w:space="0" w:color="auto"/>
        <w:left w:val="none" w:sz="0" w:space="0" w:color="auto"/>
        <w:bottom w:val="none" w:sz="0" w:space="0" w:color="auto"/>
        <w:right w:val="none" w:sz="0" w:space="0" w:color="auto"/>
      </w:divBdr>
    </w:div>
    <w:div w:id="1286697721">
      <w:marLeft w:val="0"/>
      <w:marRight w:val="0"/>
      <w:marTop w:val="0"/>
      <w:marBottom w:val="0"/>
      <w:divBdr>
        <w:top w:val="none" w:sz="0" w:space="0" w:color="auto"/>
        <w:left w:val="none" w:sz="0" w:space="0" w:color="auto"/>
        <w:bottom w:val="none" w:sz="0" w:space="0" w:color="auto"/>
        <w:right w:val="none" w:sz="0" w:space="0" w:color="auto"/>
      </w:divBdr>
    </w:div>
    <w:div w:id="1287203438">
      <w:marLeft w:val="0"/>
      <w:marRight w:val="0"/>
      <w:marTop w:val="0"/>
      <w:marBottom w:val="0"/>
      <w:divBdr>
        <w:top w:val="none" w:sz="0" w:space="0" w:color="auto"/>
        <w:left w:val="none" w:sz="0" w:space="0" w:color="auto"/>
        <w:bottom w:val="none" w:sz="0" w:space="0" w:color="auto"/>
        <w:right w:val="none" w:sz="0" w:space="0" w:color="auto"/>
      </w:divBdr>
    </w:div>
    <w:div w:id="1288199259">
      <w:marLeft w:val="0"/>
      <w:marRight w:val="0"/>
      <w:marTop w:val="0"/>
      <w:marBottom w:val="0"/>
      <w:divBdr>
        <w:top w:val="none" w:sz="0" w:space="0" w:color="auto"/>
        <w:left w:val="none" w:sz="0" w:space="0" w:color="auto"/>
        <w:bottom w:val="none" w:sz="0" w:space="0" w:color="auto"/>
        <w:right w:val="none" w:sz="0" w:space="0" w:color="auto"/>
      </w:divBdr>
    </w:div>
    <w:div w:id="1291285952">
      <w:marLeft w:val="0"/>
      <w:marRight w:val="0"/>
      <w:marTop w:val="0"/>
      <w:marBottom w:val="0"/>
      <w:divBdr>
        <w:top w:val="none" w:sz="0" w:space="0" w:color="auto"/>
        <w:left w:val="none" w:sz="0" w:space="0" w:color="auto"/>
        <w:bottom w:val="none" w:sz="0" w:space="0" w:color="auto"/>
        <w:right w:val="none" w:sz="0" w:space="0" w:color="auto"/>
      </w:divBdr>
    </w:div>
    <w:div w:id="1292125779">
      <w:marLeft w:val="0"/>
      <w:marRight w:val="0"/>
      <w:marTop w:val="0"/>
      <w:marBottom w:val="0"/>
      <w:divBdr>
        <w:top w:val="none" w:sz="0" w:space="0" w:color="auto"/>
        <w:left w:val="none" w:sz="0" w:space="0" w:color="auto"/>
        <w:bottom w:val="none" w:sz="0" w:space="0" w:color="auto"/>
        <w:right w:val="none" w:sz="0" w:space="0" w:color="auto"/>
      </w:divBdr>
    </w:div>
    <w:div w:id="1294674502">
      <w:marLeft w:val="0"/>
      <w:marRight w:val="0"/>
      <w:marTop w:val="0"/>
      <w:marBottom w:val="0"/>
      <w:divBdr>
        <w:top w:val="none" w:sz="0" w:space="0" w:color="auto"/>
        <w:left w:val="none" w:sz="0" w:space="0" w:color="auto"/>
        <w:bottom w:val="none" w:sz="0" w:space="0" w:color="auto"/>
        <w:right w:val="none" w:sz="0" w:space="0" w:color="auto"/>
      </w:divBdr>
    </w:div>
    <w:div w:id="1295142185">
      <w:marLeft w:val="0"/>
      <w:marRight w:val="0"/>
      <w:marTop w:val="0"/>
      <w:marBottom w:val="0"/>
      <w:divBdr>
        <w:top w:val="none" w:sz="0" w:space="0" w:color="auto"/>
        <w:left w:val="none" w:sz="0" w:space="0" w:color="auto"/>
        <w:bottom w:val="none" w:sz="0" w:space="0" w:color="auto"/>
        <w:right w:val="none" w:sz="0" w:space="0" w:color="auto"/>
      </w:divBdr>
    </w:div>
    <w:div w:id="1295215413">
      <w:marLeft w:val="0"/>
      <w:marRight w:val="0"/>
      <w:marTop w:val="0"/>
      <w:marBottom w:val="0"/>
      <w:divBdr>
        <w:top w:val="none" w:sz="0" w:space="0" w:color="auto"/>
        <w:left w:val="none" w:sz="0" w:space="0" w:color="auto"/>
        <w:bottom w:val="none" w:sz="0" w:space="0" w:color="auto"/>
        <w:right w:val="none" w:sz="0" w:space="0" w:color="auto"/>
      </w:divBdr>
    </w:div>
    <w:div w:id="1295529245">
      <w:marLeft w:val="0"/>
      <w:marRight w:val="0"/>
      <w:marTop w:val="0"/>
      <w:marBottom w:val="0"/>
      <w:divBdr>
        <w:top w:val="none" w:sz="0" w:space="0" w:color="auto"/>
        <w:left w:val="none" w:sz="0" w:space="0" w:color="auto"/>
        <w:bottom w:val="none" w:sz="0" w:space="0" w:color="auto"/>
        <w:right w:val="none" w:sz="0" w:space="0" w:color="auto"/>
      </w:divBdr>
      <w:divsChild>
        <w:div w:id="1171483397">
          <w:marLeft w:val="0"/>
          <w:marRight w:val="0"/>
          <w:marTop w:val="0"/>
          <w:marBottom w:val="0"/>
          <w:divBdr>
            <w:top w:val="none" w:sz="0" w:space="0" w:color="auto"/>
            <w:left w:val="none" w:sz="0" w:space="0" w:color="auto"/>
            <w:bottom w:val="none" w:sz="0" w:space="0" w:color="auto"/>
            <w:right w:val="none" w:sz="0" w:space="0" w:color="auto"/>
          </w:divBdr>
        </w:div>
      </w:divsChild>
    </w:div>
    <w:div w:id="1296259096">
      <w:marLeft w:val="0"/>
      <w:marRight w:val="0"/>
      <w:marTop w:val="0"/>
      <w:marBottom w:val="0"/>
      <w:divBdr>
        <w:top w:val="none" w:sz="0" w:space="0" w:color="auto"/>
        <w:left w:val="none" w:sz="0" w:space="0" w:color="auto"/>
        <w:bottom w:val="none" w:sz="0" w:space="0" w:color="auto"/>
        <w:right w:val="none" w:sz="0" w:space="0" w:color="auto"/>
      </w:divBdr>
      <w:divsChild>
        <w:div w:id="1039284694">
          <w:marLeft w:val="0"/>
          <w:marRight w:val="0"/>
          <w:marTop w:val="0"/>
          <w:marBottom w:val="0"/>
          <w:divBdr>
            <w:top w:val="none" w:sz="0" w:space="0" w:color="auto"/>
            <w:left w:val="none" w:sz="0" w:space="0" w:color="auto"/>
            <w:bottom w:val="none" w:sz="0" w:space="0" w:color="auto"/>
            <w:right w:val="none" w:sz="0" w:space="0" w:color="auto"/>
          </w:divBdr>
        </w:div>
      </w:divsChild>
    </w:div>
    <w:div w:id="1296377846">
      <w:marLeft w:val="0"/>
      <w:marRight w:val="0"/>
      <w:marTop w:val="0"/>
      <w:marBottom w:val="0"/>
      <w:divBdr>
        <w:top w:val="none" w:sz="0" w:space="0" w:color="auto"/>
        <w:left w:val="none" w:sz="0" w:space="0" w:color="auto"/>
        <w:bottom w:val="none" w:sz="0" w:space="0" w:color="auto"/>
        <w:right w:val="none" w:sz="0" w:space="0" w:color="auto"/>
      </w:divBdr>
      <w:divsChild>
        <w:div w:id="996036886">
          <w:marLeft w:val="0"/>
          <w:marRight w:val="0"/>
          <w:marTop w:val="0"/>
          <w:marBottom w:val="0"/>
          <w:divBdr>
            <w:top w:val="none" w:sz="0" w:space="0" w:color="auto"/>
            <w:left w:val="none" w:sz="0" w:space="0" w:color="auto"/>
            <w:bottom w:val="none" w:sz="0" w:space="0" w:color="auto"/>
            <w:right w:val="none" w:sz="0" w:space="0" w:color="auto"/>
          </w:divBdr>
        </w:div>
      </w:divsChild>
    </w:div>
    <w:div w:id="1299144124">
      <w:marLeft w:val="0"/>
      <w:marRight w:val="0"/>
      <w:marTop w:val="0"/>
      <w:marBottom w:val="0"/>
      <w:divBdr>
        <w:top w:val="none" w:sz="0" w:space="0" w:color="auto"/>
        <w:left w:val="none" w:sz="0" w:space="0" w:color="auto"/>
        <w:bottom w:val="none" w:sz="0" w:space="0" w:color="auto"/>
        <w:right w:val="none" w:sz="0" w:space="0" w:color="auto"/>
      </w:divBdr>
    </w:div>
    <w:div w:id="1300186933">
      <w:marLeft w:val="0"/>
      <w:marRight w:val="0"/>
      <w:marTop w:val="0"/>
      <w:marBottom w:val="0"/>
      <w:divBdr>
        <w:top w:val="none" w:sz="0" w:space="0" w:color="auto"/>
        <w:left w:val="none" w:sz="0" w:space="0" w:color="auto"/>
        <w:bottom w:val="none" w:sz="0" w:space="0" w:color="auto"/>
        <w:right w:val="none" w:sz="0" w:space="0" w:color="auto"/>
      </w:divBdr>
    </w:div>
    <w:div w:id="1300763804">
      <w:marLeft w:val="0"/>
      <w:marRight w:val="0"/>
      <w:marTop w:val="0"/>
      <w:marBottom w:val="0"/>
      <w:divBdr>
        <w:top w:val="none" w:sz="0" w:space="0" w:color="auto"/>
        <w:left w:val="none" w:sz="0" w:space="0" w:color="auto"/>
        <w:bottom w:val="none" w:sz="0" w:space="0" w:color="auto"/>
        <w:right w:val="none" w:sz="0" w:space="0" w:color="auto"/>
      </w:divBdr>
    </w:div>
    <w:div w:id="1300956977">
      <w:marLeft w:val="0"/>
      <w:marRight w:val="0"/>
      <w:marTop w:val="0"/>
      <w:marBottom w:val="0"/>
      <w:divBdr>
        <w:top w:val="none" w:sz="0" w:space="0" w:color="auto"/>
        <w:left w:val="none" w:sz="0" w:space="0" w:color="auto"/>
        <w:bottom w:val="none" w:sz="0" w:space="0" w:color="auto"/>
        <w:right w:val="none" w:sz="0" w:space="0" w:color="auto"/>
      </w:divBdr>
    </w:div>
    <w:div w:id="1301036490">
      <w:marLeft w:val="0"/>
      <w:marRight w:val="0"/>
      <w:marTop w:val="0"/>
      <w:marBottom w:val="0"/>
      <w:divBdr>
        <w:top w:val="none" w:sz="0" w:space="0" w:color="auto"/>
        <w:left w:val="none" w:sz="0" w:space="0" w:color="auto"/>
        <w:bottom w:val="none" w:sz="0" w:space="0" w:color="auto"/>
        <w:right w:val="none" w:sz="0" w:space="0" w:color="auto"/>
      </w:divBdr>
    </w:div>
    <w:div w:id="1301231535">
      <w:marLeft w:val="0"/>
      <w:marRight w:val="0"/>
      <w:marTop w:val="0"/>
      <w:marBottom w:val="0"/>
      <w:divBdr>
        <w:top w:val="none" w:sz="0" w:space="0" w:color="auto"/>
        <w:left w:val="none" w:sz="0" w:space="0" w:color="auto"/>
        <w:bottom w:val="none" w:sz="0" w:space="0" w:color="auto"/>
        <w:right w:val="none" w:sz="0" w:space="0" w:color="auto"/>
      </w:divBdr>
    </w:div>
    <w:div w:id="1302005619">
      <w:marLeft w:val="0"/>
      <w:marRight w:val="0"/>
      <w:marTop w:val="0"/>
      <w:marBottom w:val="0"/>
      <w:divBdr>
        <w:top w:val="none" w:sz="0" w:space="0" w:color="auto"/>
        <w:left w:val="none" w:sz="0" w:space="0" w:color="auto"/>
        <w:bottom w:val="none" w:sz="0" w:space="0" w:color="auto"/>
        <w:right w:val="none" w:sz="0" w:space="0" w:color="auto"/>
      </w:divBdr>
    </w:div>
    <w:div w:id="1304120508">
      <w:marLeft w:val="0"/>
      <w:marRight w:val="0"/>
      <w:marTop w:val="0"/>
      <w:marBottom w:val="0"/>
      <w:divBdr>
        <w:top w:val="none" w:sz="0" w:space="0" w:color="auto"/>
        <w:left w:val="none" w:sz="0" w:space="0" w:color="auto"/>
        <w:bottom w:val="none" w:sz="0" w:space="0" w:color="auto"/>
        <w:right w:val="none" w:sz="0" w:space="0" w:color="auto"/>
      </w:divBdr>
      <w:divsChild>
        <w:div w:id="2095979764">
          <w:marLeft w:val="0"/>
          <w:marRight w:val="0"/>
          <w:marTop w:val="0"/>
          <w:marBottom w:val="0"/>
          <w:divBdr>
            <w:top w:val="none" w:sz="0" w:space="0" w:color="auto"/>
            <w:left w:val="none" w:sz="0" w:space="0" w:color="auto"/>
            <w:bottom w:val="none" w:sz="0" w:space="0" w:color="auto"/>
            <w:right w:val="none" w:sz="0" w:space="0" w:color="auto"/>
          </w:divBdr>
        </w:div>
        <w:div w:id="1070343398">
          <w:marLeft w:val="0"/>
          <w:marRight w:val="0"/>
          <w:marTop w:val="0"/>
          <w:marBottom w:val="0"/>
          <w:divBdr>
            <w:top w:val="none" w:sz="0" w:space="0" w:color="auto"/>
            <w:left w:val="none" w:sz="0" w:space="0" w:color="auto"/>
            <w:bottom w:val="none" w:sz="0" w:space="0" w:color="auto"/>
            <w:right w:val="none" w:sz="0" w:space="0" w:color="auto"/>
          </w:divBdr>
        </w:div>
      </w:divsChild>
    </w:div>
    <w:div w:id="1305548552">
      <w:marLeft w:val="0"/>
      <w:marRight w:val="0"/>
      <w:marTop w:val="0"/>
      <w:marBottom w:val="0"/>
      <w:divBdr>
        <w:top w:val="none" w:sz="0" w:space="0" w:color="auto"/>
        <w:left w:val="none" w:sz="0" w:space="0" w:color="auto"/>
        <w:bottom w:val="none" w:sz="0" w:space="0" w:color="auto"/>
        <w:right w:val="none" w:sz="0" w:space="0" w:color="auto"/>
      </w:divBdr>
    </w:div>
    <w:div w:id="1308586190">
      <w:marLeft w:val="0"/>
      <w:marRight w:val="0"/>
      <w:marTop w:val="0"/>
      <w:marBottom w:val="0"/>
      <w:divBdr>
        <w:top w:val="none" w:sz="0" w:space="0" w:color="auto"/>
        <w:left w:val="none" w:sz="0" w:space="0" w:color="auto"/>
        <w:bottom w:val="none" w:sz="0" w:space="0" w:color="auto"/>
        <w:right w:val="none" w:sz="0" w:space="0" w:color="auto"/>
      </w:divBdr>
    </w:div>
    <w:div w:id="1315143505">
      <w:marLeft w:val="0"/>
      <w:marRight w:val="0"/>
      <w:marTop w:val="0"/>
      <w:marBottom w:val="0"/>
      <w:divBdr>
        <w:top w:val="none" w:sz="0" w:space="0" w:color="auto"/>
        <w:left w:val="none" w:sz="0" w:space="0" w:color="auto"/>
        <w:bottom w:val="none" w:sz="0" w:space="0" w:color="auto"/>
        <w:right w:val="none" w:sz="0" w:space="0" w:color="auto"/>
      </w:divBdr>
    </w:div>
    <w:div w:id="1315256215">
      <w:marLeft w:val="0"/>
      <w:marRight w:val="0"/>
      <w:marTop w:val="0"/>
      <w:marBottom w:val="0"/>
      <w:divBdr>
        <w:top w:val="none" w:sz="0" w:space="0" w:color="auto"/>
        <w:left w:val="none" w:sz="0" w:space="0" w:color="auto"/>
        <w:bottom w:val="none" w:sz="0" w:space="0" w:color="auto"/>
        <w:right w:val="none" w:sz="0" w:space="0" w:color="auto"/>
      </w:divBdr>
    </w:div>
    <w:div w:id="1317302045">
      <w:marLeft w:val="0"/>
      <w:marRight w:val="0"/>
      <w:marTop w:val="0"/>
      <w:marBottom w:val="0"/>
      <w:divBdr>
        <w:top w:val="none" w:sz="0" w:space="0" w:color="auto"/>
        <w:left w:val="none" w:sz="0" w:space="0" w:color="auto"/>
        <w:bottom w:val="none" w:sz="0" w:space="0" w:color="auto"/>
        <w:right w:val="none" w:sz="0" w:space="0" w:color="auto"/>
      </w:divBdr>
    </w:div>
    <w:div w:id="1321887345">
      <w:marLeft w:val="0"/>
      <w:marRight w:val="0"/>
      <w:marTop w:val="0"/>
      <w:marBottom w:val="0"/>
      <w:divBdr>
        <w:top w:val="none" w:sz="0" w:space="0" w:color="auto"/>
        <w:left w:val="none" w:sz="0" w:space="0" w:color="auto"/>
        <w:bottom w:val="none" w:sz="0" w:space="0" w:color="auto"/>
        <w:right w:val="none" w:sz="0" w:space="0" w:color="auto"/>
      </w:divBdr>
    </w:div>
    <w:div w:id="1323584072">
      <w:marLeft w:val="0"/>
      <w:marRight w:val="0"/>
      <w:marTop w:val="0"/>
      <w:marBottom w:val="0"/>
      <w:divBdr>
        <w:top w:val="none" w:sz="0" w:space="0" w:color="auto"/>
        <w:left w:val="none" w:sz="0" w:space="0" w:color="auto"/>
        <w:bottom w:val="none" w:sz="0" w:space="0" w:color="auto"/>
        <w:right w:val="none" w:sz="0" w:space="0" w:color="auto"/>
      </w:divBdr>
    </w:div>
    <w:div w:id="1323779520">
      <w:marLeft w:val="0"/>
      <w:marRight w:val="0"/>
      <w:marTop w:val="0"/>
      <w:marBottom w:val="0"/>
      <w:divBdr>
        <w:top w:val="none" w:sz="0" w:space="0" w:color="auto"/>
        <w:left w:val="none" w:sz="0" w:space="0" w:color="auto"/>
        <w:bottom w:val="none" w:sz="0" w:space="0" w:color="auto"/>
        <w:right w:val="none" w:sz="0" w:space="0" w:color="auto"/>
      </w:divBdr>
    </w:div>
    <w:div w:id="1326010836">
      <w:marLeft w:val="0"/>
      <w:marRight w:val="0"/>
      <w:marTop w:val="0"/>
      <w:marBottom w:val="0"/>
      <w:divBdr>
        <w:top w:val="none" w:sz="0" w:space="0" w:color="auto"/>
        <w:left w:val="none" w:sz="0" w:space="0" w:color="auto"/>
        <w:bottom w:val="none" w:sz="0" w:space="0" w:color="auto"/>
        <w:right w:val="none" w:sz="0" w:space="0" w:color="auto"/>
      </w:divBdr>
    </w:div>
    <w:div w:id="1330869676">
      <w:marLeft w:val="0"/>
      <w:marRight w:val="0"/>
      <w:marTop w:val="0"/>
      <w:marBottom w:val="0"/>
      <w:divBdr>
        <w:top w:val="none" w:sz="0" w:space="0" w:color="auto"/>
        <w:left w:val="none" w:sz="0" w:space="0" w:color="auto"/>
        <w:bottom w:val="none" w:sz="0" w:space="0" w:color="auto"/>
        <w:right w:val="none" w:sz="0" w:space="0" w:color="auto"/>
      </w:divBdr>
    </w:div>
    <w:div w:id="1331249850">
      <w:marLeft w:val="0"/>
      <w:marRight w:val="0"/>
      <w:marTop w:val="0"/>
      <w:marBottom w:val="0"/>
      <w:divBdr>
        <w:top w:val="none" w:sz="0" w:space="0" w:color="auto"/>
        <w:left w:val="none" w:sz="0" w:space="0" w:color="auto"/>
        <w:bottom w:val="none" w:sz="0" w:space="0" w:color="auto"/>
        <w:right w:val="none" w:sz="0" w:space="0" w:color="auto"/>
      </w:divBdr>
    </w:div>
    <w:div w:id="1334800261">
      <w:marLeft w:val="0"/>
      <w:marRight w:val="0"/>
      <w:marTop w:val="0"/>
      <w:marBottom w:val="0"/>
      <w:divBdr>
        <w:top w:val="none" w:sz="0" w:space="0" w:color="auto"/>
        <w:left w:val="none" w:sz="0" w:space="0" w:color="auto"/>
        <w:bottom w:val="none" w:sz="0" w:space="0" w:color="auto"/>
        <w:right w:val="none" w:sz="0" w:space="0" w:color="auto"/>
      </w:divBdr>
    </w:div>
    <w:div w:id="1341004279">
      <w:marLeft w:val="0"/>
      <w:marRight w:val="0"/>
      <w:marTop w:val="0"/>
      <w:marBottom w:val="0"/>
      <w:divBdr>
        <w:top w:val="none" w:sz="0" w:space="0" w:color="auto"/>
        <w:left w:val="none" w:sz="0" w:space="0" w:color="auto"/>
        <w:bottom w:val="none" w:sz="0" w:space="0" w:color="auto"/>
        <w:right w:val="none" w:sz="0" w:space="0" w:color="auto"/>
      </w:divBdr>
    </w:div>
    <w:div w:id="1342125490">
      <w:marLeft w:val="0"/>
      <w:marRight w:val="0"/>
      <w:marTop w:val="0"/>
      <w:marBottom w:val="0"/>
      <w:divBdr>
        <w:top w:val="none" w:sz="0" w:space="0" w:color="auto"/>
        <w:left w:val="none" w:sz="0" w:space="0" w:color="auto"/>
        <w:bottom w:val="none" w:sz="0" w:space="0" w:color="auto"/>
        <w:right w:val="none" w:sz="0" w:space="0" w:color="auto"/>
      </w:divBdr>
    </w:div>
    <w:div w:id="1345128560">
      <w:marLeft w:val="0"/>
      <w:marRight w:val="0"/>
      <w:marTop w:val="0"/>
      <w:marBottom w:val="0"/>
      <w:divBdr>
        <w:top w:val="none" w:sz="0" w:space="0" w:color="auto"/>
        <w:left w:val="none" w:sz="0" w:space="0" w:color="auto"/>
        <w:bottom w:val="none" w:sz="0" w:space="0" w:color="auto"/>
        <w:right w:val="none" w:sz="0" w:space="0" w:color="auto"/>
      </w:divBdr>
    </w:div>
    <w:div w:id="1345131010">
      <w:marLeft w:val="0"/>
      <w:marRight w:val="0"/>
      <w:marTop w:val="0"/>
      <w:marBottom w:val="0"/>
      <w:divBdr>
        <w:top w:val="none" w:sz="0" w:space="0" w:color="auto"/>
        <w:left w:val="none" w:sz="0" w:space="0" w:color="auto"/>
        <w:bottom w:val="none" w:sz="0" w:space="0" w:color="auto"/>
        <w:right w:val="none" w:sz="0" w:space="0" w:color="auto"/>
      </w:divBdr>
    </w:div>
    <w:div w:id="1347363121">
      <w:marLeft w:val="0"/>
      <w:marRight w:val="0"/>
      <w:marTop w:val="0"/>
      <w:marBottom w:val="0"/>
      <w:divBdr>
        <w:top w:val="none" w:sz="0" w:space="0" w:color="auto"/>
        <w:left w:val="none" w:sz="0" w:space="0" w:color="auto"/>
        <w:bottom w:val="none" w:sz="0" w:space="0" w:color="auto"/>
        <w:right w:val="none" w:sz="0" w:space="0" w:color="auto"/>
      </w:divBdr>
    </w:div>
    <w:div w:id="1352033285">
      <w:marLeft w:val="0"/>
      <w:marRight w:val="0"/>
      <w:marTop w:val="0"/>
      <w:marBottom w:val="0"/>
      <w:divBdr>
        <w:top w:val="none" w:sz="0" w:space="0" w:color="auto"/>
        <w:left w:val="none" w:sz="0" w:space="0" w:color="auto"/>
        <w:bottom w:val="none" w:sz="0" w:space="0" w:color="auto"/>
        <w:right w:val="none" w:sz="0" w:space="0" w:color="auto"/>
      </w:divBdr>
    </w:div>
    <w:div w:id="1356269204">
      <w:marLeft w:val="0"/>
      <w:marRight w:val="0"/>
      <w:marTop w:val="0"/>
      <w:marBottom w:val="0"/>
      <w:divBdr>
        <w:top w:val="none" w:sz="0" w:space="0" w:color="auto"/>
        <w:left w:val="none" w:sz="0" w:space="0" w:color="auto"/>
        <w:bottom w:val="none" w:sz="0" w:space="0" w:color="auto"/>
        <w:right w:val="none" w:sz="0" w:space="0" w:color="auto"/>
      </w:divBdr>
    </w:div>
    <w:div w:id="1357121057">
      <w:marLeft w:val="0"/>
      <w:marRight w:val="0"/>
      <w:marTop w:val="0"/>
      <w:marBottom w:val="0"/>
      <w:divBdr>
        <w:top w:val="none" w:sz="0" w:space="0" w:color="auto"/>
        <w:left w:val="none" w:sz="0" w:space="0" w:color="auto"/>
        <w:bottom w:val="none" w:sz="0" w:space="0" w:color="auto"/>
        <w:right w:val="none" w:sz="0" w:space="0" w:color="auto"/>
      </w:divBdr>
    </w:div>
    <w:div w:id="1360929585">
      <w:marLeft w:val="0"/>
      <w:marRight w:val="0"/>
      <w:marTop w:val="0"/>
      <w:marBottom w:val="0"/>
      <w:divBdr>
        <w:top w:val="none" w:sz="0" w:space="0" w:color="auto"/>
        <w:left w:val="none" w:sz="0" w:space="0" w:color="auto"/>
        <w:bottom w:val="none" w:sz="0" w:space="0" w:color="auto"/>
        <w:right w:val="none" w:sz="0" w:space="0" w:color="auto"/>
      </w:divBdr>
      <w:divsChild>
        <w:div w:id="136993153">
          <w:marLeft w:val="0"/>
          <w:marRight w:val="0"/>
          <w:marTop w:val="0"/>
          <w:marBottom w:val="0"/>
          <w:divBdr>
            <w:top w:val="none" w:sz="0" w:space="0" w:color="auto"/>
            <w:left w:val="none" w:sz="0" w:space="0" w:color="auto"/>
            <w:bottom w:val="none" w:sz="0" w:space="0" w:color="auto"/>
            <w:right w:val="none" w:sz="0" w:space="0" w:color="auto"/>
          </w:divBdr>
        </w:div>
      </w:divsChild>
    </w:div>
    <w:div w:id="1361472339">
      <w:marLeft w:val="0"/>
      <w:marRight w:val="0"/>
      <w:marTop w:val="0"/>
      <w:marBottom w:val="0"/>
      <w:divBdr>
        <w:top w:val="none" w:sz="0" w:space="0" w:color="auto"/>
        <w:left w:val="none" w:sz="0" w:space="0" w:color="auto"/>
        <w:bottom w:val="none" w:sz="0" w:space="0" w:color="auto"/>
        <w:right w:val="none" w:sz="0" w:space="0" w:color="auto"/>
      </w:divBdr>
    </w:div>
    <w:div w:id="1362784401">
      <w:marLeft w:val="0"/>
      <w:marRight w:val="0"/>
      <w:marTop w:val="0"/>
      <w:marBottom w:val="0"/>
      <w:divBdr>
        <w:top w:val="none" w:sz="0" w:space="0" w:color="auto"/>
        <w:left w:val="none" w:sz="0" w:space="0" w:color="auto"/>
        <w:bottom w:val="none" w:sz="0" w:space="0" w:color="auto"/>
        <w:right w:val="none" w:sz="0" w:space="0" w:color="auto"/>
      </w:divBdr>
    </w:div>
    <w:div w:id="1363169310">
      <w:marLeft w:val="0"/>
      <w:marRight w:val="0"/>
      <w:marTop w:val="0"/>
      <w:marBottom w:val="0"/>
      <w:divBdr>
        <w:top w:val="none" w:sz="0" w:space="0" w:color="auto"/>
        <w:left w:val="none" w:sz="0" w:space="0" w:color="auto"/>
        <w:bottom w:val="none" w:sz="0" w:space="0" w:color="auto"/>
        <w:right w:val="none" w:sz="0" w:space="0" w:color="auto"/>
      </w:divBdr>
    </w:div>
    <w:div w:id="1363819160">
      <w:marLeft w:val="0"/>
      <w:marRight w:val="0"/>
      <w:marTop w:val="0"/>
      <w:marBottom w:val="0"/>
      <w:divBdr>
        <w:top w:val="none" w:sz="0" w:space="0" w:color="auto"/>
        <w:left w:val="none" w:sz="0" w:space="0" w:color="auto"/>
        <w:bottom w:val="none" w:sz="0" w:space="0" w:color="auto"/>
        <w:right w:val="none" w:sz="0" w:space="0" w:color="auto"/>
      </w:divBdr>
    </w:div>
    <w:div w:id="1364212837">
      <w:marLeft w:val="0"/>
      <w:marRight w:val="0"/>
      <w:marTop w:val="0"/>
      <w:marBottom w:val="0"/>
      <w:divBdr>
        <w:top w:val="none" w:sz="0" w:space="0" w:color="auto"/>
        <w:left w:val="none" w:sz="0" w:space="0" w:color="auto"/>
        <w:bottom w:val="none" w:sz="0" w:space="0" w:color="auto"/>
        <w:right w:val="none" w:sz="0" w:space="0" w:color="auto"/>
      </w:divBdr>
    </w:div>
    <w:div w:id="1364676470">
      <w:marLeft w:val="0"/>
      <w:marRight w:val="0"/>
      <w:marTop w:val="0"/>
      <w:marBottom w:val="0"/>
      <w:divBdr>
        <w:top w:val="none" w:sz="0" w:space="0" w:color="auto"/>
        <w:left w:val="none" w:sz="0" w:space="0" w:color="auto"/>
        <w:bottom w:val="none" w:sz="0" w:space="0" w:color="auto"/>
        <w:right w:val="none" w:sz="0" w:space="0" w:color="auto"/>
      </w:divBdr>
    </w:div>
    <w:div w:id="1364944109">
      <w:marLeft w:val="0"/>
      <w:marRight w:val="0"/>
      <w:marTop w:val="0"/>
      <w:marBottom w:val="0"/>
      <w:divBdr>
        <w:top w:val="none" w:sz="0" w:space="0" w:color="auto"/>
        <w:left w:val="none" w:sz="0" w:space="0" w:color="auto"/>
        <w:bottom w:val="none" w:sz="0" w:space="0" w:color="auto"/>
        <w:right w:val="none" w:sz="0" w:space="0" w:color="auto"/>
      </w:divBdr>
    </w:div>
    <w:div w:id="1367680451">
      <w:marLeft w:val="0"/>
      <w:marRight w:val="0"/>
      <w:marTop w:val="0"/>
      <w:marBottom w:val="0"/>
      <w:divBdr>
        <w:top w:val="none" w:sz="0" w:space="0" w:color="auto"/>
        <w:left w:val="none" w:sz="0" w:space="0" w:color="auto"/>
        <w:bottom w:val="none" w:sz="0" w:space="0" w:color="auto"/>
        <w:right w:val="none" w:sz="0" w:space="0" w:color="auto"/>
      </w:divBdr>
    </w:div>
    <w:div w:id="1367683703">
      <w:marLeft w:val="0"/>
      <w:marRight w:val="0"/>
      <w:marTop w:val="0"/>
      <w:marBottom w:val="0"/>
      <w:divBdr>
        <w:top w:val="none" w:sz="0" w:space="0" w:color="auto"/>
        <w:left w:val="none" w:sz="0" w:space="0" w:color="auto"/>
        <w:bottom w:val="none" w:sz="0" w:space="0" w:color="auto"/>
        <w:right w:val="none" w:sz="0" w:space="0" w:color="auto"/>
      </w:divBdr>
    </w:div>
    <w:div w:id="1367874697">
      <w:marLeft w:val="0"/>
      <w:marRight w:val="0"/>
      <w:marTop w:val="0"/>
      <w:marBottom w:val="0"/>
      <w:divBdr>
        <w:top w:val="none" w:sz="0" w:space="0" w:color="auto"/>
        <w:left w:val="none" w:sz="0" w:space="0" w:color="auto"/>
        <w:bottom w:val="none" w:sz="0" w:space="0" w:color="auto"/>
        <w:right w:val="none" w:sz="0" w:space="0" w:color="auto"/>
      </w:divBdr>
      <w:divsChild>
        <w:div w:id="150415793">
          <w:marLeft w:val="0"/>
          <w:marRight w:val="0"/>
          <w:marTop w:val="0"/>
          <w:marBottom w:val="0"/>
          <w:divBdr>
            <w:top w:val="none" w:sz="0" w:space="0" w:color="auto"/>
            <w:left w:val="none" w:sz="0" w:space="0" w:color="auto"/>
            <w:bottom w:val="none" w:sz="0" w:space="0" w:color="auto"/>
            <w:right w:val="none" w:sz="0" w:space="0" w:color="auto"/>
          </w:divBdr>
        </w:div>
        <w:div w:id="1867673254">
          <w:marLeft w:val="0"/>
          <w:marRight w:val="0"/>
          <w:marTop w:val="0"/>
          <w:marBottom w:val="0"/>
          <w:divBdr>
            <w:top w:val="none" w:sz="0" w:space="0" w:color="auto"/>
            <w:left w:val="none" w:sz="0" w:space="0" w:color="auto"/>
            <w:bottom w:val="none" w:sz="0" w:space="0" w:color="auto"/>
            <w:right w:val="none" w:sz="0" w:space="0" w:color="auto"/>
          </w:divBdr>
        </w:div>
        <w:div w:id="2056390642">
          <w:marLeft w:val="0"/>
          <w:marRight w:val="0"/>
          <w:marTop w:val="0"/>
          <w:marBottom w:val="0"/>
          <w:divBdr>
            <w:top w:val="none" w:sz="0" w:space="0" w:color="auto"/>
            <w:left w:val="none" w:sz="0" w:space="0" w:color="auto"/>
            <w:bottom w:val="none" w:sz="0" w:space="0" w:color="auto"/>
            <w:right w:val="none" w:sz="0" w:space="0" w:color="auto"/>
          </w:divBdr>
        </w:div>
      </w:divsChild>
    </w:div>
    <w:div w:id="1368485599">
      <w:marLeft w:val="0"/>
      <w:marRight w:val="0"/>
      <w:marTop w:val="0"/>
      <w:marBottom w:val="0"/>
      <w:divBdr>
        <w:top w:val="none" w:sz="0" w:space="0" w:color="auto"/>
        <w:left w:val="none" w:sz="0" w:space="0" w:color="auto"/>
        <w:bottom w:val="none" w:sz="0" w:space="0" w:color="auto"/>
        <w:right w:val="none" w:sz="0" w:space="0" w:color="auto"/>
      </w:divBdr>
      <w:divsChild>
        <w:div w:id="233975274">
          <w:marLeft w:val="0"/>
          <w:marRight w:val="0"/>
          <w:marTop w:val="0"/>
          <w:marBottom w:val="0"/>
          <w:divBdr>
            <w:top w:val="none" w:sz="0" w:space="0" w:color="auto"/>
            <w:left w:val="none" w:sz="0" w:space="0" w:color="auto"/>
            <w:bottom w:val="none" w:sz="0" w:space="0" w:color="auto"/>
            <w:right w:val="none" w:sz="0" w:space="0" w:color="auto"/>
          </w:divBdr>
        </w:div>
        <w:div w:id="1984968124">
          <w:marLeft w:val="0"/>
          <w:marRight w:val="0"/>
          <w:marTop w:val="0"/>
          <w:marBottom w:val="0"/>
          <w:divBdr>
            <w:top w:val="none" w:sz="0" w:space="0" w:color="auto"/>
            <w:left w:val="none" w:sz="0" w:space="0" w:color="auto"/>
            <w:bottom w:val="none" w:sz="0" w:space="0" w:color="auto"/>
            <w:right w:val="none" w:sz="0" w:space="0" w:color="auto"/>
          </w:divBdr>
        </w:div>
        <w:div w:id="2131625706">
          <w:marLeft w:val="0"/>
          <w:marRight w:val="0"/>
          <w:marTop w:val="0"/>
          <w:marBottom w:val="0"/>
          <w:divBdr>
            <w:top w:val="none" w:sz="0" w:space="0" w:color="auto"/>
            <w:left w:val="none" w:sz="0" w:space="0" w:color="auto"/>
            <w:bottom w:val="none" w:sz="0" w:space="0" w:color="auto"/>
            <w:right w:val="none" w:sz="0" w:space="0" w:color="auto"/>
          </w:divBdr>
        </w:div>
        <w:div w:id="1257445382">
          <w:marLeft w:val="0"/>
          <w:marRight w:val="0"/>
          <w:marTop w:val="0"/>
          <w:marBottom w:val="0"/>
          <w:divBdr>
            <w:top w:val="none" w:sz="0" w:space="0" w:color="auto"/>
            <w:left w:val="none" w:sz="0" w:space="0" w:color="auto"/>
            <w:bottom w:val="none" w:sz="0" w:space="0" w:color="auto"/>
            <w:right w:val="none" w:sz="0" w:space="0" w:color="auto"/>
          </w:divBdr>
        </w:div>
        <w:div w:id="1006371232">
          <w:marLeft w:val="0"/>
          <w:marRight w:val="0"/>
          <w:marTop w:val="0"/>
          <w:marBottom w:val="0"/>
          <w:divBdr>
            <w:top w:val="none" w:sz="0" w:space="0" w:color="auto"/>
            <w:left w:val="none" w:sz="0" w:space="0" w:color="auto"/>
            <w:bottom w:val="none" w:sz="0" w:space="0" w:color="auto"/>
            <w:right w:val="none" w:sz="0" w:space="0" w:color="auto"/>
          </w:divBdr>
        </w:div>
        <w:div w:id="1719475536">
          <w:marLeft w:val="0"/>
          <w:marRight w:val="0"/>
          <w:marTop w:val="0"/>
          <w:marBottom w:val="0"/>
          <w:divBdr>
            <w:top w:val="none" w:sz="0" w:space="0" w:color="auto"/>
            <w:left w:val="none" w:sz="0" w:space="0" w:color="auto"/>
            <w:bottom w:val="none" w:sz="0" w:space="0" w:color="auto"/>
            <w:right w:val="none" w:sz="0" w:space="0" w:color="auto"/>
          </w:divBdr>
        </w:div>
        <w:div w:id="62025922">
          <w:marLeft w:val="0"/>
          <w:marRight w:val="0"/>
          <w:marTop w:val="0"/>
          <w:marBottom w:val="0"/>
          <w:divBdr>
            <w:top w:val="none" w:sz="0" w:space="0" w:color="auto"/>
            <w:left w:val="none" w:sz="0" w:space="0" w:color="auto"/>
            <w:bottom w:val="none" w:sz="0" w:space="0" w:color="auto"/>
            <w:right w:val="none" w:sz="0" w:space="0" w:color="auto"/>
          </w:divBdr>
        </w:div>
        <w:div w:id="1502697358">
          <w:marLeft w:val="0"/>
          <w:marRight w:val="0"/>
          <w:marTop w:val="0"/>
          <w:marBottom w:val="0"/>
          <w:divBdr>
            <w:top w:val="none" w:sz="0" w:space="0" w:color="auto"/>
            <w:left w:val="none" w:sz="0" w:space="0" w:color="auto"/>
            <w:bottom w:val="none" w:sz="0" w:space="0" w:color="auto"/>
            <w:right w:val="none" w:sz="0" w:space="0" w:color="auto"/>
          </w:divBdr>
        </w:div>
        <w:div w:id="44182000">
          <w:marLeft w:val="0"/>
          <w:marRight w:val="0"/>
          <w:marTop w:val="0"/>
          <w:marBottom w:val="0"/>
          <w:divBdr>
            <w:top w:val="none" w:sz="0" w:space="0" w:color="auto"/>
            <w:left w:val="none" w:sz="0" w:space="0" w:color="auto"/>
            <w:bottom w:val="none" w:sz="0" w:space="0" w:color="auto"/>
            <w:right w:val="none" w:sz="0" w:space="0" w:color="auto"/>
          </w:divBdr>
        </w:div>
        <w:div w:id="1716271045">
          <w:marLeft w:val="0"/>
          <w:marRight w:val="0"/>
          <w:marTop w:val="0"/>
          <w:marBottom w:val="0"/>
          <w:divBdr>
            <w:top w:val="none" w:sz="0" w:space="0" w:color="auto"/>
            <w:left w:val="none" w:sz="0" w:space="0" w:color="auto"/>
            <w:bottom w:val="none" w:sz="0" w:space="0" w:color="auto"/>
            <w:right w:val="none" w:sz="0" w:space="0" w:color="auto"/>
          </w:divBdr>
        </w:div>
        <w:div w:id="643465080">
          <w:marLeft w:val="0"/>
          <w:marRight w:val="0"/>
          <w:marTop w:val="0"/>
          <w:marBottom w:val="0"/>
          <w:divBdr>
            <w:top w:val="none" w:sz="0" w:space="0" w:color="auto"/>
            <w:left w:val="none" w:sz="0" w:space="0" w:color="auto"/>
            <w:bottom w:val="none" w:sz="0" w:space="0" w:color="auto"/>
            <w:right w:val="none" w:sz="0" w:space="0" w:color="auto"/>
          </w:divBdr>
        </w:div>
        <w:div w:id="1076782766">
          <w:marLeft w:val="0"/>
          <w:marRight w:val="0"/>
          <w:marTop w:val="0"/>
          <w:marBottom w:val="0"/>
          <w:divBdr>
            <w:top w:val="none" w:sz="0" w:space="0" w:color="auto"/>
            <w:left w:val="none" w:sz="0" w:space="0" w:color="auto"/>
            <w:bottom w:val="none" w:sz="0" w:space="0" w:color="auto"/>
            <w:right w:val="none" w:sz="0" w:space="0" w:color="auto"/>
          </w:divBdr>
        </w:div>
        <w:div w:id="1507788976">
          <w:marLeft w:val="0"/>
          <w:marRight w:val="0"/>
          <w:marTop w:val="0"/>
          <w:marBottom w:val="0"/>
          <w:divBdr>
            <w:top w:val="none" w:sz="0" w:space="0" w:color="auto"/>
            <w:left w:val="none" w:sz="0" w:space="0" w:color="auto"/>
            <w:bottom w:val="none" w:sz="0" w:space="0" w:color="auto"/>
            <w:right w:val="none" w:sz="0" w:space="0" w:color="auto"/>
          </w:divBdr>
        </w:div>
        <w:div w:id="1107700238">
          <w:marLeft w:val="0"/>
          <w:marRight w:val="0"/>
          <w:marTop w:val="0"/>
          <w:marBottom w:val="0"/>
          <w:divBdr>
            <w:top w:val="none" w:sz="0" w:space="0" w:color="auto"/>
            <w:left w:val="none" w:sz="0" w:space="0" w:color="auto"/>
            <w:bottom w:val="none" w:sz="0" w:space="0" w:color="auto"/>
            <w:right w:val="none" w:sz="0" w:space="0" w:color="auto"/>
          </w:divBdr>
        </w:div>
        <w:div w:id="1696035611">
          <w:marLeft w:val="0"/>
          <w:marRight w:val="0"/>
          <w:marTop w:val="0"/>
          <w:marBottom w:val="0"/>
          <w:divBdr>
            <w:top w:val="none" w:sz="0" w:space="0" w:color="auto"/>
            <w:left w:val="none" w:sz="0" w:space="0" w:color="auto"/>
            <w:bottom w:val="none" w:sz="0" w:space="0" w:color="auto"/>
            <w:right w:val="none" w:sz="0" w:space="0" w:color="auto"/>
          </w:divBdr>
        </w:div>
      </w:divsChild>
    </w:div>
    <w:div w:id="1370298140">
      <w:marLeft w:val="0"/>
      <w:marRight w:val="0"/>
      <w:marTop w:val="0"/>
      <w:marBottom w:val="0"/>
      <w:divBdr>
        <w:top w:val="none" w:sz="0" w:space="0" w:color="auto"/>
        <w:left w:val="none" w:sz="0" w:space="0" w:color="auto"/>
        <w:bottom w:val="none" w:sz="0" w:space="0" w:color="auto"/>
        <w:right w:val="none" w:sz="0" w:space="0" w:color="auto"/>
      </w:divBdr>
    </w:div>
    <w:div w:id="1370765648">
      <w:marLeft w:val="0"/>
      <w:marRight w:val="0"/>
      <w:marTop w:val="0"/>
      <w:marBottom w:val="0"/>
      <w:divBdr>
        <w:top w:val="none" w:sz="0" w:space="0" w:color="auto"/>
        <w:left w:val="none" w:sz="0" w:space="0" w:color="auto"/>
        <w:bottom w:val="none" w:sz="0" w:space="0" w:color="auto"/>
        <w:right w:val="none" w:sz="0" w:space="0" w:color="auto"/>
      </w:divBdr>
    </w:div>
    <w:div w:id="1371102721">
      <w:marLeft w:val="0"/>
      <w:marRight w:val="0"/>
      <w:marTop w:val="0"/>
      <w:marBottom w:val="0"/>
      <w:divBdr>
        <w:top w:val="none" w:sz="0" w:space="0" w:color="auto"/>
        <w:left w:val="none" w:sz="0" w:space="0" w:color="auto"/>
        <w:bottom w:val="none" w:sz="0" w:space="0" w:color="auto"/>
        <w:right w:val="none" w:sz="0" w:space="0" w:color="auto"/>
      </w:divBdr>
    </w:div>
    <w:div w:id="1371684275">
      <w:marLeft w:val="0"/>
      <w:marRight w:val="0"/>
      <w:marTop w:val="0"/>
      <w:marBottom w:val="0"/>
      <w:divBdr>
        <w:top w:val="none" w:sz="0" w:space="0" w:color="auto"/>
        <w:left w:val="none" w:sz="0" w:space="0" w:color="auto"/>
        <w:bottom w:val="none" w:sz="0" w:space="0" w:color="auto"/>
        <w:right w:val="none" w:sz="0" w:space="0" w:color="auto"/>
      </w:divBdr>
    </w:div>
    <w:div w:id="1373766979">
      <w:marLeft w:val="0"/>
      <w:marRight w:val="0"/>
      <w:marTop w:val="0"/>
      <w:marBottom w:val="0"/>
      <w:divBdr>
        <w:top w:val="none" w:sz="0" w:space="0" w:color="auto"/>
        <w:left w:val="none" w:sz="0" w:space="0" w:color="auto"/>
        <w:bottom w:val="none" w:sz="0" w:space="0" w:color="auto"/>
        <w:right w:val="none" w:sz="0" w:space="0" w:color="auto"/>
      </w:divBdr>
    </w:div>
    <w:div w:id="1375084563">
      <w:marLeft w:val="0"/>
      <w:marRight w:val="0"/>
      <w:marTop w:val="0"/>
      <w:marBottom w:val="120"/>
      <w:divBdr>
        <w:top w:val="none" w:sz="0" w:space="0" w:color="auto"/>
        <w:left w:val="none" w:sz="0" w:space="0" w:color="auto"/>
        <w:bottom w:val="none" w:sz="0" w:space="0" w:color="auto"/>
        <w:right w:val="none" w:sz="0" w:space="0" w:color="auto"/>
      </w:divBdr>
    </w:div>
    <w:div w:id="1377854256">
      <w:marLeft w:val="0"/>
      <w:marRight w:val="0"/>
      <w:marTop w:val="0"/>
      <w:marBottom w:val="0"/>
      <w:divBdr>
        <w:top w:val="none" w:sz="0" w:space="0" w:color="auto"/>
        <w:left w:val="none" w:sz="0" w:space="0" w:color="auto"/>
        <w:bottom w:val="none" w:sz="0" w:space="0" w:color="auto"/>
        <w:right w:val="none" w:sz="0" w:space="0" w:color="auto"/>
      </w:divBdr>
    </w:div>
    <w:div w:id="1379087200">
      <w:marLeft w:val="0"/>
      <w:marRight w:val="0"/>
      <w:marTop w:val="0"/>
      <w:marBottom w:val="0"/>
      <w:divBdr>
        <w:top w:val="none" w:sz="0" w:space="0" w:color="auto"/>
        <w:left w:val="none" w:sz="0" w:space="0" w:color="auto"/>
        <w:bottom w:val="none" w:sz="0" w:space="0" w:color="auto"/>
        <w:right w:val="none" w:sz="0" w:space="0" w:color="auto"/>
      </w:divBdr>
    </w:div>
    <w:div w:id="1380788815">
      <w:marLeft w:val="0"/>
      <w:marRight w:val="0"/>
      <w:marTop w:val="0"/>
      <w:marBottom w:val="0"/>
      <w:divBdr>
        <w:top w:val="none" w:sz="0" w:space="0" w:color="auto"/>
        <w:left w:val="none" w:sz="0" w:space="0" w:color="auto"/>
        <w:bottom w:val="none" w:sz="0" w:space="0" w:color="auto"/>
        <w:right w:val="none" w:sz="0" w:space="0" w:color="auto"/>
      </w:divBdr>
    </w:div>
    <w:div w:id="1385982841">
      <w:marLeft w:val="0"/>
      <w:marRight w:val="0"/>
      <w:marTop w:val="0"/>
      <w:marBottom w:val="0"/>
      <w:divBdr>
        <w:top w:val="none" w:sz="0" w:space="0" w:color="auto"/>
        <w:left w:val="none" w:sz="0" w:space="0" w:color="auto"/>
        <w:bottom w:val="none" w:sz="0" w:space="0" w:color="auto"/>
        <w:right w:val="none" w:sz="0" w:space="0" w:color="auto"/>
      </w:divBdr>
    </w:div>
    <w:div w:id="1389960840">
      <w:marLeft w:val="0"/>
      <w:marRight w:val="0"/>
      <w:marTop w:val="0"/>
      <w:marBottom w:val="0"/>
      <w:divBdr>
        <w:top w:val="none" w:sz="0" w:space="0" w:color="auto"/>
        <w:left w:val="none" w:sz="0" w:space="0" w:color="auto"/>
        <w:bottom w:val="none" w:sz="0" w:space="0" w:color="auto"/>
        <w:right w:val="none" w:sz="0" w:space="0" w:color="auto"/>
      </w:divBdr>
      <w:divsChild>
        <w:div w:id="1017774189">
          <w:marLeft w:val="0"/>
          <w:marRight w:val="0"/>
          <w:marTop w:val="0"/>
          <w:marBottom w:val="0"/>
          <w:divBdr>
            <w:top w:val="none" w:sz="0" w:space="0" w:color="auto"/>
            <w:left w:val="none" w:sz="0" w:space="0" w:color="auto"/>
            <w:bottom w:val="none" w:sz="0" w:space="0" w:color="auto"/>
            <w:right w:val="none" w:sz="0" w:space="0" w:color="auto"/>
          </w:divBdr>
        </w:div>
      </w:divsChild>
    </w:div>
    <w:div w:id="1395078955">
      <w:marLeft w:val="0"/>
      <w:marRight w:val="0"/>
      <w:marTop w:val="0"/>
      <w:marBottom w:val="0"/>
      <w:divBdr>
        <w:top w:val="none" w:sz="0" w:space="0" w:color="auto"/>
        <w:left w:val="none" w:sz="0" w:space="0" w:color="auto"/>
        <w:bottom w:val="none" w:sz="0" w:space="0" w:color="auto"/>
        <w:right w:val="none" w:sz="0" w:space="0" w:color="auto"/>
      </w:divBdr>
    </w:div>
    <w:div w:id="1395153344">
      <w:marLeft w:val="0"/>
      <w:marRight w:val="0"/>
      <w:marTop w:val="0"/>
      <w:marBottom w:val="0"/>
      <w:divBdr>
        <w:top w:val="none" w:sz="0" w:space="0" w:color="auto"/>
        <w:left w:val="none" w:sz="0" w:space="0" w:color="auto"/>
        <w:bottom w:val="none" w:sz="0" w:space="0" w:color="auto"/>
        <w:right w:val="none" w:sz="0" w:space="0" w:color="auto"/>
      </w:divBdr>
    </w:div>
    <w:div w:id="1395197780">
      <w:marLeft w:val="0"/>
      <w:marRight w:val="0"/>
      <w:marTop w:val="0"/>
      <w:marBottom w:val="0"/>
      <w:divBdr>
        <w:top w:val="none" w:sz="0" w:space="0" w:color="auto"/>
        <w:left w:val="none" w:sz="0" w:space="0" w:color="auto"/>
        <w:bottom w:val="none" w:sz="0" w:space="0" w:color="auto"/>
        <w:right w:val="none" w:sz="0" w:space="0" w:color="auto"/>
      </w:divBdr>
    </w:div>
    <w:div w:id="1396970535">
      <w:marLeft w:val="0"/>
      <w:marRight w:val="0"/>
      <w:marTop w:val="0"/>
      <w:marBottom w:val="0"/>
      <w:divBdr>
        <w:top w:val="none" w:sz="0" w:space="0" w:color="auto"/>
        <w:left w:val="none" w:sz="0" w:space="0" w:color="auto"/>
        <w:bottom w:val="none" w:sz="0" w:space="0" w:color="auto"/>
        <w:right w:val="none" w:sz="0" w:space="0" w:color="auto"/>
      </w:divBdr>
    </w:div>
    <w:div w:id="1402437417">
      <w:marLeft w:val="0"/>
      <w:marRight w:val="0"/>
      <w:marTop w:val="0"/>
      <w:marBottom w:val="0"/>
      <w:divBdr>
        <w:top w:val="none" w:sz="0" w:space="0" w:color="auto"/>
        <w:left w:val="none" w:sz="0" w:space="0" w:color="auto"/>
        <w:bottom w:val="none" w:sz="0" w:space="0" w:color="auto"/>
        <w:right w:val="none" w:sz="0" w:space="0" w:color="auto"/>
      </w:divBdr>
    </w:div>
    <w:div w:id="1403914091">
      <w:marLeft w:val="0"/>
      <w:marRight w:val="0"/>
      <w:marTop w:val="0"/>
      <w:marBottom w:val="0"/>
      <w:divBdr>
        <w:top w:val="none" w:sz="0" w:space="0" w:color="auto"/>
        <w:left w:val="none" w:sz="0" w:space="0" w:color="auto"/>
        <w:bottom w:val="none" w:sz="0" w:space="0" w:color="auto"/>
        <w:right w:val="none" w:sz="0" w:space="0" w:color="auto"/>
      </w:divBdr>
    </w:div>
    <w:div w:id="1409114979">
      <w:marLeft w:val="0"/>
      <w:marRight w:val="0"/>
      <w:marTop w:val="0"/>
      <w:marBottom w:val="0"/>
      <w:divBdr>
        <w:top w:val="none" w:sz="0" w:space="0" w:color="auto"/>
        <w:left w:val="none" w:sz="0" w:space="0" w:color="auto"/>
        <w:bottom w:val="none" w:sz="0" w:space="0" w:color="auto"/>
        <w:right w:val="none" w:sz="0" w:space="0" w:color="auto"/>
      </w:divBdr>
    </w:div>
    <w:div w:id="1416437266">
      <w:marLeft w:val="0"/>
      <w:marRight w:val="0"/>
      <w:marTop w:val="0"/>
      <w:marBottom w:val="0"/>
      <w:divBdr>
        <w:top w:val="none" w:sz="0" w:space="0" w:color="auto"/>
        <w:left w:val="none" w:sz="0" w:space="0" w:color="auto"/>
        <w:bottom w:val="none" w:sz="0" w:space="0" w:color="auto"/>
        <w:right w:val="none" w:sz="0" w:space="0" w:color="auto"/>
      </w:divBdr>
    </w:div>
    <w:div w:id="1417094262">
      <w:marLeft w:val="0"/>
      <w:marRight w:val="0"/>
      <w:marTop w:val="0"/>
      <w:marBottom w:val="240"/>
      <w:divBdr>
        <w:top w:val="none" w:sz="0" w:space="0" w:color="auto"/>
        <w:left w:val="none" w:sz="0" w:space="0" w:color="auto"/>
        <w:bottom w:val="none" w:sz="0" w:space="0" w:color="auto"/>
        <w:right w:val="none" w:sz="0" w:space="0" w:color="auto"/>
      </w:divBdr>
      <w:divsChild>
        <w:div w:id="1926646782">
          <w:marLeft w:val="0"/>
          <w:marRight w:val="0"/>
          <w:marTop w:val="0"/>
          <w:marBottom w:val="0"/>
          <w:divBdr>
            <w:top w:val="none" w:sz="0" w:space="0" w:color="auto"/>
            <w:left w:val="none" w:sz="0" w:space="0" w:color="auto"/>
            <w:bottom w:val="none" w:sz="0" w:space="0" w:color="auto"/>
            <w:right w:val="none" w:sz="0" w:space="0" w:color="auto"/>
          </w:divBdr>
        </w:div>
        <w:div w:id="1691179181">
          <w:marLeft w:val="0"/>
          <w:marRight w:val="0"/>
          <w:marTop w:val="0"/>
          <w:marBottom w:val="0"/>
          <w:divBdr>
            <w:top w:val="none" w:sz="0" w:space="0" w:color="auto"/>
            <w:left w:val="none" w:sz="0" w:space="0" w:color="auto"/>
            <w:bottom w:val="none" w:sz="0" w:space="0" w:color="auto"/>
            <w:right w:val="none" w:sz="0" w:space="0" w:color="auto"/>
          </w:divBdr>
        </w:div>
        <w:div w:id="132648435">
          <w:marLeft w:val="0"/>
          <w:marRight w:val="0"/>
          <w:marTop w:val="0"/>
          <w:marBottom w:val="0"/>
          <w:divBdr>
            <w:top w:val="none" w:sz="0" w:space="0" w:color="auto"/>
            <w:left w:val="none" w:sz="0" w:space="0" w:color="auto"/>
            <w:bottom w:val="none" w:sz="0" w:space="0" w:color="auto"/>
            <w:right w:val="none" w:sz="0" w:space="0" w:color="auto"/>
          </w:divBdr>
        </w:div>
      </w:divsChild>
    </w:div>
    <w:div w:id="1417703834">
      <w:marLeft w:val="0"/>
      <w:marRight w:val="0"/>
      <w:marTop w:val="100"/>
      <w:marBottom w:val="0"/>
      <w:divBdr>
        <w:top w:val="none" w:sz="0" w:space="0" w:color="auto"/>
        <w:left w:val="none" w:sz="0" w:space="0" w:color="auto"/>
        <w:bottom w:val="none" w:sz="0" w:space="0" w:color="auto"/>
        <w:right w:val="none" w:sz="0" w:space="0" w:color="auto"/>
      </w:divBdr>
      <w:divsChild>
        <w:div w:id="471408103">
          <w:marLeft w:val="0"/>
          <w:marRight w:val="0"/>
          <w:marTop w:val="0"/>
          <w:marBottom w:val="0"/>
          <w:divBdr>
            <w:top w:val="none" w:sz="0" w:space="0" w:color="auto"/>
            <w:left w:val="none" w:sz="0" w:space="0" w:color="auto"/>
            <w:bottom w:val="none" w:sz="0" w:space="0" w:color="auto"/>
            <w:right w:val="none" w:sz="0" w:space="0" w:color="auto"/>
          </w:divBdr>
        </w:div>
        <w:div w:id="1042945690">
          <w:marLeft w:val="0"/>
          <w:marRight w:val="0"/>
          <w:marTop w:val="0"/>
          <w:marBottom w:val="0"/>
          <w:divBdr>
            <w:top w:val="none" w:sz="0" w:space="0" w:color="auto"/>
            <w:left w:val="none" w:sz="0" w:space="0" w:color="auto"/>
            <w:bottom w:val="none" w:sz="0" w:space="0" w:color="auto"/>
            <w:right w:val="none" w:sz="0" w:space="0" w:color="auto"/>
          </w:divBdr>
        </w:div>
        <w:div w:id="403843622">
          <w:marLeft w:val="0"/>
          <w:marRight w:val="0"/>
          <w:marTop w:val="0"/>
          <w:marBottom w:val="0"/>
          <w:divBdr>
            <w:top w:val="none" w:sz="0" w:space="0" w:color="auto"/>
            <w:left w:val="none" w:sz="0" w:space="0" w:color="auto"/>
            <w:bottom w:val="none" w:sz="0" w:space="0" w:color="auto"/>
            <w:right w:val="none" w:sz="0" w:space="0" w:color="auto"/>
          </w:divBdr>
        </w:div>
        <w:div w:id="2074887601">
          <w:marLeft w:val="0"/>
          <w:marRight w:val="0"/>
          <w:marTop w:val="0"/>
          <w:marBottom w:val="0"/>
          <w:divBdr>
            <w:top w:val="none" w:sz="0" w:space="0" w:color="auto"/>
            <w:left w:val="none" w:sz="0" w:space="0" w:color="auto"/>
            <w:bottom w:val="none" w:sz="0" w:space="0" w:color="auto"/>
            <w:right w:val="none" w:sz="0" w:space="0" w:color="auto"/>
          </w:divBdr>
        </w:div>
      </w:divsChild>
    </w:div>
    <w:div w:id="1417819644">
      <w:marLeft w:val="0"/>
      <w:marRight w:val="0"/>
      <w:marTop w:val="0"/>
      <w:marBottom w:val="0"/>
      <w:divBdr>
        <w:top w:val="none" w:sz="0" w:space="0" w:color="auto"/>
        <w:left w:val="none" w:sz="0" w:space="0" w:color="auto"/>
        <w:bottom w:val="none" w:sz="0" w:space="0" w:color="auto"/>
        <w:right w:val="none" w:sz="0" w:space="0" w:color="auto"/>
      </w:divBdr>
    </w:div>
    <w:div w:id="1418474960">
      <w:marLeft w:val="0"/>
      <w:marRight w:val="0"/>
      <w:marTop w:val="0"/>
      <w:marBottom w:val="0"/>
      <w:divBdr>
        <w:top w:val="none" w:sz="0" w:space="0" w:color="auto"/>
        <w:left w:val="none" w:sz="0" w:space="0" w:color="auto"/>
        <w:bottom w:val="none" w:sz="0" w:space="0" w:color="auto"/>
        <w:right w:val="none" w:sz="0" w:space="0" w:color="auto"/>
      </w:divBdr>
    </w:div>
    <w:div w:id="1423797184">
      <w:marLeft w:val="0"/>
      <w:marRight w:val="0"/>
      <w:marTop w:val="0"/>
      <w:marBottom w:val="0"/>
      <w:divBdr>
        <w:top w:val="none" w:sz="0" w:space="0" w:color="auto"/>
        <w:left w:val="none" w:sz="0" w:space="0" w:color="auto"/>
        <w:bottom w:val="none" w:sz="0" w:space="0" w:color="auto"/>
        <w:right w:val="none" w:sz="0" w:space="0" w:color="auto"/>
      </w:divBdr>
    </w:div>
    <w:div w:id="1424498345">
      <w:marLeft w:val="0"/>
      <w:marRight w:val="0"/>
      <w:marTop w:val="0"/>
      <w:marBottom w:val="0"/>
      <w:divBdr>
        <w:top w:val="none" w:sz="0" w:space="0" w:color="auto"/>
        <w:left w:val="none" w:sz="0" w:space="0" w:color="auto"/>
        <w:bottom w:val="none" w:sz="0" w:space="0" w:color="auto"/>
        <w:right w:val="none" w:sz="0" w:space="0" w:color="auto"/>
      </w:divBdr>
    </w:div>
    <w:div w:id="1425032488">
      <w:marLeft w:val="0"/>
      <w:marRight w:val="0"/>
      <w:marTop w:val="0"/>
      <w:marBottom w:val="0"/>
      <w:divBdr>
        <w:top w:val="none" w:sz="0" w:space="0" w:color="auto"/>
        <w:left w:val="none" w:sz="0" w:space="0" w:color="auto"/>
        <w:bottom w:val="none" w:sz="0" w:space="0" w:color="auto"/>
        <w:right w:val="none" w:sz="0" w:space="0" w:color="auto"/>
      </w:divBdr>
    </w:div>
    <w:div w:id="1428229394">
      <w:marLeft w:val="0"/>
      <w:marRight w:val="0"/>
      <w:marTop w:val="0"/>
      <w:marBottom w:val="0"/>
      <w:divBdr>
        <w:top w:val="none" w:sz="0" w:space="0" w:color="auto"/>
        <w:left w:val="none" w:sz="0" w:space="0" w:color="auto"/>
        <w:bottom w:val="none" w:sz="0" w:space="0" w:color="auto"/>
        <w:right w:val="none" w:sz="0" w:space="0" w:color="auto"/>
      </w:divBdr>
    </w:div>
    <w:div w:id="1431272718">
      <w:marLeft w:val="0"/>
      <w:marRight w:val="0"/>
      <w:marTop w:val="0"/>
      <w:marBottom w:val="0"/>
      <w:divBdr>
        <w:top w:val="none" w:sz="0" w:space="0" w:color="auto"/>
        <w:left w:val="none" w:sz="0" w:space="0" w:color="auto"/>
        <w:bottom w:val="none" w:sz="0" w:space="0" w:color="auto"/>
        <w:right w:val="none" w:sz="0" w:space="0" w:color="auto"/>
      </w:divBdr>
    </w:div>
    <w:div w:id="1431705460">
      <w:marLeft w:val="0"/>
      <w:marRight w:val="0"/>
      <w:marTop w:val="0"/>
      <w:marBottom w:val="0"/>
      <w:divBdr>
        <w:top w:val="none" w:sz="0" w:space="0" w:color="auto"/>
        <w:left w:val="none" w:sz="0" w:space="0" w:color="auto"/>
        <w:bottom w:val="none" w:sz="0" w:space="0" w:color="auto"/>
        <w:right w:val="none" w:sz="0" w:space="0" w:color="auto"/>
      </w:divBdr>
    </w:div>
    <w:div w:id="1431775405">
      <w:marLeft w:val="0"/>
      <w:marRight w:val="0"/>
      <w:marTop w:val="0"/>
      <w:marBottom w:val="0"/>
      <w:divBdr>
        <w:top w:val="none" w:sz="0" w:space="0" w:color="auto"/>
        <w:left w:val="none" w:sz="0" w:space="0" w:color="auto"/>
        <w:bottom w:val="none" w:sz="0" w:space="0" w:color="auto"/>
        <w:right w:val="none" w:sz="0" w:space="0" w:color="auto"/>
      </w:divBdr>
    </w:div>
    <w:div w:id="1431854110">
      <w:marLeft w:val="0"/>
      <w:marRight w:val="0"/>
      <w:marTop w:val="0"/>
      <w:marBottom w:val="0"/>
      <w:divBdr>
        <w:top w:val="none" w:sz="0" w:space="0" w:color="auto"/>
        <w:left w:val="none" w:sz="0" w:space="0" w:color="auto"/>
        <w:bottom w:val="none" w:sz="0" w:space="0" w:color="auto"/>
        <w:right w:val="none" w:sz="0" w:space="0" w:color="auto"/>
      </w:divBdr>
    </w:div>
    <w:div w:id="1431968122">
      <w:marLeft w:val="0"/>
      <w:marRight w:val="0"/>
      <w:marTop w:val="0"/>
      <w:marBottom w:val="0"/>
      <w:divBdr>
        <w:top w:val="none" w:sz="0" w:space="0" w:color="auto"/>
        <w:left w:val="none" w:sz="0" w:space="0" w:color="auto"/>
        <w:bottom w:val="none" w:sz="0" w:space="0" w:color="auto"/>
        <w:right w:val="none" w:sz="0" w:space="0" w:color="auto"/>
      </w:divBdr>
    </w:div>
    <w:div w:id="1432772646">
      <w:marLeft w:val="0"/>
      <w:marRight w:val="0"/>
      <w:marTop w:val="0"/>
      <w:marBottom w:val="0"/>
      <w:divBdr>
        <w:top w:val="none" w:sz="0" w:space="0" w:color="auto"/>
        <w:left w:val="none" w:sz="0" w:space="0" w:color="auto"/>
        <w:bottom w:val="none" w:sz="0" w:space="0" w:color="auto"/>
        <w:right w:val="none" w:sz="0" w:space="0" w:color="auto"/>
      </w:divBdr>
    </w:div>
    <w:div w:id="1436708667">
      <w:marLeft w:val="0"/>
      <w:marRight w:val="0"/>
      <w:marTop w:val="0"/>
      <w:marBottom w:val="0"/>
      <w:divBdr>
        <w:top w:val="none" w:sz="0" w:space="0" w:color="auto"/>
        <w:left w:val="none" w:sz="0" w:space="0" w:color="auto"/>
        <w:bottom w:val="none" w:sz="0" w:space="0" w:color="auto"/>
        <w:right w:val="none" w:sz="0" w:space="0" w:color="auto"/>
      </w:divBdr>
    </w:div>
    <w:div w:id="1437403179">
      <w:marLeft w:val="0"/>
      <w:marRight w:val="0"/>
      <w:marTop w:val="0"/>
      <w:marBottom w:val="0"/>
      <w:divBdr>
        <w:top w:val="none" w:sz="0" w:space="0" w:color="auto"/>
        <w:left w:val="none" w:sz="0" w:space="0" w:color="auto"/>
        <w:bottom w:val="none" w:sz="0" w:space="0" w:color="auto"/>
        <w:right w:val="none" w:sz="0" w:space="0" w:color="auto"/>
      </w:divBdr>
    </w:div>
    <w:div w:id="1438017181">
      <w:marLeft w:val="0"/>
      <w:marRight w:val="0"/>
      <w:marTop w:val="0"/>
      <w:marBottom w:val="0"/>
      <w:divBdr>
        <w:top w:val="none" w:sz="0" w:space="0" w:color="auto"/>
        <w:left w:val="none" w:sz="0" w:space="0" w:color="auto"/>
        <w:bottom w:val="none" w:sz="0" w:space="0" w:color="auto"/>
        <w:right w:val="none" w:sz="0" w:space="0" w:color="auto"/>
      </w:divBdr>
    </w:div>
    <w:div w:id="1443454323">
      <w:marLeft w:val="0"/>
      <w:marRight w:val="0"/>
      <w:marTop w:val="0"/>
      <w:marBottom w:val="0"/>
      <w:divBdr>
        <w:top w:val="none" w:sz="0" w:space="0" w:color="auto"/>
        <w:left w:val="none" w:sz="0" w:space="0" w:color="auto"/>
        <w:bottom w:val="none" w:sz="0" w:space="0" w:color="auto"/>
        <w:right w:val="none" w:sz="0" w:space="0" w:color="auto"/>
      </w:divBdr>
    </w:div>
    <w:div w:id="1444033228">
      <w:marLeft w:val="0"/>
      <w:marRight w:val="0"/>
      <w:marTop w:val="0"/>
      <w:marBottom w:val="0"/>
      <w:divBdr>
        <w:top w:val="none" w:sz="0" w:space="0" w:color="auto"/>
        <w:left w:val="none" w:sz="0" w:space="0" w:color="auto"/>
        <w:bottom w:val="none" w:sz="0" w:space="0" w:color="auto"/>
        <w:right w:val="none" w:sz="0" w:space="0" w:color="auto"/>
      </w:divBdr>
      <w:divsChild>
        <w:div w:id="1491866207">
          <w:marLeft w:val="0"/>
          <w:marRight w:val="0"/>
          <w:marTop w:val="0"/>
          <w:marBottom w:val="0"/>
          <w:divBdr>
            <w:top w:val="none" w:sz="0" w:space="0" w:color="auto"/>
            <w:left w:val="none" w:sz="0" w:space="0" w:color="auto"/>
            <w:bottom w:val="none" w:sz="0" w:space="0" w:color="auto"/>
            <w:right w:val="none" w:sz="0" w:space="0" w:color="auto"/>
          </w:divBdr>
        </w:div>
      </w:divsChild>
    </w:div>
    <w:div w:id="1445035231">
      <w:marLeft w:val="0"/>
      <w:marRight w:val="0"/>
      <w:marTop w:val="0"/>
      <w:marBottom w:val="0"/>
      <w:divBdr>
        <w:top w:val="none" w:sz="0" w:space="0" w:color="auto"/>
        <w:left w:val="none" w:sz="0" w:space="0" w:color="auto"/>
        <w:bottom w:val="none" w:sz="0" w:space="0" w:color="auto"/>
        <w:right w:val="none" w:sz="0" w:space="0" w:color="auto"/>
      </w:divBdr>
    </w:div>
    <w:div w:id="1446924125">
      <w:marLeft w:val="0"/>
      <w:marRight w:val="0"/>
      <w:marTop w:val="0"/>
      <w:marBottom w:val="0"/>
      <w:divBdr>
        <w:top w:val="none" w:sz="0" w:space="0" w:color="auto"/>
        <w:left w:val="none" w:sz="0" w:space="0" w:color="auto"/>
        <w:bottom w:val="none" w:sz="0" w:space="0" w:color="auto"/>
        <w:right w:val="none" w:sz="0" w:space="0" w:color="auto"/>
      </w:divBdr>
    </w:div>
    <w:div w:id="1449273926">
      <w:marLeft w:val="0"/>
      <w:marRight w:val="0"/>
      <w:marTop w:val="0"/>
      <w:marBottom w:val="0"/>
      <w:divBdr>
        <w:top w:val="none" w:sz="0" w:space="0" w:color="auto"/>
        <w:left w:val="none" w:sz="0" w:space="0" w:color="auto"/>
        <w:bottom w:val="none" w:sz="0" w:space="0" w:color="auto"/>
        <w:right w:val="none" w:sz="0" w:space="0" w:color="auto"/>
      </w:divBdr>
    </w:div>
    <w:div w:id="1450079611">
      <w:marLeft w:val="0"/>
      <w:marRight w:val="0"/>
      <w:marTop w:val="0"/>
      <w:marBottom w:val="0"/>
      <w:divBdr>
        <w:top w:val="none" w:sz="0" w:space="0" w:color="auto"/>
        <w:left w:val="none" w:sz="0" w:space="0" w:color="auto"/>
        <w:bottom w:val="none" w:sz="0" w:space="0" w:color="auto"/>
        <w:right w:val="none" w:sz="0" w:space="0" w:color="auto"/>
      </w:divBdr>
    </w:div>
    <w:div w:id="1450511320">
      <w:marLeft w:val="0"/>
      <w:marRight w:val="0"/>
      <w:marTop w:val="0"/>
      <w:marBottom w:val="0"/>
      <w:divBdr>
        <w:top w:val="none" w:sz="0" w:space="0" w:color="auto"/>
        <w:left w:val="none" w:sz="0" w:space="0" w:color="auto"/>
        <w:bottom w:val="none" w:sz="0" w:space="0" w:color="auto"/>
        <w:right w:val="none" w:sz="0" w:space="0" w:color="auto"/>
      </w:divBdr>
      <w:divsChild>
        <w:div w:id="1820999778">
          <w:marLeft w:val="0"/>
          <w:marRight w:val="0"/>
          <w:marTop w:val="0"/>
          <w:marBottom w:val="0"/>
          <w:divBdr>
            <w:top w:val="none" w:sz="0" w:space="0" w:color="auto"/>
            <w:left w:val="none" w:sz="0" w:space="0" w:color="auto"/>
            <w:bottom w:val="none" w:sz="0" w:space="0" w:color="auto"/>
            <w:right w:val="none" w:sz="0" w:space="0" w:color="auto"/>
          </w:divBdr>
        </w:div>
        <w:div w:id="159196002">
          <w:marLeft w:val="0"/>
          <w:marRight w:val="0"/>
          <w:marTop w:val="0"/>
          <w:marBottom w:val="0"/>
          <w:divBdr>
            <w:top w:val="none" w:sz="0" w:space="0" w:color="auto"/>
            <w:left w:val="none" w:sz="0" w:space="0" w:color="auto"/>
            <w:bottom w:val="none" w:sz="0" w:space="0" w:color="auto"/>
            <w:right w:val="none" w:sz="0" w:space="0" w:color="auto"/>
          </w:divBdr>
        </w:div>
        <w:div w:id="94056352">
          <w:marLeft w:val="0"/>
          <w:marRight w:val="0"/>
          <w:marTop w:val="0"/>
          <w:marBottom w:val="0"/>
          <w:divBdr>
            <w:top w:val="none" w:sz="0" w:space="0" w:color="auto"/>
            <w:left w:val="none" w:sz="0" w:space="0" w:color="auto"/>
            <w:bottom w:val="none" w:sz="0" w:space="0" w:color="auto"/>
            <w:right w:val="none" w:sz="0" w:space="0" w:color="auto"/>
          </w:divBdr>
        </w:div>
        <w:div w:id="505903845">
          <w:marLeft w:val="0"/>
          <w:marRight w:val="0"/>
          <w:marTop w:val="0"/>
          <w:marBottom w:val="0"/>
          <w:divBdr>
            <w:top w:val="none" w:sz="0" w:space="0" w:color="auto"/>
            <w:left w:val="none" w:sz="0" w:space="0" w:color="auto"/>
            <w:bottom w:val="none" w:sz="0" w:space="0" w:color="auto"/>
            <w:right w:val="none" w:sz="0" w:space="0" w:color="auto"/>
          </w:divBdr>
        </w:div>
        <w:div w:id="1045301304">
          <w:marLeft w:val="0"/>
          <w:marRight w:val="0"/>
          <w:marTop w:val="0"/>
          <w:marBottom w:val="0"/>
          <w:divBdr>
            <w:top w:val="none" w:sz="0" w:space="0" w:color="auto"/>
            <w:left w:val="none" w:sz="0" w:space="0" w:color="auto"/>
            <w:bottom w:val="none" w:sz="0" w:space="0" w:color="auto"/>
            <w:right w:val="none" w:sz="0" w:space="0" w:color="auto"/>
          </w:divBdr>
        </w:div>
      </w:divsChild>
    </w:div>
    <w:div w:id="1454835034">
      <w:marLeft w:val="0"/>
      <w:marRight w:val="0"/>
      <w:marTop w:val="0"/>
      <w:marBottom w:val="0"/>
      <w:divBdr>
        <w:top w:val="none" w:sz="0" w:space="0" w:color="auto"/>
        <w:left w:val="none" w:sz="0" w:space="0" w:color="auto"/>
        <w:bottom w:val="none" w:sz="0" w:space="0" w:color="auto"/>
        <w:right w:val="none" w:sz="0" w:space="0" w:color="auto"/>
      </w:divBdr>
    </w:div>
    <w:div w:id="1454905756">
      <w:marLeft w:val="0"/>
      <w:marRight w:val="0"/>
      <w:marTop w:val="0"/>
      <w:marBottom w:val="0"/>
      <w:divBdr>
        <w:top w:val="none" w:sz="0" w:space="0" w:color="auto"/>
        <w:left w:val="none" w:sz="0" w:space="0" w:color="auto"/>
        <w:bottom w:val="none" w:sz="0" w:space="0" w:color="auto"/>
        <w:right w:val="none" w:sz="0" w:space="0" w:color="auto"/>
      </w:divBdr>
    </w:div>
    <w:div w:id="1456097631">
      <w:marLeft w:val="0"/>
      <w:marRight w:val="0"/>
      <w:marTop w:val="0"/>
      <w:marBottom w:val="0"/>
      <w:divBdr>
        <w:top w:val="none" w:sz="0" w:space="0" w:color="auto"/>
        <w:left w:val="none" w:sz="0" w:space="0" w:color="auto"/>
        <w:bottom w:val="none" w:sz="0" w:space="0" w:color="auto"/>
        <w:right w:val="none" w:sz="0" w:space="0" w:color="auto"/>
      </w:divBdr>
    </w:div>
    <w:div w:id="1460218331">
      <w:marLeft w:val="0"/>
      <w:marRight w:val="0"/>
      <w:marTop w:val="0"/>
      <w:marBottom w:val="0"/>
      <w:divBdr>
        <w:top w:val="none" w:sz="0" w:space="0" w:color="auto"/>
        <w:left w:val="none" w:sz="0" w:space="0" w:color="auto"/>
        <w:bottom w:val="none" w:sz="0" w:space="0" w:color="auto"/>
        <w:right w:val="none" w:sz="0" w:space="0" w:color="auto"/>
      </w:divBdr>
    </w:div>
    <w:div w:id="1463428027">
      <w:marLeft w:val="0"/>
      <w:marRight w:val="0"/>
      <w:marTop w:val="0"/>
      <w:marBottom w:val="0"/>
      <w:divBdr>
        <w:top w:val="none" w:sz="0" w:space="0" w:color="auto"/>
        <w:left w:val="none" w:sz="0" w:space="0" w:color="auto"/>
        <w:bottom w:val="none" w:sz="0" w:space="0" w:color="auto"/>
        <w:right w:val="none" w:sz="0" w:space="0" w:color="auto"/>
      </w:divBdr>
    </w:div>
    <w:div w:id="1464352896">
      <w:marLeft w:val="0"/>
      <w:marRight w:val="0"/>
      <w:marTop w:val="0"/>
      <w:marBottom w:val="0"/>
      <w:divBdr>
        <w:top w:val="none" w:sz="0" w:space="0" w:color="auto"/>
        <w:left w:val="none" w:sz="0" w:space="0" w:color="auto"/>
        <w:bottom w:val="none" w:sz="0" w:space="0" w:color="auto"/>
        <w:right w:val="none" w:sz="0" w:space="0" w:color="auto"/>
      </w:divBdr>
    </w:div>
    <w:div w:id="1464926486">
      <w:marLeft w:val="0"/>
      <w:marRight w:val="0"/>
      <w:marTop w:val="0"/>
      <w:marBottom w:val="0"/>
      <w:divBdr>
        <w:top w:val="none" w:sz="0" w:space="0" w:color="auto"/>
        <w:left w:val="none" w:sz="0" w:space="0" w:color="auto"/>
        <w:bottom w:val="none" w:sz="0" w:space="0" w:color="auto"/>
        <w:right w:val="none" w:sz="0" w:space="0" w:color="auto"/>
      </w:divBdr>
    </w:div>
    <w:div w:id="1465193113">
      <w:marLeft w:val="0"/>
      <w:marRight w:val="0"/>
      <w:marTop w:val="0"/>
      <w:marBottom w:val="0"/>
      <w:divBdr>
        <w:top w:val="none" w:sz="0" w:space="0" w:color="auto"/>
        <w:left w:val="none" w:sz="0" w:space="0" w:color="auto"/>
        <w:bottom w:val="none" w:sz="0" w:space="0" w:color="auto"/>
        <w:right w:val="none" w:sz="0" w:space="0" w:color="auto"/>
      </w:divBdr>
    </w:div>
    <w:div w:id="1468203456">
      <w:marLeft w:val="0"/>
      <w:marRight w:val="0"/>
      <w:marTop w:val="0"/>
      <w:marBottom w:val="0"/>
      <w:divBdr>
        <w:top w:val="none" w:sz="0" w:space="0" w:color="auto"/>
        <w:left w:val="none" w:sz="0" w:space="0" w:color="auto"/>
        <w:bottom w:val="none" w:sz="0" w:space="0" w:color="auto"/>
        <w:right w:val="none" w:sz="0" w:space="0" w:color="auto"/>
      </w:divBdr>
    </w:div>
    <w:div w:id="1471896009">
      <w:marLeft w:val="0"/>
      <w:marRight w:val="0"/>
      <w:marTop w:val="0"/>
      <w:marBottom w:val="0"/>
      <w:divBdr>
        <w:top w:val="none" w:sz="0" w:space="0" w:color="auto"/>
        <w:left w:val="none" w:sz="0" w:space="0" w:color="auto"/>
        <w:bottom w:val="none" w:sz="0" w:space="0" w:color="auto"/>
        <w:right w:val="none" w:sz="0" w:space="0" w:color="auto"/>
      </w:divBdr>
    </w:div>
    <w:div w:id="1473250772">
      <w:marLeft w:val="0"/>
      <w:marRight w:val="0"/>
      <w:marTop w:val="0"/>
      <w:marBottom w:val="0"/>
      <w:divBdr>
        <w:top w:val="none" w:sz="0" w:space="0" w:color="auto"/>
        <w:left w:val="none" w:sz="0" w:space="0" w:color="auto"/>
        <w:bottom w:val="none" w:sz="0" w:space="0" w:color="auto"/>
        <w:right w:val="none" w:sz="0" w:space="0" w:color="auto"/>
      </w:divBdr>
      <w:divsChild>
        <w:div w:id="1313488512">
          <w:marLeft w:val="0"/>
          <w:marRight w:val="0"/>
          <w:marTop w:val="0"/>
          <w:marBottom w:val="0"/>
          <w:divBdr>
            <w:top w:val="none" w:sz="0" w:space="0" w:color="auto"/>
            <w:left w:val="none" w:sz="0" w:space="0" w:color="auto"/>
            <w:bottom w:val="none" w:sz="0" w:space="0" w:color="auto"/>
            <w:right w:val="none" w:sz="0" w:space="0" w:color="auto"/>
          </w:divBdr>
        </w:div>
      </w:divsChild>
    </w:div>
    <w:div w:id="1476340293">
      <w:marLeft w:val="0"/>
      <w:marRight w:val="0"/>
      <w:marTop w:val="0"/>
      <w:marBottom w:val="0"/>
      <w:divBdr>
        <w:top w:val="none" w:sz="0" w:space="0" w:color="auto"/>
        <w:left w:val="none" w:sz="0" w:space="0" w:color="auto"/>
        <w:bottom w:val="none" w:sz="0" w:space="0" w:color="auto"/>
        <w:right w:val="none" w:sz="0" w:space="0" w:color="auto"/>
      </w:divBdr>
    </w:div>
    <w:div w:id="1476752627">
      <w:marLeft w:val="0"/>
      <w:marRight w:val="0"/>
      <w:marTop w:val="0"/>
      <w:marBottom w:val="0"/>
      <w:divBdr>
        <w:top w:val="none" w:sz="0" w:space="0" w:color="auto"/>
        <w:left w:val="none" w:sz="0" w:space="0" w:color="auto"/>
        <w:bottom w:val="none" w:sz="0" w:space="0" w:color="auto"/>
        <w:right w:val="none" w:sz="0" w:space="0" w:color="auto"/>
      </w:divBdr>
    </w:div>
    <w:div w:id="1477912828">
      <w:marLeft w:val="0"/>
      <w:marRight w:val="0"/>
      <w:marTop w:val="0"/>
      <w:marBottom w:val="0"/>
      <w:divBdr>
        <w:top w:val="none" w:sz="0" w:space="0" w:color="auto"/>
        <w:left w:val="none" w:sz="0" w:space="0" w:color="auto"/>
        <w:bottom w:val="none" w:sz="0" w:space="0" w:color="auto"/>
        <w:right w:val="none" w:sz="0" w:space="0" w:color="auto"/>
      </w:divBdr>
    </w:div>
    <w:div w:id="1482498530">
      <w:marLeft w:val="0"/>
      <w:marRight w:val="0"/>
      <w:marTop w:val="0"/>
      <w:marBottom w:val="0"/>
      <w:divBdr>
        <w:top w:val="none" w:sz="0" w:space="0" w:color="auto"/>
        <w:left w:val="none" w:sz="0" w:space="0" w:color="auto"/>
        <w:bottom w:val="none" w:sz="0" w:space="0" w:color="auto"/>
        <w:right w:val="none" w:sz="0" w:space="0" w:color="auto"/>
      </w:divBdr>
    </w:div>
    <w:div w:id="1485701978">
      <w:marLeft w:val="0"/>
      <w:marRight w:val="0"/>
      <w:marTop w:val="0"/>
      <w:marBottom w:val="0"/>
      <w:divBdr>
        <w:top w:val="none" w:sz="0" w:space="0" w:color="auto"/>
        <w:left w:val="none" w:sz="0" w:space="0" w:color="auto"/>
        <w:bottom w:val="none" w:sz="0" w:space="0" w:color="auto"/>
        <w:right w:val="none" w:sz="0" w:space="0" w:color="auto"/>
      </w:divBdr>
    </w:div>
    <w:div w:id="1487429230">
      <w:marLeft w:val="0"/>
      <w:marRight w:val="0"/>
      <w:marTop w:val="0"/>
      <w:marBottom w:val="0"/>
      <w:divBdr>
        <w:top w:val="none" w:sz="0" w:space="0" w:color="auto"/>
        <w:left w:val="none" w:sz="0" w:space="0" w:color="auto"/>
        <w:bottom w:val="none" w:sz="0" w:space="0" w:color="auto"/>
        <w:right w:val="none" w:sz="0" w:space="0" w:color="auto"/>
      </w:divBdr>
      <w:divsChild>
        <w:div w:id="950236894">
          <w:marLeft w:val="0"/>
          <w:marRight w:val="0"/>
          <w:marTop w:val="0"/>
          <w:marBottom w:val="0"/>
          <w:divBdr>
            <w:top w:val="none" w:sz="0" w:space="0" w:color="auto"/>
            <w:left w:val="none" w:sz="0" w:space="0" w:color="auto"/>
            <w:bottom w:val="none" w:sz="0" w:space="0" w:color="auto"/>
            <w:right w:val="none" w:sz="0" w:space="0" w:color="auto"/>
          </w:divBdr>
        </w:div>
      </w:divsChild>
    </w:div>
    <w:div w:id="1489708875">
      <w:marLeft w:val="0"/>
      <w:marRight w:val="0"/>
      <w:marTop w:val="0"/>
      <w:marBottom w:val="0"/>
      <w:divBdr>
        <w:top w:val="none" w:sz="0" w:space="0" w:color="auto"/>
        <w:left w:val="none" w:sz="0" w:space="0" w:color="auto"/>
        <w:bottom w:val="none" w:sz="0" w:space="0" w:color="auto"/>
        <w:right w:val="none" w:sz="0" w:space="0" w:color="auto"/>
      </w:divBdr>
    </w:div>
    <w:div w:id="1489712200">
      <w:marLeft w:val="0"/>
      <w:marRight w:val="0"/>
      <w:marTop w:val="0"/>
      <w:marBottom w:val="0"/>
      <w:divBdr>
        <w:top w:val="none" w:sz="0" w:space="0" w:color="auto"/>
        <w:left w:val="none" w:sz="0" w:space="0" w:color="auto"/>
        <w:bottom w:val="none" w:sz="0" w:space="0" w:color="auto"/>
        <w:right w:val="none" w:sz="0" w:space="0" w:color="auto"/>
      </w:divBdr>
    </w:div>
    <w:div w:id="1490365767">
      <w:marLeft w:val="0"/>
      <w:marRight w:val="0"/>
      <w:marTop w:val="0"/>
      <w:marBottom w:val="0"/>
      <w:divBdr>
        <w:top w:val="none" w:sz="0" w:space="0" w:color="auto"/>
        <w:left w:val="none" w:sz="0" w:space="0" w:color="auto"/>
        <w:bottom w:val="none" w:sz="0" w:space="0" w:color="auto"/>
        <w:right w:val="none" w:sz="0" w:space="0" w:color="auto"/>
      </w:divBdr>
    </w:div>
    <w:div w:id="1490515643">
      <w:marLeft w:val="0"/>
      <w:marRight w:val="0"/>
      <w:marTop w:val="0"/>
      <w:marBottom w:val="0"/>
      <w:divBdr>
        <w:top w:val="none" w:sz="0" w:space="0" w:color="auto"/>
        <w:left w:val="none" w:sz="0" w:space="0" w:color="auto"/>
        <w:bottom w:val="none" w:sz="0" w:space="0" w:color="auto"/>
        <w:right w:val="none" w:sz="0" w:space="0" w:color="auto"/>
      </w:divBdr>
    </w:div>
    <w:div w:id="1494948152">
      <w:marLeft w:val="0"/>
      <w:marRight w:val="0"/>
      <w:marTop w:val="0"/>
      <w:marBottom w:val="0"/>
      <w:divBdr>
        <w:top w:val="none" w:sz="0" w:space="0" w:color="auto"/>
        <w:left w:val="none" w:sz="0" w:space="0" w:color="auto"/>
        <w:bottom w:val="none" w:sz="0" w:space="0" w:color="auto"/>
        <w:right w:val="none" w:sz="0" w:space="0" w:color="auto"/>
      </w:divBdr>
    </w:div>
    <w:div w:id="1501123351">
      <w:marLeft w:val="0"/>
      <w:marRight w:val="0"/>
      <w:marTop w:val="0"/>
      <w:marBottom w:val="0"/>
      <w:divBdr>
        <w:top w:val="none" w:sz="0" w:space="0" w:color="auto"/>
        <w:left w:val="none" w:sz="0" w:space="0" w:color="auto"/>
        <w:bottom w:val="none" w:sz="0" w:space="0" w:color="auto"/>
        <w:right w:val="none" w:sz="0" w:space="0" w:color="auto"/>
      </w:divBdr>
    </w:div>
    <w:div w:id="1502503345">
      <w:marLeft w:val="0"/>
      <w:marRight w:val="0"/>
      <w:marTop w:val="40"/>
      <w:marBottom w:val="0"/>
      <w:divBdr>
        <w:top w:val="none" w:sz="0" w:space="0" w:color="auto"/>
        <w:left w:val="none" w:sz="0" w:space="0" w:color="auto"/>
        <w:bottom w:val="none" w:sz="0" w:space="0" w:color="auto"/>
        <w:right w:val="none" w:sz="0" w:space="0" w:color="auto"/>
      </w:divBdr>
    </w:div>
    <w:div w:id="1502966165">
      <w:marLeft w:val="0"/>
      <w:marRight w:val="0"/>
      <w:marTop w:val="0"/>
      <w:marBottom w:val="0"/>
      <w:divBdr>
        <w:top w:val="none" w:sz="0" w:space="0" w:color="auto"/>
        <w:left w:val="none" w:sz="0" w:space="0" w:color="auto"/>
        <w:bottom w:val="none" w:sz="0" w:space="0" w:color="auto"/>
        <w:right w:val="none" w:sz="0" w:space="0" w:color="auto"/>
      </w:divBdr>
    </w:div>
    <w:div w:id="1503279827">
      <w:marLeft w:val="0"/>
      <w:marRight w:val="0"/>
      <w:marTop w:val="0"/>
      <w:marBottom w:val="0"/>
      <w:divBdr>
        <w:top w:val="none" w:sz="0" w:space="0" w:color="auto"/>
        <w:left w:val="none" w:sz="0" w:space="0" w:color="auto"/>
        <w:bottom w:val="none" w:sz="0" w:space="0" w:color="auto"/>
        <w:right w:val="none" w:sz="0" w:space="0" w:color="auto"/>
      </w:divBdr>
    </w:div>
    <w:div w:id="1503618087">
      <w:marLeft w:val="0"/>
      <w:marRight w:val="0"/>
      <w:marTop w:val="0"/>
      <w:marBottom w:val="0"/>
      <w:divBdr>
        <w:top w:val="none" w:sz="0" w:space="0" w:color="auto"/>
        <w:left w:val="none" w:sz="0" w:space="0" w:color="auto"/>
        <w:bottom w:val="none" w:sz="0" w:space="0" w:color="auto"/>
        <w:right w:val="none" w:sz="0" w:space="0" w:color="auto"/>
      </w:divBdr>
    </w:div>
    <w:div w:id="1503813179">
      <w:marLeft w:val="0"/>
      <w:marRight w:val="0"/>
      <w:marTop w:val="0"/>
      <w:marBottom w:val="0"/>
      <w:divBdr>
        <w:top w:val="none" w:sz="0" w:space="0" w:color="auto"/>
        <w:left w:val="none" w:sz="0" w:space="0" w:color="auto"/>
        <w:bottom w:val="none" w:sz="0" w:space="0" w:color="auto"/>
        <w:right w:val="none" w:sz="0" w:space="0" w:color="auto"/>
      </w:divBdr>
    </w:div>
    <w:div w:id="1505167813">
      <w:marLeft w:val="0"/>
      <w:marRight w:val="0"/>
      <w:marTop w:val="0"/>
      <w:marBottom w:val="0"/>
      <w:divBdr>
        <w:top w:val="none" w:sz="0" w:space="0" w:color="auto"/>
        <w:left w:val="none" w:sz="0" w:space="0" w:color="auto"/>
        <w:bottom w:val="none" w:sz="0" w:space="0" w:color="auto"/>
        <w:right w:val="none" w:sz="0" w:space="0" w:color="auto"/>
      </w:divBdr>
    </w:div>
    <w:div w:id="1509711364">
      <w:marLeft w:val="0"/>
      <w:marRight w:val="0"/>
      <w:marTop w:val="0"/>
      <w:marBottom w:val="0"/>
      <w:divBdr>
        <w:top w:val="none" w:sz="0" w:space="0" w:color="auto"/>
        <w:left w:val="none" w:sz="0" w:space="0" w:color="auto"/>
        <w:bottom w:val="none" w:sz="0" w:space="0" w:color="auto"/>
        <w:right w:val="none" w:sz="0" w:space="0" w:color="auto"/>
      </w:divBdr>
    </w:div>
    <w:div w:id="1509754582">
      <w:marLeft w:val="0"/>
      <w:marRight w:val="0"/>
      <w:marTop w:val="0"/>
      <w:marBottom w:val="0"/>
      <w:divBdr>
        <w:top w:val="none" w:sz="0" w:space="0" w:color="auto"/>
        <w:left w:val="none" w:sz="0" w:space="0" w:color="auto"/>
        <w:bottom w:val="none" w:sz="0" w:space="0" w:color="auto"/>
        <w:right w:val="none" w:sz="0" w:space="0" w:color="auto"/>
      </w:divBdr>
    </w:div>
    <w:div w:id="1511337840">
      <w:marLeft w:val="0"/>
      <w:marRight w:val="0"/>
      <w:marTop w:val="0"/>
      <w:marBottom w:val="0"/>
      <w:divBdr>
        <w:top w:val="none" w:sz="0" w:space="0" w:color="auto"/>
        <w:left w:val="none" w:sz="0" w:space="0" w:color="auto"/>
        <w:bottom w:val="none" w:sz="0" w:space="0" w:color="auto"/>
        <w:right w:val="none" w:sz="0" w:space="0" w:color="auto"/>
      </w:divBdr>
    </w:div>
    <w:div w:id="1512454818">
      <w:marLeft w:val="0"/>
      <w:marRight w:val="0"/>
      <w:marTop w:val="0"/>
      <w:marBottom w:val="0"/>
      <w:divBdr>
        <w:top w:val="none" w:sz="0" w:space="0" w:color="auto"/>
        <w:left w:val="none" w:sz="0" w:space="0" w:color="auto"/>
        <w:bottom w:val="none" w:sz="0" w:space="0" w:color="auto"/>
        <w:right w:val="none" w:sz="0" w:space="0" w:color="auto"/>
      </w:divBdr>
    </w:div>
    <w:div w:id="1513765964">
      <w:marLeft w:val="0"/>
      <w:marRight w:val="0"/>
      <w:marTop w:val="0"/>
      <w:marBottom w:val="0"/>
      <w:divBdr>
        <w:top w:val="none" w:sz="0" w:space="0" w:color="auto"/>
        <w:left w:val="none" w:sz="0" w:space="0" w:color="auto"/>
        <w:bottom w:val="none" w:sz="0" w:space="0" w:color="auto"/>
        <w:right w:val="none" w:sz="0" w:space="0" w:color="auto"/>
      </w:divBdr>
    </w:div>
    <w:div w:id="1515151479">
      <w:marLeft w:val="0"/>
      <w:marRight w:val="0"/>
      <w:marTop w:val="0"/>
      <w:marBottom w:val="0"/>
      <w:divBdr>
        <w:top w:val="none" w:sz="0" w:space="0" w:color="auto"/>
        <w:left w:val="none" w:sz="0" w:space="0" w:color="auto"/>
        <w:bottom w:val="none" w:sz="0" w:space="0" w:color="auto"/>
        <w:right w:val="none" w:sz="0" w:space="0" w:color="auto"/>
      </w:divBdr>
      <w:divsChild>
        <w:div w:id="442189987">
          <w:marLeft w:val="0"/>
          <w:marRight w:val="0"/>
          <w:marTop w:val="0"/>
          <w:marBottom w:val="0"/>
          <w:divBdr>
            <w:top w:val="none" w:sz="0" w:space="0" w:color="auto"/>
            <w:left w:val="none" w:sz="0" w:space="0" w:color="auto"/>
            <w:bottom w:val="none" w:sz="0" w:space="0" w:color="auto"/>
            <w:right w:val="none" w:sz="0" w:space="0" w:color="auto"/>
          </w:divBdr>
        </w:div>
        <w:div w:id="912619037">
          <w:marLeft w:val="0"/>
          <w:marRight w:val="0"/>
          <w:marTop w:val="0"/>
          <w:marBottom w:val="0"/>
          <w:divBdr>
            <w:top w:val="none" w:sz="0" w:space="0" w:color="auto"/>
            <w:left w:val="none" w:sz="0" w:space="0" w:color="auto"/>
            <w:bottom w:val="none" w:sz="0" w:space="0" w:color="auto"/>
            <w:right w:val="none" w:sz="0" w:space="0" w:color="auto"/>
          </w:divBdr>
        </w:div>
        <w:div w:id="1587380220">
          <w:marLeft w:val="0"/>
          <w:marRight w:val="0"/>
          <w:marTop w:val="0"/>
          <w:marBottom w:val="0"/>
          <w:divBdr>
            <w:top w:val="none" w:sz="0" w:space="0" w:color="auto"/>
            <w:left w:val="none" w:sz="0" w:space="0" w:color="auto"/>
            <w:bottom w:val="none" w:sz="0" w:space="0" w:color="auto"/>
            <w:right w:val="none" w:sz="0" w:space="0" w:color="auto"/>
          </w:divBdr>
        </w:div>
        <w:div w:id="447551065">
          <w:marLeft w:val="0"/>
          <w:marRight w:val="0"/>
          <w:marTop w:val="0"/>
          <w:marBottom w:val="0"/>
          <w:divBdr>
            <w:top w:val="none" w:sz="0" w:space="0" w:color="auto"/>
            <w:left w:val="none" w:sz="0" w:space="0" w:color="auto"/>
            <w:bottom w:val="none" w:sz="0" w:space="0" w:color="auto"/>
            <w:right w:val="none" w:sz="0" w:space="0" w:color="auto"/>
          </w:divBdr>
        </w:div>
        <w:div w:id="1429738700">
          <w:marLeft w:val="0"/>
          <w:marRight w:val="0"/>
          <w:marTop w:val="0"/>
          <w:marBottom w:val="0"/>
          <w:divBdr>
            <w:top w:val="none" w:sz="0" w:space="0" w:color="auto"/>
            <w:left w:val="none" w:sz="0" w:space="0" w:color="auto"/>
            <w:bottom w:val="none" w:sz="0" w:space="0" w:color="auto"/>
            <w:right w:val="none" w:sz="0" w:space="0" w:color="auto"/>
          </w:divBdr>
        </w:div>
        <w:div w:id="1639064732">
          <w:marLeft w:val="0"/>
          <w:marRight w:val="0"/>
          <w:marTop w:val="0"/>
          <w:marBottom w:val="0"/>
          <w:divBdr>
            <w:top w:val="none" w:sz="0" w:space="0" w:color="auto"/>
            <w:left w:val="none" w:sz="0" w:space="0" w:color="auto"/>
            <w:bottom w:val="none" w:sz="0" w:space="0" w:color="auto"/>
            <w:right w:val="none" w:sz="0" w:space="0" w:color="auto"/>
          </w:divBdr>
        </w:div>
        <w:div w:id="114718715">
          <w:marLeft w:val="0"/>
          <w:marRight w:val="0"/>
          <w:marTop w:val="0"/>
          <w:marBottom w:val="0"/>
          <w:divBdr>
            <w:top w:val="none" w:sz="0" w:space="0" w:color="auto"/>
            <w:left w:val="none" w:sz="0" w:space="0" w:color="auto"/>
            <w:bottom w:val="none" w:sz="0" w:space="0" w:color="auto"/>
            <w:right w:val="none" w:sz="0" w:space="0" w:color="auto"/>
          </w:divBdr>
        </w:div>
        <w:div w:id="1974478535">
          <w:marLeft w:val="0"/>
          <w:marRight w:val="0"/>
          <w:marTop w:val="0"/>
          <w:marBottom w:val="0"/>
          <w:divBdr>
            <w:top w:val="none" w:sz="0" w:space="0" w:color="auto"/>
            <w:left w:val="none" w:sz="0" w:space="0" w:color="auto"/>
            <w:bottom w:val="none" w:sz="0" w:space="0" w:color="auto"/>
            <w:right w:val="none" w:sz="0" w:space="0" w:color="auto"/>
          </w:divBdr>
        </w:div>
        <w:div w:id="762454981">
          <w:marLeft w:val="0"/>
          <w:marRight w:val="0"/>
          <w:marTop w:val="0"/>
          <w:marBottom w:val="0"/>
          <w:divBdr>
            <w:top w:val="none" w:sz="0" w:space="0" w:color="auto"/>
            <w:left w:val="none" w:sz="0" w:space="0" w:color="auto"/>
            <w:bottom w:val="none" w:sz="0" w:space="0" w:color="auto"/>
            <w:right w:val="none" w:sz="0" w:space="0" w:color="auto"/>
          </w:divBdr>
        </w:div>
        <w:div w:id="1483304906">
          <w:marLeft w:val="0"/>
          <w:marRight w:val="0"/>
          <w:marTop w:val="0"/>
          <w:marBottom w:val="0"/>
          <w:divBdr>
            <w:top w:val="none" w:sz="0" w:space="0" w:color="auto"/>
            <w:left w:val="none" w:sz="0" w:space="0" w:color="auto"/>
            <w:bottom w:val="none" w:sz="0" w:space="0" w:color="auto"/>
            <w:right w:val="none" w:sz="0" w:space="0" w:color="auto"/>
          </w:divBdr>
        </w:div>
        <w:div w:id="875387430">
          <w:marLeft w:val="0"/>
          <w:marRight w:val="0"/>
          <w:marTop w:val="0"/>
          <w:marBottom w:val="0"/>
          <w:divBdr>
            <w:top w:val="none" w:sz="0" w:space="0" w:color="auto"/>
            <w:left w:val="none" w:sz="0" w:space="0" w:color="auto"/>
            <w:bottom w:val="none" w:sz="0" w:space="0" w:color="auto"/>
            <w:right w:val="none" w:sz="0" w:space="0" w:color="auto"/>
          </w:divBdr>
        </w:div>
        <w:div w:id="225721140">
          <w:marLeft w:val="0"/>
          <w:marRight w:val="0"/>
          <w:marTop w:val="0"/>
          <w:marBottom w:val="0"/>
          <w:divBdr>
            <w:top w:val="none" w:sz="0" w:space="0" w:color="auto"/>
            <w:left w:val="none" w:sz="0" w:space="0" w:color="auto"/>
            <w:bottom w:val="none" w:sz="0" w:space="0" w:color="auto"/>
            <w:right w:val="none" w:sz="0" w:space="0" w:color="auto"/>
          </w:divBdr>
        </w:div>
      </w:divsChild>
    </w:div>
    <w:div w:id="1520776222">
      <w:marLeft w:val="0"/>
      <w:marRight w:val="0"/>
      <w:marTop w:val="0"/>
      <w:marBottom w:val="0"/>
      <w:divBdr>
        <w:top w:val="none" w:sz="0" w:space="0" w:color="auto"/>
        <w:left w:val="none" w:sz="0" w:space="0" w:color="auto"/>
        <w:bottom w:val="none" w:sz="0" w:space="0" w:color="auto"/>
        <w:right w:val="none" w:sz="0" w:space="0" w:color="auto"/>
      </w:divBdr>
      <w:divsChild>
        <w:div w:id="578563205">
          <w:marLeft w:val="0"/>
          <w:marRight w:val="0"/>
          <w:marTop w:val="0"/>
          <w:marBottom w:val="0"/>
          <w:divBdr>
            <w:top w:val="none" w:sz="0" w:space="0" w:color="auto"/>
            <w:left w:val="none" w:sz="0" w:space="0" w:color="auto"/>
            <w:bottom w:val="none" w:sz="0" w:space="0" w:color="auto"/>
            <w:right w:val="none" w:sz="0" w:space="0" w:color="auto"/>
          </w:divBdr>
        </w:div>
        <w:div w:id="2035031124">
          <w:marLeft w:val="0"/>
          <w:marRight w:val="0"/>
          <w:marTop w:val="0"/>
          <w:marBottom w:val="0"/>
          <w:divBdr>
            <w:top w:val="none" w:sz="0" w:space="0" w:color="auto"/>
            <w:left w:val="none" w:sz="0" w:space="0" w:color="auto"/>
            <w:bottom w:val="none" w:sz="0" w:space="0" w:color="auto"/>
            <w:right w:val="none" w:sz="0" w:space="0" w:color="auto"/>
          </w:divBdr>
        </w:div>
      </w:divsChild>
    </w:div>
    <w:div w:id="1521163562">
      <w:marLeft w:val="0"/>
      <w:marRight w:val="0"/>
      <w:marTop w:val="0"/>
      <w:marBottom w:val="0"/>
      <w:divBdr>
        <w:top w:val="none" w:sz="0" w:space="0" w:color="auto"/>
        <w:left w:val="none" w:sz="0" w:space="0" w:color="auto"/>
        <w:bottom w:val="none" w:sz="0" w:space="0" w:color="auto"/>
        <w:right w:val="none" w:sz="0" w:space="0" w:color="auto"/>
      </w:divBdr>
    </w:div>
    <w:div w:id="1521355903">
      <w:marLeft w:val="0"/>
      <w:marRight w:val="0"/>
      <w:marTop w:val="0"/>
      <w:marBottom w:val="0"/>
      <w:divBdr>
        <w:top w:val="none" w:sz="0" w:space="0" w:color="auto"/>
        <w:left w:val="none" w:sz="0" w:space="0" w:color="auto"/>
        <w:bottom w:val="none" w:sz="0" w:space="0" w:color="auto"/>
        <w:right w:val="none" w:sz="0" w:space="0" w:color="auto"/>
      </w:divBdr>
    </w:div>
    <w:div w:id="1522012706">
      <w:marLeft w:val="0"/>
      <w:marRight w:val="0"/>
      <w:marTop w:val="0"/>
      <w:marBottom w:val="0"/>
      <w:divBdr>
        <w:top w:val="none" w:sz="0" w:space="0" w:color="auto"/>
        <w:left w:val="none" w:sz="0" w:space="0" w:color="auto"/>
        <w:bottom w:val="none" w:sz="0" w:space="0" w:color="auto"/>
        <w:right w:val="none" w:sz="0" w:space="0" w:color="auto"/>
      </w:divBdr>
    </w:div>
    <w:div w:id="1525629472">
      <w:marLeft w:val="0"/>
      <w:marRight w:val="0"/>
      <w:marTop w:val="0"/>
      <w:marBottom w:val="0"/>
      <w:divBdr>
        <w:top w:val="none" w:sz="0" w:space="0" w:color="auto"/>
        <w:left w:val="none" w:sz="0" w:space="0" w:color="auto"/>
        <w:bottom w:val="none" w:sz="0" w:space="0" w:color="auto"/>
        <w:right w:val="none" w:sz="0" w:space="0" w:color="auto"/>
      </w:divBdr>
    </w:div>
    <w:div w:id="1526947456">
      <w:marLeft w:val="0"/>
      <w:marRight w:val="0"/>
      <w:marTop w:val="0"/>
      <w:marBottom w:val="0"/>
      <w:divBdr>
        <w:top w:val="none" w:sz="0" w:space="0" w:color="auto"/>
        <w:left w:val="none" w:sz="0" w:space="0" w:color="auto"/>
        <w:bottom w:val="none" w:sz="0" w:space="0" w:color="auto"/>
        <w:right w:val="none" w:sz="0" w:space="0" w:color="auto"/>
      </w:divBdr>
    </w:div>
    <w:div w:id="1527596697">
      <w:marLeft w:val="0"/>
      <w:marRight w:val="0"/>
      <w:marTop w:val="0"/>
      <w:marBottom w:val="0"/>
      <w:divBdr>
        <w:top w:val="none" w:sz="0" w:space="0" w:color="auto"/>
        <w:left w:val="none" w:sz="0" w:space="0" w:color="auto"/>
        <w:bottom w:val="none" w:sz="0" w:space="0" w:color="auto"/>
        <w:right w:val="none" w:sz="0" w:space="0" w:color="auto"/>
      </w:divBdr>
    </w:div>
    <w:div w:id="1527793837">
      <w:marLeft w:val="0"/>
      <w:marRight w:val="0"/>
      <w:marTop w:val="0"/>
      <w:marBottom w:val="0"/>
      <w:divBdr>
        <w:top w:val="none" w:sz="0" w:space="0" w:color="auto"/>
        <w:left w:val="none" w:sz="0" w:space="0" w:color="auto"/>
        <w:bottom w:val="none" w:sz="0" w:space="0" w:color="auto"/>
        <w:right w:val="none" w:sz="0" w:space="0" w:color="auto"/>
      </w:divBdr>
    </w:div>
    <w:div w:id="1530101601">
      <w:marLeft w:val="0"/>
      <w:marRight w:val="0"/>
      <w:marTop w:val="0"/>
      <w:marBottom w:val="0"/>
      <w:divBdr>
        <w:top w:val="none" w:sz="0" w:space="0" w:color="auto"/>
        <w:left w:val="none" w:sz="0" w:space="0" w:color="auto"/>
        <w:bottom w:val="none" w:sz="0" w:space="0" w:color="auto"/>
        <w:right w:val="none" w:sz="0" w:space="0" w:color="auto"/>
      </w:divBdr>
      <w:divsChild>
        <w:div w:id="910193457">
          <w:marLeft w:val="0"/>
          <w:marRight w:val="0"/>
          <w:marTop w:val="0"/>
          <w:marBottom w:val="0"/>
          <w:divBdr>
            <w:top w:val="none" w:sz="0" w:space="0" w:color="auto"/>
            <w:left w:val="none" w:sz="0" w:space="0" w:color="auto"/>
            <w:bottom w:val="none" w:sz="0" w:space="0" w:color="auto"/>
            <w:right w:val="none" w:sz="0" w:space="0" w:color="auto"/>
          </w:divBdr>
        </w:div>
      </w:divsChild>
    </w:div>
    <w:div w:id="1535465664">
      <w:marLeft w:val="0"/>
      <w:marRight w:val="0"/>
      <w:marTop w:val="0"/>
      <w:marBottom w:val="0"/>
      <w:divBdr>
        <w:top w:val="none" w:sz="0" w:space="0" w:color="auto"/>
        <w:left w:val="none" w:sz="0" w:space="0" w:color="auto"/>
        <w:bottom w:val="none" w:sz="0" w:space="0" w:color="auto"/>
        <w:right w:val="none" w:sz="0" w:space="0" w:color="auto"/>
      </w:divBdr>
    </w:div>
    <w:div w:id="1538664950">
      <w:marLeft w:val="0"/>
      <w:marRight w:val="0"/>
      <w:marTop w:val="0"/>
      <w:marBottom w:val="0"/>
      <w:divBdr>
        <w:top w:val="none" w:sz="0" w:space="0" w:color="auto"/>
        <w:left w:val="none" w:sz="0" w:space="0" w:color="auto"/>
        <w:bottom w:val="none" w:sz="0" w:space="0" w:color="auto"/>
        <w:right w:val="none" w:sz="0" w:space="0" w:color="auto"/>
      </w:divBdr>
    </w:div>
    <w:div w:id="1538665992">
      <w:marLeft w:val="0"/>
      <w:marRight w:val="0"/>
      <w:marTop w:val="0"/>
      <w:marBottom w:val="0"/>
      <w:divBdr>
        <w:top w:val="none" w:sz="0" w:space="0" w:color="auto"/>
        <w:left w:val="none" w:sz="0" w:space="0" w:color="auto"/>
        <w:bottom w:val="none" w:sz="0" w:space="0" w:color="auto"/>
        <w:right w:val="none" w:sz="0" w:space="0" w:color="auto"/>
      </w:divBdr>
      <w:divsChild>
        <w:div w:id="325016448">
          <w:marLeft w:val="0"/>
          <w:marRight w:val="0"/>
          <w:marTop w:val="0"/>
          <w:marBottom w:val="0"/>
          <w:divBdr>
            <w:top w:val="none" w:sz="0" w:space="0" w:color="auto"/>
            <w:left w:val="none" w:sz="0" w:space="0" w:color="auto"/>
            <w:bottom w:val="none" w:sz="0" w:space="0" w:color="auto"/>
            <w:right w:val="none" w:sz="0" w:space="0" w:color="auto"/>
          </w:divBdr>
        </w:div>
        <w:div w:id="1344740808">
          <w:marLeft w:val="0"/>
          <w:marRight w:val="0"/>
          <w:marTop w:val="0"/>
          <w:marBottom w:val="0"/>
          <w:divBdr>
            <w:top w:val="none" w:sz="0" w:space="0" w:color="auto"/>
            <w:left w:val="none" w:sz="0" w:space="0" w:color="auto"/>
            <w:bottom w:val="none" w:sz="0" w:space="0" w:color="auto"/>
            <w:right w:val="none" w:sz="0" w:space="0" w:color="auto"/>
          </w:divBdr>
        </w:div>
      </w:divsChild>
    </w:div>
    <w:div w:id="1542209473">
      <w:marLeft w:val="0"/>
      <w:marRight w:val="0"/>
      <w:marTop w:val="0"/>
      <w:marBottom w:val="0"/>
      <w:divBdr>
        <w:top w:val="none" w:sz="0" w:space="0" w:color="auto"/>
        <w:left w:val="none" w:sz="0" w:space="0" w:color="auto"/>
        <w:bottom w:val="none" w:sz="0" w:space="0" w:color="auto"/>
        <w:right w:val="none" w:sz="0" w:space="0" w:color="auto"/>
      </w:divBdr>
    </w:div>
    <w:div w:id="1543593532">
      <w:marLeft w:val="0"/>
      <w:marRight w:val="0"/>
      <w:marTop w:val="0"/>
      <w:marBottom w:val="140"/>
      <w:divBdr>
        <w:top w:val="none" w:sz="0" w:space="0" w:color="auto"/>
        <w:left w:val="none" w:sz="0" w:space="0" w:color="auto"/>
        <w:bottom w:val="none" w:sz="0" w:space="0" w:color="auto"/>
        <w:right w:val="none" w:sz="0" w:space="0" w:color="auto"/>
      </w:divBdr>
    </w:div>
    <w:div w:id="1550847755">
      <w:marLeft w:val="0"/>
      <w:marRight w:val="0"/>
      <w:marTop w:val="0"/>
      <w:marBottom w:val="0"/>
      <w:divBdr>
        <w:top w:val="none" w:sz="0" w:space="0" w:color="auto"/>
        <w:left w:val="none" w:sz="0" w:space="0" w:color="auto"/>
        <w:bottom w:val="none" w:sz="0" w:space="0" w:color="auto"/>
        <w:right w:val="none" w:sz="0" w:space="0" w:color="auto"/>
      </w:divBdr>
    </w:div>
    <w:div w:id="1551845391">
      <w:marLeft w:val="0"/>
      <w:marRight w:val="0"/>
      <w:marTop w:val="0"/>
      <w:marBottom w:val="0"/>
      <w:divBdr>
        <w:top w:val="none" w:sz="0" w:space="0" w:color="auto"/>
        <w:left w:val="none" w:sz="0" w:space="0" w:color="auto"/>
        <w:bottom w:val="none" w:sz="0" w:space="0" w:color="auto"/>
        <w:right w:val="none" w:sz="0" w:space="0" w:color="auto"/>
      </w:divBdr>
    </w:div>
    <w:div w:id="1552036581">
      <w:marLeft w:val="0"/>
      <w:marRight w:val="0"/>
      <w:marTop w:val="0"/>
      <w:marBottom w:val="0"/>
      <w:divBdr>
        <w:top w:val="none" w:sz="0" w:space="0" w:color="auto"/>
        <w:left w:val="none" w:sz="0" w:space="0" w:color="auto"/>
        <w:bottom w:val="none" w:sz="0" w:space="0" w:color="auto"/>
        <w:right w:val="none" w:sz="0" w:space="0" w:color="auto"/>
      </w:divBdr>
    </w:div>
    <w:div w:id="1554653594">
      <w:marLeft w:val="0"/>
      <w:marRight w:val="0"/>
      <w:marTop w:val="0"/>
      <w:marBottom w:val="0"/>
      <w:divBdr>
        <w:top w:val="none" w:sz="0" w:space="0" w:color="auto"/>
        <w:left w:val="none" w:sz="0" w:space="0" w:color="auto"/>
        <w:bottom w:val="none" w:sz="0" w:space="0" w:color="auto"/>
        <w:right w:val="none" w:sz="0" w:space="0" w:color="auto"/>
      </w:divBdr>
    </w:div>
    <w:div w:id="1560440770">
      <w:marLeft w:val="0"/>
      <w:marRight w:val="0"/>
      <w:marTop w:val="0"/>
      <w:marBottom w:val="0"/>
      <w:divBdr>
        <w:top w:val="none" w:sz="0" w:space="0" w:color="auto"/>
        <w:left w:val="none" w:sz="0" w:space="0" w:color="auto"/>
        <w:bottom w:val="none" w:sz="0" w:space="0" w:color="auto"/>
        <w:right w:val="none" w:sz="0" w:space="0" w:color="auto"/>
      </w:divBdr>
    </w:div>
    <w:div w:id="1563325039">
      <w:marLeft w:val="0"/>
      <w:marRight w:val="0"/>
      <w:marTop w:val="0"/>
      <w:marBottom w:val="0"/>
      <w:divBdr>
        <w:top w:val="none" w:sz="0" w:space="0" w:color="auto"/>
        <w:left w:val="none" w:sz="0" w:space="0" w:color="auto"/>
        <w:bottom w:val="none" w:sz="0" w:space="0" w:color="auto"/>
        <w:right w:val="none" w:sz="0" w:space="0" w:color="auto"/>
      </w:divBdr>
    </w:div>
    <w:div w:id="1565332251">
      <w:marLeft w:val="0"/>
      <w:marRight w:val="0"/>
      <w:marTop w:val="0"/>
      <w:marBottom w:val="0"/>
      <w:divBdr>
        <w:top w:val="none" w:sz="0" w:space="0" w:color="auto"/>
        <w:left w:val="none" w:sz="0" w:space="0" w:color="auto"/>
        <w:bottom w:val="none" w:sz="0" w:space="0" w:color="auto"/>
        <w:right w:val="none" w:sz="0" w:space="0" w:color="auto"/>
      </w:divBdr>
    </w:div>
    <w:div w:id="1570116303">
      <w:marLeft w:val="0"/>
      <w:marRight w:val="0"/>
      <w:marTop w:val="0"/>
      <w:marBottom w:val="0"/>
      <w:divBdr>
        <w:top w:val="none" w:sz="0" w:space="0" w:color="auto"/>
        <w:left w:val="none" w:sz="0" w:space="0" w:color="auto"/>
        <w:bottom w:val="none" w:sz="0" w:space="0" w:color="auto"/>
        <w:right w:val="none" w:sz="0" w:space="0" w:color="auto"/>
      </w:divBdr>
    </w:div>
    <w:div w:id="1571766955">
      <w:marLeft w:val="0"/>
      <w:marRight w:val="0"/>
      <w:marTop w:val="0"/>
      <w:marBottom w:val="0"/>
      <w:divBdr>
        <w:top w:val="none" w:sz="0" w:space="0" w:color="auto"/>
        <w:left w:val="none" w:sz="0" w:space="0" w:color="auto"/>
        <w:bottom w:val="none" w:sz="0" w:space="0" w:color="auto"/>
        <w:right w:val="none" w:sz="0" w:space="0" w:color="auto"/>
      </w:divBdr>
    </w:div>
    <w:div w:id="1582373570">
      <w:marLeft w:val="0"/>
      <w:marRight w:val="0"/>
      <w:marTop w:val="0"/>
      <w:marBottom w:val="0"/>
      <w:divBdr>
        <w:top w:val="none" w:sz="0" w:space="0" w:color="auto"/>
        <w:left w:val="none" w:sz="0" w:space="0" w:color="auto"/>
        <w:bottom w:val="none" w:sz="0" w:space="0" w:color="auto"/>
        <w:right w:val="none" w:sz="0" w:space="0" w:color="auto"/>
      </w:divBdr>
    </w:div>
    <w:div w:id="1583224335">
      <w:marLeft w:val="0"/>
      <w:marRight w:val="0"/>
      <w:marTop w:val="0"/>
      <w:marBottom w:val="0"/>
      <w:divBdr>
        <w:top w:val="none" w:sz="0" w:space="0" w:color="auto"/>
        <w:left w:val="none" w:sz="0" w:space="0" w:color="auto"/>
        <w:bottom w:val="none" w:sz="0" w:space="0" w:color="auto"/>
        <w:right w:val="none" w:sz="0" w:space="0" w:color="auto"/>
      </w:divBdr>
    </w:div>
    <w:div w:id="1585263545">
      <w:marLeft w:val="0"/>
      <w:marRight w:val="0"/>
      <w:marTop w:val="0"/>
      <w:marBottom w:val="0"/>
      <w:divBdr>
        <w:top w:val="none" w:sz="0" w:space="0" w:color="auto"/>
        <w:left w:val="none" w:sz="0" w:space="0" w:color="auto"/>
        <w:bottom w:val="none" w:sz="0" w:space="0" w:color="auto"/>
        <w:right w:val="none" w:sz="0" w:space="0" w:color="auto"/>
      </w:divBdr>
    </w:div>
    <w:div w:id="1588230181">
      <w:marLeft w:val="0"/>
      <w:marRight w:val="0"/>
      <w:marTop w:val="0"/>
      <w:marBottom w:val="0"/>
      <w:divBdr>
        <w:top w:val="none" w:sz="0" w:space="0" w:color="auto"/>
        <w:left w:val="none" w:sz="0" w:space="0" w:color="auto"/>
        <w:bottom w:val="none" w:sz="0" w:space="0" w:color="auto"/>
        <w:right w:val="none" w:sz="0" w:space="0" w:color="auto"/>
      </w:divBdr>
    </w:div>
    <w:div w:id="1589072302">
      <w:marLeft w:val="0"/>
      <w:marRight w:val="0"/>
      <w:marTop w:val="0"/>
      <w:marBottom w:val="0"/>
      <w:divBdr>
        <w:top w:val="none" w:sz="0" w:space="0" w:color="auto"/>
        <w:left w:val="none" w:sz="0" w:space="0" w:color="auto"/>
        <w:bottom w:val="none" w:sz="0" w:space="0" w:color="auto"/>
        <w:right w:val="none" w:sz="0" w:space="0" w:color="auto"/>
      </w:divBdr>
    </w:div>
    <w:div w:id="1592931383">
      <w:marLeft w:val="0"/>
      <w:marRight w:val="0"/>
      <w:marTop w:val="0"/>
      <w:marBottom w:val="0"/>
      <w:divBdr>
        <w:top w:val="none" w:sz="0" w:space="0" w:color="auto"/>
        <w:left w:val="none" w:sz="0" w:space="0" w:color="auto"/>
        <w:bottom w:val="none" w:sz="0" w:space="0" w:color="auto"/>
        <w:right w:val="none" w:sz="0" w:space="0" w:color="auto"/>
      </w:divBdr>
      <w:divsChild>
        <w:div w:id="1726444468">
          <w:marLeft w:val="0"/>
          <w:marRight w:val="0"/>
          <w:marTop w:val="0"/>
          <w:marBottom w:val="0"/>
          <w:divBdr>
            <w:top w:val="none" w:sz="0" w:space="0" w:color="auto"/>
            <w:left w:val="none" w:sz="0" w:space="0" w:color="auto"/>
            <w:bottom w:val="none" w:sz="0" w:space="0" w:color="auto"/>
            <w:right w:val="none" w:sz="0" w:space="0" w:color="auto"/>
          </w:divBdr>
        </w:div>
      </w:divsChild>
    </w:div>
    <w:div w:id="1593274747">
      <w:marLeft w:val="0"/>
      <w:marRight w:val="0"/>
      <w:marTop w:val="0"/>
      <w:marBottom w:val="0"/>
      <w:divBdr>
        <w:top w:val="none" w:sz="0" w:space="0" w:color="auto"/>
        <w:left w:val="none" w:sz="0" w:space="0" w:color="auto"/>
        <w:bottom w:val="none" w:sz="0" w:space="0" w:color="auto"/>
        <w:right w:val="none" w:sz="0" w:space="0" w:color="auto"/>
      </w:divBdr>
    </w:div>
    <w:div w:id="1596396555">
      <w:marLeft w:val="0"/>
      <w:marRight w:val="0"/>
      <w:marTop w:val="0"/>
      <w:marBottom w:val="0"/>
      <w:divBdr>
        <w:top w:val="none" w:sz="0" w:space="0" w:color="auto"/>
        <w:left w:val="none" w:sz="0" w:space="0" w:color="auto"/>
        <w:bottom w:val="none" w:sz="0" w:space="0" w:color="auto"/>
        <w:right w:val="none" w:sz="0" w:space="0" w:color="auto"/>
      </w:divBdr>
    </w:div>
    <w:div w:id="1596816655">
      <w:marLeft w:val="0"/>
      <w:marRight w:val="0"/>
      <w:marTop w:val="0"/>
      <w:marBottom w:val="0"/>
      <w:divBdr>
        <w:top w:val="none" w:sz="0" w:space="0" w:color="auto"/>
        <w:left w:val="none" w:sz="0" w:space="0" w:color="auto"/>
        <w:bottom w:val="none" w:sz="0" w:space="0" w:color="auto"/>
        <w:right w:val="none" w:sz="0" w:space="0" w:color="auto"/>
      </w:divBdr>
    </w:div>
    <w:div w:id="1602758771">
      <w:marLeft w:val="0"/>
      <w:marRight w:val="0"/>
      <w:marTop w:val="0"/>
      <w:marBottom w:val="0"/>
      <w:divBdr>
        <w:top w:val="none" w:sz="0" w:space="0" w:color="auto"/>
        <w:left w:val="none" w:sz="0" w:space="0" w:color="auto"/>
        <w:bottom w:val="none" w:sz="0" w:space="0" w:color="auto"/>
        <w:right w:val="none" w:sz="0" w:space="0" w:color="auto"/>
      </w:divBdr>
    </w:div>
    <w:div w:id="1602907559">
      <w:marLeft w:val="0"/>
      <w:marRight w:val="0"/>
      <w:marTop w:val="0"/>
      <w:marBottom w:val="0"/>
      <w:divBdr>
        <w:top w:val="none" w:sz="0" w:space="0" w:color="auto"/>
        <w:left w:val="none" w:sz="0" w:space="0" w:color="auto"/>
        <w:bottom w:val="none" w:sz="0" w:space="0" w:color="auto"/>
        <w:right w:val="none" w:sz="0" w:space="0" w:color="auto"/>
      </w:divBdr>
      <w:divsChild>
        <w:div w:id="449276707">
          <w:marLeft w:val="0"/>
          <w:marRight w:val="0"/>
          <w:marTop w:val="0"/>
          <w:marBottom w:val="0"/>
          <w:divBdr>
            <w:top w:val="none" w:sz="0" w:space="0" w:color="auto"/>
            <w:left w:val="none" w:sz="0" w:space="0" w:color="auto"/>
            <w:bottom w:val="none" w:sz="0" w:space="0" w:color="auto"/>
            <w:right w:val="none" w:sz="0" w:space="0" w:color="auto"/>
          </w:divBdr>
        </w:div>
        <w:div w:id="1425954842">
          <w:marLeft w:val="0"/>
          <w:marRight w:val="0"/>
          <w:marTop w:val="0"/>
          <w:marBottom w:val="0"/>
          <w:divBdr>
            <w:top w:val="none" w:sz="0" w:space="0" w:color="auto"/>
            <w:left w:val="none" w:sz="0" w:space="0" w:color="auto"/>
            <w:bottom w:val="none" w:sz="0" w:space="0" w:color="auto"/>
            <w:right w:val="none" w:sz="0" w:space="0" w:color="auto"/>
          </w:divBdr>
        </w:div>
        <w:div w:id="1932542209">
          <w:marLeft w:val="0"/>
          <w:marRight w:val="0"/>
          <w:marTop w:val="0"/>
          <w:marBottom w:val="0"/>
          <w:divBdr>
            <w:top w:val="none" w:sz="0" w:space="0" w:color="auto"/>
            <w:left w:val="none" w:sz="0" w:space="0" w:color="auto"/>
            <w:bottom w:val="none" w:sz="0" w:space="0" w:color="auto"/>
            <w:right w:val="none" w:sz="0" w:space="0" w:color="auto"/>
          </w:divBdr>
        </w:div>
      </w:divsChild>
    </w:div>
    <w:div w:id="1603419711">
      <w:marLeft w:val="0"/>
      <w:marRight w:val="0"/>
      <w:marTop w:val="0"/>
      <w:marBottom w:val="0"/>
      <w:divBdr>
        <w:top w:val="none" w:sz="0" w:space="0" w:color="auto"/>
        <w:left w:val="none" w:sz="0" w:space="0" w:color="auto"/>
        <w:bottom w:val="none" w:sz="0" w:space="0" w:color="auto"/>
        <w:right w:val="none" w:sz="0" w:space="0" w:color="auto"/>
      </w:divBdr>
      <w:divsChild>
        <w:div w:id="1273704622">
          <w:marLeft w:val="0"/>
          <w:marRight w:val="0"/>
          <w:marTop w:val="0"/>
          <w:marBottom w:val="0"/>
          <w:divBdr>
            <w:top w:val="none" w:sz="0" w:space="0" w:color="auto"/>
            <w:left w:val="none" w:sz="0" w:space="0" w:color="auto"/>
            <w:bottom w:val="none" w:sz="0" w:space="0" w:color="auto"/>
            <w:right w:val="none" w:sz="0" w:space="0" w:color="auto"/>
          </w:divBdr>
        </w:div>
        <w:div w:id="643464233">
          <w:marLeft w:val="0"/>
          <w:marRight w:val="0"/>
          <w:marTop w:val="0"/>
          <w:marBottom w:val="0"/>
          <w:divBdr>
            <w:top w:val="none" w:sz="0" w:space="0" w:color="auto"/>
            <w:left w:val="none" w:sz="0" w:space="0" w:color="auto"/>
            <w:bottom w:val="none" w:sz="0" w:space="0" w:color="auto"/>
            <w:right w:val="none" w:sz="0" w:space="0" w:color="auto"/>
          </w:divBdr>
        </w:div>
      </w:divsChild>
    </w:div>
    <w:div w:id="1608006825">
      <w:marLeft w:val="0"/>
      <w:marRight w:val="0"/>
      <w:marTop w:val="0"/>
      <w:marBottom w:val="0"/>
      <w:divBdr>
        <w:top w:val="none" w:sz="0" w:space="0" w:color="auto"/>
        <w:left w:val="none" w:sz="0" w:space="0" w:color="auto"/>
        <w:bottom w:val="none" w:sz="0" w:space="0" w:color="auto"/>
        <w:right w:val="none" w:sz="0" w:space="0" w:color="auto"/>
      </w:divBdr>
    </w:div>
    <w:div w:id="1614483590">
      <w:marLeft w:val="0"/>
      <w:marRight w:val="0"/>
      <w:marTop w:val="0"/>
      <w:marBottom w:val="0"/>
      <w:divBdr>
        <w:top w:val="none" w:sz="0" w:space="0" w:color="auto"/>
        <w:left w:val="none" w:sz="0" w:space="0" w:color="auto"/>
        <w:bottom w:val="none" w:sz="0" w:space="0" w:color="auto"/>
        <w:right w:val="none" w:sz="0" w:space="0" w:color="auto"/>
      </w:divBdr>
    </w:div>
    <w:div w:id="1617634610">
      <w:marLeft w:val="0"/>
      <w:marRight w:val="0"/>
      <w:marTop w:val="0"/>
      <w:marBottom w:val="0"/>
      <w:divBdr>
        <w:top w:val="none" w:sz="0" w:space="0" w:color="auto"/>
        <w:left w:val="none" w:sz="0" w:space="0" w:color="auto"/>
        <w:bottom w:val="none" w:sz="0" w:space="0" w:color="auto"/>
        <w:right w:val="none" w:sz="0" w:space="0" w:color="auto"/>
      </w:divBdr>
    </w:div>
    <w:div w:id="1623341856">
      <w:marLeft w:val="0"/>
      <w:marRight w:val="0"/>
      <w:marTop w:val="0"/>
      <w:marBottom w:val="0"/>
      <w:divBdr>
        <w:top w:val="none" w:sz="0" w:space="0" w:color="auto"/>
        <w:left w:val="none" w:sz="0" w:space="0" w:color="auto"/>
        <w:bottom w:val="none" w:sz="0" w:space="0" w:color="auto"/>
        <w:right w:val="none" w:sz="0" w:space="0" w:color="auto"/>
      </w:divBdr>
    </w:div>
    <w:div w:id="1623998983">
      <w:marLeft w:val="0"/>
      <w:marRight w:val="0"/>
      <w:marTop w:val="0"/>
      <w:marBottom w:val="0"/>
      <w:divBdr>
        <w:top w:val="none" w:sz="0" w:space="0" w:color="auto"/>
        <w:left w:val="none" w:sz="0" w:space="0" w:color="auto"/>
        <w:bottom w:val="none" w:sz="0" w:space="0" w:color="auto"/>
        <w:right w:val="none" w:sz="0" w:space="0" w:color="auto"/>
      </w:divBdr>
    </w:div>
    <w:div w:id="1624459024">
      <w:marLeft w:val="0"/>
      <w:marRight w:val="0"/>
      <w:marTop w:val="0"/>
      <w:marBottom w:val="0"/>
      <w:divBdr>
        <w:top w:val="none" w:sz="0" w:space="0" w:color="auto"/>
        <w:left w:val="none" w:sz="0" w:space="0" w:color="auto"/>
        <w:bottom w:val="none" w:sz="0" w:space="0" w:color="auto"/>
        <w:right w:val="none" w:sz="0" w:space="0" w:color="auto"/>
      </w:divBdr>
    </w:div>
    <w:div w:id="1626931315">
      <w:marLeft w:val="0"/>
      <w:marRight w:val="0"/>
      <w:marTop w:val="0"/>
      <w:marBottom w:val="0"/>
      <w:divBdr>
        <w:top w:val="none" w:sz="0" w:space="0" w:color="auto"/>
        <w:left w:val="none" w:sz="0" w:space="0" w:color="auto"/>
        <w:bottom w:val="none" w:sz="0" w:space="0" w:color="auto"/>
        <w:right w:val="none" w:sz="0" w:space="0" w:color="auto"/>
      </w:divBdr>
    </w:div>
    <w:div w:id="1628395590">
      <w:marLeft w:val="0"/>
      <w:marRight w:val="0"/>
      <w:marTop w:val="0"/>
      <w:marBottom w:val="0"/>
      <w:divBdr>
        <w:top w:val="none" w:sz="0" w:space="0" w:color="auto"/>
        <w:left w:val="none" w:sz="0" w:space="0" w:color="auto"/>
        <w:bottom w:val="none" w:sz="0" w:space="0" w:color="auto"/>
        <w:right w:val="none" w:sz="0" w:space="0" w:color="auto"/>
      </w:divBdr>
    </w:div>
    <w:div w:id="1629164448">
      <w:marLeft w:val="0"/>
      <w:marRight w:val="0"/>
      <w:marTop w:val="0"/>
      <w:marBottom w:val="0"/>
      <w:divBdr>
        <w:top w:val="none" w:sz="0" w:space="0" w:color="auto"/>
        <w:left w:val="none" w:sz="0" w:space="0" w:color="auto"/>
        <w:bottom w:val="none" w:sz="0" w:space="0" w:color="auto"/>
        <w:right w:val="none" w:sz="0" w:space="0" w:color="auto"/>
      </w:divBdr>
    </w:div>
    <w:div w:id="1631082939">
      <w:marLeft w:val="0"/>
      <w:marRight w:val="0"/>
      <w:marTop w:val="0"/>
      <w:marBottom w:val="0"/>
      <w:divBdr>
        <w:top w:val="none" w:sz="0" w:space="0" w:color="auto"/>
        <w:left w:val="none" w:sz="0" w:space="0" w:color="auto"/>
        <w:bottom w:val="none" w:sz="0" w:space="0" w:color="auto"/>
        <w:right w:val="none" w:sz="0" w:space="0" w:color="auto"/>
      </w:divBdr>
    </w:div>
    <w:div w:id="1635598383">
      <w:marLeft w:val="0"/>
      <w:marRight w:val="0"/>
      <w:marTop w:val="0"/>
      <w:marBottom w:val="0"/>
      <w:divBdr>
        <w:top w:val="none" w:sz="0" w:space="0" w:color="auto"/>
        <w:left w:val="none" w:sz="0" w:space="0" w:color="auto"/>
        <w:bottom w:val="none" w:sz="0" w:space="0" w:color="auto"/>
        <w:right w:val="none" w:sz="0" w:space="0" w:color="auto"/>
      </w:divBdr>
    </w:div>
    <w:div w:id="1636522049">
      <w:marLeft w:val="0"/>
      <w:marRight w:val="0"/>
      <w:marTop w:val="0"/>
      <w:marBottom w:val="0"/>
      <w:divBdr>
        <w:top w:val="none" w:sz="0" w:space="0" w:color="auto"/>
        <w:left w:val="none" w:sz="0" w:space="0" w:color="auto"/>
        <w:bottom w:val="none" w:sz="0" w:space="0" w:color="auto"/>
        <w:right w:val="none" w:sz="0" w:space="0" w:color="auto"/>
      </w:divBdr>
    </w:div>
    <w:div w:id="1637907930">
      <w:marLeft w:val="0"/>
      <w:marRight w:val="0"/>
      <w:marTop w:val="0"/>
      <w:marBottom w:val="0"/>
      <w:divBdr>
        <w:top w:val="none" w:sz="0" w:space="0" w:color="auto"/>
        <w:left w:val="none" w:sz="0" w:space="0" w:color="auto"/>
        <w:bottom w:val="none" w:sz="0" w:space="0" w:color="auto"/>
        <w:right w:val="none" w:sz="0" w:space="0" w:color="auto"/>
      </w:divBdr>
    </w:div>
    <w:div w:id="1640258718">
      <w:marLeft w:val="0"/>
      <w:marRight w:val="0"/>
      <w:marTop w:val="0"/>
      <w:marBottom w:val="0"/>
      <w:divBdr>
        <w:top w:val="none" w:sz="0" w:space="0" w:color="auto"/>
        <w:left w:val="none" w:sz="0" w:space="0" w:color="auto"/>
        <w:bottom w:val="none" w:sz="0" w:space="0" w:color="auto"/>
        <w:right w:val="none" w:sz="0" w:space="0" w:color="auto"/>
      </w:divBdr>
      <w:divsChild>
        <w:div w:id="1467239365">
          <w:marLeft w:val="0"/>
          <w:marRight w:val="0"/>
          <w:marTop w:val="0"/>
          <w:marBottom w:val="0"/>
          <w:divBdr>
            <w:top w:val="none" w:sz="0" w:space="0" w:color="auto"/>
            <w:left w:val="none" w:sz="0" w:space="0" w:color="auto"/>
            <w:bottom w:val="none" w:sz="0" w:space="0" w:color="auto"/>
            <w:right w:val="none" w:sz="0" w:space="0" w:color="auto"/>
          </w:divBdr>
        </w:div>
      </w:divsChild>
    </w:div>
    <w:div w:id="1642004642">
      <w:marLeft w:val="0"/>
      <w:marRight w:val="0"/>
      <w:marTop w:val="0"/>
      <w:marBottom w:val="0"/>
      <w:divBdr>
        <w:top w:val="none" w:sz="0" w:space="0" w:color="auto"/>
        <w:left w:val="none" w:sz="0" w:space="0" w:color="auto"/>
        <w:bottom w:val="none" w:sz="0" w:space="0" w:color="auto"/>
        <w:right w:val="none" w:sz="0" w:space="0" w:color="auto"/>
      </w:divBdr>
    </w:div>
    <w:div w:id="1644001399">
      <w:marLeft w:val="0"/>
      <w:marRight w:val="0"/>
      <w:marTop w:val="0"/>
      <w:marBottom w:val="0"/>
      <w:divBdr>
        <w:top w:val="none" w:sz="0" w:space="0" w:color="auto"/>
        <w:left w:val="none" w:sz="0" w:space="0" w:color="auto"/>
        <w:bottom w:val="none" w:sz="0" w:space="0" w:color="auto"/>
        <w:right w:val="none" w:sz="0" w:space="0" w:color="auto"/>
      </w:divBdr>
    </w:div>
    <w:div w:id="1644381921">
      <w:marLeft w:val="0"/>
      <w:marRight w:val="0"/>
      <w:marTop w:val="0"/>
      <w:marBottom w:val="0"/>
      <w:divBdr>
        <w:top w:val="none" w:sz="0" w:space="0" w:color="auto"/>
        <w:left w:val="none" w:sz="0" w:space="0" w:color="auto"/>
        <w:bottom w:val="none" w:sz="0" w:space="0" w:color="auto"/>
        <w:right w:val="none" w:sz="0" w:space="0" w:color="auto"/>
      </w:divBdr>
      <w:divsChild>
        <w:div w:id="1682511035">
          <w:marLeft w:val="0"/>
          <w:marRight w:val="0"/>
          <w:marTop w:val="0"/>
          <w:marBottom w:val="0"/>
          <w:divBdr>
            <w:top w:val="none" w:sz="0" w:space="0" w:color="auto"/>
            <w:left w:val="none" w:sz="0" w:space="0" w:color="auto"/>
            <w:bottom w:val="none" w:sz="0" w:space="0" w:color="auto"/>
            <w:right w:val="none" w:sz="0" w:space="0" w:color="auto"/>
          </w:divBdr>
        </w:div>
      </w:divsChild>
    </w:div>
    <w:div w:id="1646857782">
      <w:marLeft w:val="0"/>
      <w:marRight w:val="0"/>
      <w:marTop w:val="0"/>
      <w:marBottom w:val="0"/>
      <w:divBdr>
        <w:top w:val="none" w:sz="0" w:space="0" w:color="auto"/>
        <w:left w:val="none" w:sz="0" w:space="0" w:color="auto"/>
        <w:bottom w:val="none" w:sz="0" w:space="0" w:color="auto"/>
        <w:right w:val="none" w:sz="0" w:space="0" w:color="auto"/>
      </w:divBdr>
    </w:div>
    <w:div w:id="1648704959">
      <w:marLeft w:val="0"/>
      <w:marRight w:val="0"/>
      <w:marTop w:val="0"/>
      <w:marBottom w:val="0"/>
      <w:divBdr>
        <w:top w:val="none" w:sz="0" w:space="0" w:color="auto"/>
        <w:left w:val="none" w:sz="0" w:space="0" w:color="auto"/>
        <w:bottom w:val="none" w:sz="0" w:space="0" w:color="auto"/>
        <w:right w:val="none" w:sz="0" w:space="0" w:color="auto"/>
      </w:divBdr>
    </w:div>
    <w:div w:id="1649169095">
      <w:marLeft w:val="0"/>
      <w:marRight w:val="0"/>
      <w:marTop w:val="0"/>
      <w:marBottom w:val="0"/>
      <w:divBdr>
        <w:top w:val="none" w:sz="0" w:space="0" w:color="auto"/>
        <w:left w:val="none" w:sz="0" w:space="0" w:color="auto"/>
        <w:bottom w:val="none" w:sz="0" w:space="0" w:color="auto"/>
        <w:right w:val="none" w:sz="0" w:space="0" w:color="auto"/>
      </w:divBdr>
    </w:div>
    <w:div w:id="1651522886">
      <w:marLeft w:val="0"/>
      <w:marRight w:val="0"/>
      <w:marTop w:val="0"/>
      <w:marBottom w:val="0"/>
      <w:divBdr>
        <w:top w:val="none" w:sz="0" w:space="0" w:color="auto"/>
        <w:left w:val="none" w:sz="0" w:space="0" w:color="auto"/>
        <w:bottom w:val="none" w:sz="0" w:space="0" w:color="auto"/>
        <w:right w:val="none" w:sz="0" w:space="0" w:color="auto"/>
      </w:divBdr>
    </w:div>
    <w:div w:id="1653365610">
      <w:marLeft w:val="0"/>
      <w:marRight w:val="0"/>
      <w:marTop w:val="0"/>
      <w:marBottom w:val="0"/>
      <w:divBdr>
        <w:top w:val="none" w:sz="0" w:space="0" w:color="auto"/>
        <w:left w:val="none" w:sz="0" w:space="0" w:color="auto"/>
        <w:bottom w:val="none" w:sz="0" w:space="0" w:color="auto"/>
        <w:right w:val="none" w:sz="0" w:space="0" w:color="auto"/>
      </w:divBdr>
    </w:div>
    <w:div w:id="1656373903">
      <w:marLeft w:val="0"/>
      <w:marRight w:val="0"/>
      <w:marTop w:val="0"/>
      <w:marBottom w:val="0"/>
      <w:divBdr>
        <w:top w:val="none" w:sz="0" w:space="0" w:color="auto"/>
        <w:left w:val="none" w:sz="0" w:space="0" w:color="auto"/>
        <w:bottom w:val="none" w:sz="0" w:space="0" w:color="auto"/>
        <w:right w:val="none" w:sz="0" w:space="0" w:color="auto"/>
      </w:divBdr>
    </w:div>
    <w:div w:id="1658613412">
      <w:marLeft w:val="0"/>
      <w:marRight w:val="0"/>
      <w:marTop w:val="0"/>
      <w:marBottom w:val="0"/>
      <w:divBdr>
        <w:top w:val="none" w:sz="0" w:space="0" w:color="auto"/>
        <w:left w:val="none" w:sz="0" w:space="0" w:color="auto"/>
        <w:bottom w:val="none" w:sz="0" w:space="0" w:color="auto"/>
        <w:right w:val="none" w:sz="0" w:space="0" w:color="auto"/>
      </w:divBdr>
    </w:div>
    <w:div w:id="1665204681">
      <w:marLeft w:val="0"/>
      <w:marRight w:val="0"/>
      <w:marTop w:val="40"/>
      <w:marBottom w:val="40"/>
      <w:divBdr>
        <w:top w:val="none" w:sz="0" w:space="0" w:color="auto"/>
        <w:left w:val="none" w:sz="0" w:space="0" w:color="auto"/>
        <w:bottom w:val="none" w:sz="0" w:space="0" w:color="auto"/>
        <w:right w:val="none" w:sz="0" w:space="0" w:color="auto"/>
      </w:divBdr>
    </w:div>
    <w:div w:id="1666858757">
      <w:marLeft w:val="0"/>
      <w:marRight w:val="0"/>
      <w:marTop w:val="0"/>
      <w:marBottom w:val="0"/>
      <w:divBdr>
        <w:top w:val="none" w:sz="0" w:space="0" w:color="auto"/>
        <w:left w:val="none" w:sz="0" w:space="0" w:color="auto"/>
        <w:bottom w:val="none" w:sz="0" w:space="0" w:color="auto"/>
        <w:right w:val="none" w:sz="0" w:space="0" w:color="auto"/>
      </w:divBdr>
    </w:div>
    <w:div w:id="1667784618">
      <w:marLeft w:val="0"/>
      <w:marRight w:val="0"/>
      <w:marTop w:val="0"/>
      <w:marBottom w:val="0"/>
      <w:divBdr>
        <w:top w:val="none" w:sz="0" w:space="0" w:color="auto"/>
        <w:left w:val="none" w:sz="0" w:space="0" w:color="auto"/>
        <w:bottom w:val="none" w:sz="0" w:space="0" w:color="auto"/>
        <w:right w:val="none" w:sz="0" w:space="0" w:color="auto"/>
      </w:divBdr>
    </w:div>
    <w:div w:id="1668098159">
      <w:marLeft w:val="0"/>
      <w:marRight w:val="0"/>
      <w:marTop w:val="0"/>
      <w:marBottom w:val="0"/>
      <w:divBdr>
        <w:top w:val="none" w:sz="0" w:space="0" w:color="auto"/>
        <w:left w:val="none" w:sz="0" w:space="0" w:color="auto"/>
        <w:bottom w:val="none" w:sz="0" w:space="0" w:color="auto"/>
        <w:right w:val="none" w:sz="0" w:space="0" w:color="auto"/>
      </w:divBdr>
    </w:div>
    <w:div w:id="1668315930">
      <w:marLeft w:val="0"/>
      <w:marRight w:val="0"/>
      <w:marTop w:val="0"/>
      <w:marBottom w:val="0"/>
      <w:divBdr>
        <w:top w:val="none" w:sz="0" w:space="0" w:color="auto"/>
        <w:left w:val="none" w:sz="0" w:space="0" w:color="auto"/>
        <w:bottom w:val="none" w:sz="0" w:space="0" w:color="auto"/>
        <w:right w:val="none" w:sz="0" w:space="0" w:color="auto"/>
      </w:divBdr>
    </w:div>
    <w:div w:id="1668678522">
      <w:marLeft w:val="0"/>
      <w:marRight w:val="0"/>
      <w:marTop w:val="100"/>
      <w:marBottom w:val="240"/>
      <w:divBdr>
        <w:top w:val="none" w:sz="0" w:space="0" w:color="auto"/>
        <w:left w:val="none" w:sz="0" w:space="0" w:color="auto"/>
        <w:bottom w:val="none" w:sz="0" w:space="0" w:color="auto"/>
        <w:right w:val="none" w:sz="0" w:space="0" w:color="auto"/>
      </w:divBdr>
      <w:divsChild>
        <w:div w:id="399444909">
          <w:marLeft w:val="0"/>
          <w:marRight w:val="0"/>
          <w:marTop w:val="0"/>
          <w:marBottom w:val="0"/>
          <w:divBdr>
            <w:top w:val="none" w:sz="0" w:space="0" w:color="auto"/>
            <w:left w:val="none" w:sz="0" w:space="0" w:color="auto"/>
            <w:bottom w:val="none" w:sz="0" w:space="0" w:color="auto"/>
            <w:right w:val="none" w:sz="0" w:space="0" w:color="auto"/>
          </w:divBdr>
        </w:div>
        <w:div w:id="132333057">
          <w:marLeft w:val="0"/>
          <w:marRight w:val="0"/>
          <w:marTop w:val="0"/>
          <w:marBottom w:val="0"/>
          <w:divBdr>
            <w:top w:val="none" w:sz="0" w:space="0" w:color="auto"/>
            <w:left w:val="none" w:sz="0" w:space="0" w:color="auto"/>
            <w:bottom w:val="none" w:sz="0" w:space="0" w:color="auto"/>
            <w:right w:val="none" w:sz="0" w:space="0" w:color="auto"/>
          </w:divBdr>
        </w:div>
        <w:div w:id="1477530596">
          <w:marLeft w:val="0"/>
          <w:marRight w:val="0"/>
          <w:marTop w:val="0"/>
          <w:marBottom w:val="0"/>
          <w:divBdr>
            <w:top w:val="none" w:sz="0" w:space="0" w:color="auto"/>
            <w:left w:val="none" w:sz="0" w:space="0" w:color="auto"/>
            <w:bottom w:val="none" w:sz="0" w:space="0" w:color="auto"/>
            <w:right w:val="none" w:sz="0" w:space="0" w:color="auto"/>
          </w:divBdr>
        </w:div>
        <w:div w:id="2116511717">
          <w:marLeft w:val="0"/>
          <w:marRight w:val="0"/>
          <w:marTop w:val="0"/>
          <w:marBottom w:val="0"/>
          <w:divBdr>
            <w:top w:val="none" w:sz="0" w:space="0" w:color="auto"/>
            <w:left w:val="none" w:sz="0" w:space="0" w:color="auto"/>
            <w:bottom w:val="none" w:sz="0" w:space="0" w:color="auto"/>
            <w:right w:val="none" w:sz="0" w:space="0" w:color="auto"/>
          </w:divBdr>
        </w:div>
        <w:div w:id="1487168828">
          <w:marLeft w:val="0"/>
          <w:marRight w:val="0"/>
          <w:marTop w:val="0"/>
          <w:marBottom w:val="0"/>
          <w:divBdr>
            <w:top w:val="none" w:sz="0" w:space="0" w:color="auto"/>
            <w:left w:val="none" w:sz="0" w:space="0" w:color="auto"/>
            <w:bottom w:val="none" w:sz="0" w:space="0" w:color="auto"/>
            <w:right w:val="none" w:sz="0" w:space="0" w:color="auto"/>
          </w:divBdr>
        </w:div>
      </w:divsChild>
    </w:div>
    <w:div w:id="1675302402">
      <w:marLeft w:val="0"/>
      <w:marRight w:val="0"/>
      <w:marTop w:val="0"/>
      <w:marBottom w:val="0"/>
      <w:divBdr>
        <w:top w:val="none" w:sz="0" w:space="0" w:color="auto"/>
        <w:left w:val="none" w:sz="0" w:space="0" w:color="auto"/>
        <w:bottom w:val="none" w:sz="0" w:space="0" w:color="auto"/>
        <w:right w:val="none" w:sz="0" w:space="0" w:color="auto"/>
      </w:divBdr>
    </w:div>
    <w:div w:id="1676876789">
      <w:marLeft w:val="0"/>
      <w:marRight w:val="0"/>
      <w:marTop w:val="0"/>
      <w:marBottom w:val="0"/>
      <w:divBdr>
        <w:top w:val="none" w:sz="0" w:space="0" w:color="auto"/>
        <w:left w:val="none" w:sz="0" w:space="0" w:color="auto"/>
        <w:bottom w:val="none" w:sz="0" w:space="0" w:color="auto"/>
        <w:right w:val="none" w:sz="0" w:space="0" w:color="auto"/>
      </w:divBdr>
    </w:div>
    <w:div w:id="1677224350">
      <w:marLeft w:val="0"/>
      <w:marRight w:val="0"/>
      <w:marTop w:val="0"/>
      <w:marBottom w:val="0"/>
      <w:divBdr>
        <w:top w:val="none" w:sz="0" w:space="0" w:color="auto"/>
        <w:left w:val="none" w:sz="0" w:space="0" w:color="auto"/>
        <w:bottom w:val="none" w:sz="0" w:space="0" w:color="auto"/>
        <w:right w:val="none" w:sz="0" w:space="0" w:color="auto"/>
      </w:divBdr>
    </w:div>
    <w:div w:id="1677609872">
      <w:marLeft w:val="0"/>
      <w:marRight w:val="0"/>
      <w:marTop w:val="0"/>
      <w:marBottom w:val="0"/>
      <w:divBdr>
        <w:top w:val="none" w:sz="0" w:space="0" w:color="auto"/>
        <w:left w:val="none" w:sz="0" w:space="0" w:color="auto"/>
        <w:bottom w:val="none" w:sz="0" w:space="0" w:color="auto"/>
        <w:right w:val="none" w:sz="0" w:space="0" w:color="auto"/>
      </w:divBdr>
    </w:div>
    <w:div w:id="1677614111">
      <w:marLeft w:val="0"/>
      <w:marRight w:val="0"/>
      <w:marTop w:val="0"/>
      <w:marBottom w:val="0"/>
      <w:divBdr>
        <w:top w:val="none" w:sz="0" w:space="0" w:color="auto"/>
        <w:left w:val="none" w:sz="0" w:space="0" w:color="auto"/>
        <w:bottom w:val="none" w:sz="0" w:space="0" w:color="auto"/>
        <w:right w:val="none" w:sz="0" w:space="0" w:color="auto"/>
      </w:divBdr>
    </w:div>
    <w:div w:id="1678730875">
      <w:marLeft w:val="0"/>
      <w:marRight w:val="0"/>
      <w:marTop w:val="0"/>
      <w:marBottom w:val="0"/>
      <w:divBdr>
        <w:top w:val="none" w:sz="0" w:space="0" w:color="auto"/>
        <w:left w:val="none" w:sz="0" w:space="0" w:color="auto"/>
        <w:bottom w:val="none" w:sz="0" w:space="0" w:color="auto"/>
        <w:right w:val="none" w:sz="0" w:space="0" w:color="auto"/>
      </w:divBdr>
    </w:div>
    <w:div w:id="1682389073">
      <w:marLeft w:val="0"/>
      <w:marRight w:val="0"/>
      <w:marTop w:val="0"/>
      <w:marBottom w:val="0"/>
      <w:divBdr>
        <w:top w:val="none" w:sz="0" w:space="0" w:color="auto"/>
        <w:left w:val="none" w:sz="0" w:space="0" w:color="auto"/>
        <w:bottom w:val="none" w:sz="0" w:space="0" w:color="auto"/>
        <w:right w:val="none" w:sz="0" w:space="0" w:color="auto"/>
      </w:divBdr>
    </w:div>
    <w:div w:id="1684089934">
      <w:marLeft w:val="0"/>
      <w:marRight w:val="0"/>
      <w:marTop w:val="0"/>
      <w:marBottom w:val="0"/>
      <w:divBdr>
        <w:top w:val="none" w:sz="0" w:space="0" w:color="auto"/>
        <w:left w:val="none" w:sz="0" w:space="0" w:color="auto"/>
        <w:bottom w:val="none" w:sz="0" w:space="0" w:color="auto"/>
        <w:right w:val="none" w:sz="0" w:space="0" w:color="auto"/>
      </w:divBdr>
    </w:div>
    <w:div w:id="1688866017">
      <w:marLeft w:val="0"/>
      <w:marRight w:val="0"/>
      <w:marTop w:val="0"/>
      <w:marBottom w:val="0"/>
      <w:divBdr>
        <w:top w:val="none" w:sz="0" w:space="0" w:color="auto"/>
        <w:left w:val="none" w:sz="0" w:space="0" w:color="auto"/>
        <w:bottom w:val="none" w:sz="0" w:space="0" w:color="auto"/>
        <w:right w:val="none" w:sz="0" w:space="0" w:color="auto"/>
      </w:divBdr>
    </w:div>
    <w:div w:id="1691637198">
      <w:marLeft w:val="0"/>
      <w:marRight w:val="0"/>
      <w:marTop w:val="0"/>
      <w:marBottom w:val="0"/>
      <w:divBdr>
        <w:top w:val="none" w:sz="0" w:space="0" w:color="auto"/>
        <w:left w:val="none" w:sz="0" w:space="0" w:color="auto"/>
        <w:bottom w:val="none" w:sz="0" w:space="0" w:color="auto"/>
        <w:right w:val="none" w:sz="0" w:space="0" w:color="auto"/>
      </w:divBdr>
    </w:div>
    <w:div w:id="1691644859">
      <w:marLeft w:val="0"/>
      <w:marRight w:val="0"/>
      <w:marTop w:val="0"/>
      <w:marBottom w:val="0"/>
      <w:divBdr>
        <w:top w:val="none" w:sz="0" w:space="0" w:color="auto"/>
        <w:left w:val="none" w:sz="0" w:space="0" w:color="auto"/>
        <w:bottom w:val="none" w:sz="0" w:space="0" w:color="auto"/>
        <w:right w:val="none" w:sz="0" w:space="0" w:color="auto"/>
      </w:divBdr>
      <w:divsChild>
        <w:div w:id="1194687933">
          <w:marLeft w:val="0"/>
          <w:marRight w:val="0"/>
          <w:marTop w:val="0"/>
          <w:marBottom w:val="0"/>
          <w:divBdr>
            <w:top w:val="none" w:sz="0" w:space="0" w:color="auto"/>
            <w:left w:val="none" w:sz="0" w:space="0" w:color="auto"/>
            <w:bottom w:val="none" w:sz="0" w:space="0" w:color="auto"/>
            <w:right w:val="none" w:sz="0" w:space="0" w:color="auto"/>
          </w:divBdr>
        </w:div>
      </w:divsChild>
    </w:div>
    <w:div w:id="1695644765">
      <w:marLeft w:val="0"/>
      <w:marRight w:val="0"/>
      <w:marTop w:val="0"/>
      <w:marBottom w:val="0"/>
      <w:divBdr>
        <w:top w:val="none" w:sz="0" w:space="0" w:color="auto"/>
        <w:left w:val="none" w:sz="0" w:space="0" w:color="auto"/>
        <w:bottom w:val="none" w:sz="0" w:space="0" w:color="auto"/>
        <w:right w:val="none" w:sz="0" w:space="0" w:color="auto"/>
      </w:divBdr>
      <w:divsChild>
        <w:div w:id="357659915">
          <w:marLeft w:val="0"/>
          <w:marRight w:val="0"/>
          <w:marTop w:val="0"/>
          <w:marBottom w:val="0"/>
          <w:divBdr>
            <w:top w:val="none" w:sz="0" w:space="0" w:color="auto"/>
            <w:left w:val="none" w:sz="0" w:space="0" w:color="auto"/>
            <w:bottom w:val="none" w:sz="0" w:space="0" w:color="auto"/>
            <w:right w:val="none" w:sz="0" w:space="0" w:color="auto"/>
          </w:divBdr>
        </w:div>
      </w:divsChild>
    </w:div>
    <w:div w:id="1695962963">
      <w:marLeft w:val="0"/>
      <w:marRight w:val="0"/>
      <w:marTop w:val="0"/>
      <w:marBottom w:val="0"/>
      <w:divBdr>
        <w:top w:val="none" w:sz="0" w:space="0" w:color="auto"/>
        <w:left w:val="none" w:sz="0" w:space="0" w:color="auto"/>
        <w:bottom w:val="none" w:sz="0" w:space="0" w:color="auto"/>
        <w:right w:val="none" w:sz="0" w:space="0" w:color="auto"/>
      </w:divBdr>
    </w:div>
    <w:div w:id="1698850560">
      <w:marLeft w:val="0"/>
      <w:marRight w:val="0"/>
      <w:marTop w:val="0"/>
      <w:marBottom w:val="0"/>
      <w:divBdr>
        <w:top w:val="none" w:sz="0" w:space="0" w:color="auto"/>
        <w:left w:val="none" w:sz="0" w:space="0" w:color="auto"/>
        <w:bottom w:val="none" w:sz="0" w:space="0" w:color="auto"/>
        <w:right w:val="none" w:sz="0" w:space="0" w:color="auto"/>
      </w:divBdr>
    </w:div>
    <w:div w:id="1699699520">
      <w:marLeft w:val="0"/>
      <w:marRight w:val="0"/>
      <w:marTop w:val="0"/>
      <w:marBottom w:val="0"/>
      <w:divBdr>
        <w:top w:val="none" w:sz="0" w:space="0" w:color="auto"/>
        <w:left w:val="none" w:sz="0" w:space="0" w:color="auto"/>
        <w:bottom w:val="none" w:sz="0" w:space="0" w:color="auto"/>
        <w:right w:val="none" w:sz="0" w:space="0" w:color="auto"/>
      </w:divBdr>
    </w:div>
    <w:div w:id="1700886856">
      <w:marLeft w:val="0"/>
      <w:marRight w:val="0"/>
      <w:marTop w:val="0"/>
      <w:marBottom w:val="0"/>
      <w:divBdr>
        <w:top w:val="none" w:sz="0" w:space="0" w:color="auto"/>
        <w:left w:val="none" w:sz="0" w:space="0" w:color="auto"/>
        <w:bottom w:val="none" w:sz="0" w:space="0" w:color="auto"/>
        <w:right w:val="none" w:sz="0" w:space="0" w:color="auto"/>
      </w:divBdr>
    </w:div>
    <w:div w:id="1702127498">
      <w:marLeft w:val="0"/>
      <w:marRight w:val="0"/>
      <w:marTop w:val="0"/>
      <w:marBottom w:val="0"/>
      <w:divBdr>
        <w:top w:val="none" w:sz="0" w:space="0" w:color="auto"/>
        <w:left w:val="none" w:sz="0" w:space="0" w:color="auto"/>
        <w:bottom w:val="none" w:sz="0" w:space="0" w:color="auto"/>
        <w:right w:val="none" w:sz="0" w:space="0" w:color="auto"/>
      </w:divBdr>
    </w:div>
    <w:div w:id="1702588206">
      <w:marLeft w:val="0"/>
      <w:marRight w:val="0"/>
      <w:marTop w:val="0"/>
      <w:marBottom w:val="0"/>
      <w:divBdr>
        <w:top w:val="none" w:sz="0" w:space="0" w:color="auto"/>
        <w:left w:val="none" w:sz="0" w:space="0" w:color="auto"/>
        <w:bottom w:val="none" w:sz="0" w:space="0" w:color="auto"/>
        <w:right w:val="none" w:sz="0" w:space="0" w:color="auto"/>
      </w:divBdr>
    </w:div>
    <w:div w:id="1707754842">
      <w:marLeft w:val="0"/>
      <w:marRight w:val="0"/>
      <w:marTop w:val="0"/>
      <w:marBottom w:val="0"/>
      <w:divBdr>
        <w:top w:val="none" w:sz="0" w:space="0" w:color="auto"/>
        <w:left w:val="none" w:sz="0" w:space="0" w:color="auto"/>
        <w:bottom w:val="none" w:sz="0" w:space="0" w:color="auto"/>
        <w:right w:val="none" w:sz="0" w:space="0" w:color="auto"/>
      </w:divBdr>
    </w:div>
    <w:div w:id="1709257837">
      <w:marLeft w:val="0"/>
      <w:marRight w:val="0"/>
      <w:marTop w:val="0"/>
      <w:marBottom w:val="0"/>
      <w:divBdr>
        <w:top w:val="none" w:sz="0" w:space="0" w:color="auto"/>
        <w:left w:val="none" w:sz="0" w:space="0" w:color="auto"/>
        <w:bottom w:val="none" w:sz="0" w:space="0" w:color="auto"/>
        <w:right w:val="none" w:sz="0" w:space="0" w:color="auto"/>
      </w:divBdr>
    </w:div>
    <w:div w:id="1709640054">
      <w:marLeft w:val="0"/>
      <w:marRight w:val="0"/>
      <w:marTop w:val="0"/>
      <w:marBottom w:val="0"/>
      <w:divBdr>
        <w:top w:val="none" w:sz="0" w:space="0" w:color="auto"/>
        <w:left w:val="none" w:sz="0" w:space="0" w:color="auto"/>
        <w:bottom w:val="none" w:sz="0" w:space="0" w:color="auto"/>
        <w:right w:val="none" w:sz="0" w:space="0" w:color="auto"/>
      </w:divBdr>
    </w:div>
    <w:div w:id="1709642937">
      <w:marLeft w:val="0"/>
      <w:marRight w:val="0"/>
      <w:marTop w:val="0"/>
      <w:marBottom w:val="0"/>
      <w:divBdr>
        <w:top w:val="none" w:sz="0" w:space="0" w:color="auto"/>
        <w:left w:val="none" w:sz="0" w:space="0" w:color="auto"/>
        <w:bottom w:val="none" w:sz="0" w:space="0" w:color="auto"/>
        <w:right w:val="none" w:sz="0" w:space="0" w:color="auto"/>
      </w:divBdr>
      <w:divsChild>
        <w:div w:id="1560358918">
          <w:marLeft w:val="0"/>
          <w:marRight w:val="0"/>
          <w:marTop w:val="0"/>
          <w:marBottom w:val="0"/>
          <w:divBdr>
            <w:top w:val="none" w:sz="0" w:space="0" w:color="auto"/>
            <w:left w:val="none" w:sz="0" w:space="0" w:color="auto"/>
            <w:bottom w:val="none" w:sz="0" w:space="0" w:color="auto"/>
            <w:right w:val="none" w:sz="0" w:space="0" w:color="auto"/>
          </w:divBdr>
        </w:div>
      </w:divsChild>
    </w:div>
    <w:div w:id="1712462098">
      <w:marLeft w:val="0"/>
      <w:marRight w:val="0"/>
      <w:marTop w:val="0"/>
      <w:marBottom w:val="0"/>
      <w:divBdr>
        <w:top w:val="none" w:sz="0" w:space="0" w:color="auto"/>
        <w:left w:val="none" w:sz="0" w:space="0" w:color="auto"/>
        <w:bottom w:val="none" w:sz="0" w:space="0" w:color="auto"/>
        <w:right w:val="none" w:sz="0" w:space="0" w:color="auto"/>
      </w:divBdr>
    </w:div>
    <w:div w:id="1713848739">
      <w:marLeft w:val="0"/>
      <w:marRight w:val="0"/>
      <w:marTop w:val="0"/>
      <w:marBottom w:val="0"/>
      <w:divBdr>
        <w:top w:val="none" w:sz="0" w:space="0" w:color="auto"/>
        <w:left w:val="none" w:sz="0" w:space="0" w:color="auto"/>
        <w:bottom w:val="none" w:sz="0" w:space="0" w:color="auto"/>
        <w:right w:val="none" w:sz="0" w:space="0" w:color="auto"/>
      </w:divBdr>
    </w:div>
    <w:div w:id="1718503015">
      <w:marLeft w:val="0"/>
      <w:marRight w:val="0"/>
      <w:marTop w:val="0"/>
      <w:marBottom w:val="0"/>
      <w:divBdr>
        <w:top w:val="none" w:sz="0" w:space="0" w:color="auto"/>
        <w:left w:val="none" w:sz="0" w:space="0" w:color="auto"/>
        <w:bottom w:val="none" w:sz="0" w:space="0" w:color="auto"/>
        <w:right w:val="none" w:sz="0" w:space="0" w:color="auto"/>
      </w:divBdr>
    </w:div>
    <w:div w:id="1718509291">
      <w:marLeft w:val="0"/>
      <w:marRight w:val="0"/>
      <w:marTop w:val="0"/>
      <w:marBottom w:val="0"/>
      <w:divBdr>
        <w:top w:val="none" w:sz="0" w:space="0" w:color="auto"/>
        <w:left w:val="none" w:sz="0" w:space="0" w:color="auto"/>
        <w:bottom w:val="none" w:sz="0" w:space="0" w:color="auto"/>
        <w:right w:val="none" w:sz="0" w:space="0" w:color="auto"/>
      </w:divBdr>
    </w:div>
    <w:div w:id="1721585412">
      <w:marLeft w:val="0"/>
      <w:marRight w:val="0"/>
      <w:marTop w:val="0"/>
      <w:marBottom w:val="0"/>
      <w:divBdr>
        <w:top w:val="none" w:sz="0" w:space="0" w:color="auto"/>
        <w:left w:val="none" w:sz="0" w:space="0" w:color="auto"/>
        <w:bottom w:val="none" w:sz="0" w:space="0" w:color="auto"/>
        <w:right w:val="none" w:sz="0" w:space="0" w:color="auto"/>
      </w:divBdr>
    </w:div>
    <w:div w:id="1721830330">
      <w:marLeft w:val="0"/>
      <w:marRight w:val="0"/>
      <w:marTop w:val="0"/>
      <w:marBottom w:val="0"/>
      <w:divBdr>
        <w:top w:val="none" w:sz="0" w:space="0" w:color="auto"/>
        <w:left w:val="none" w:sz="0" w:space="0" w:color="auto"/>
        <w:bottom w:val="none" w:sz="0" w:space="0" w:color="auto"/>
        <w:right w:val="none" w:sz="0" w:space="0" w:color="auto"/>
      </w:divBdr>
    </w:div>
    <w:div w:id="1722752444">
      <w:marLeft w:val="0"/>
      <w:marRight w:val="0"/>
      <w:marTop w:val="0"/>
      <w:marBottom w:val="120"/>
      <w:divBdr>
        <w:top w:val="none" w:sz="0" w:space="0" w:color="auto"/>
        <w:left w:val="none" w:sz="0" w:space="0" w:color="auto"/>
        <w:bottom w:val="none" w:sz="0" w:space="0" w:color="auto"/>
        <w:right w:val="none" w:sz="0" w:space="0" w:color="auto"/>
      </w:divBdr>
    </w:div>
    <w:div w:id="1724868195">
      <w:marLeft w:val="0"/>
      <w:marRight w:val="0"/>
      <w:marTop w:val="0"/>
      <w:marBottom w:val="0"/>
      <w:divBdr>
        <w:top w:val="none" w:sz="0" w:space="0" w:color="auto"/>
        <w:left w:val="none" w:sz="0" w:space="0" w:color="auto"/>
        <w:bottom w:val="none" w:sz="0" w:space="0" w:color="auto"/>
        <w:right w:val="none" w:sz="0" w:space="0" w:color="auto"/>
      </w:divBdr>
    </w:div>
    <w:div w:id="1729108470">
      <w:marLeft w:val="0"/>
      <w:marRight w:val="0"/>
      <w:marTop w:val="0"/>
      <w:marBottom w:val="0"/>
      <w:divBdr>
        <w:top w:val="none" w:sz="0" w:space="0" w:color="auto"/>
        <w:left w:val="none" w:sz="0" w:space="0" w:color="auto"/>
        <w:bottom w:val="none" w:sz="0" w:space="0" w:color="auto"/>
        <w:right w:val="none" w:sz="0" w:space="0" w:color="auto"/>
      </w:divBdr>
    </w:div>
    <w:div w:id="1729264601">
      <w:marLeft w:val="0"/>
      <w:marRight w:val="0"/>
      <w:marTop w:val="0"/>
      <w:marBottom w:val="0"/>
      <w:divBdr>
        <w:top w:val="none" w:sz="0" w:space="0" w:color="auto"/>
        <w:left w:val="none" w:sz="0" w:space="0" w:color="auto"/>
        <w:bottom w:val="none" w:sz="0" w:space="0" w:color="auto"/>
        <w:right w:val="none" w:sz="0" w:space="0" w:color="auto"/>
      </w:divBdr>
    </w:div>
    <w:div w:id="1730835824">
      <w:marLeft w:val="0"/>
      <w:marRight w:val="0"/>
      <w:marTop w:val="0"/>
      <w:marBottom w:val="0"/>
      <w:divBdr>
        <w:top w:val="none" w:sz="0" w:space="0" w:color="auto"/>
        <w:left w:val="none" w:sz="0" w:space="0" w:color="auto"/>
        <w:bottom w:val="none" w:sz="0" w:space="0" w:color="auto"/>
        <w:right w:val="none" w:sz="0" w:space="0" w:color="auto"/>
      </w:divBdr>
    </w:div>
    <w:div w:id="1730882066">
      <w:marLeft w:val="0"/>
      <w:marRight w:val="0"/>
      <w:marTop w:val="0"/>
      <w:marBottom w:val="0"/>
      <w:divBdr>
        <w:top w:val="none" w:sz="0" w:space="0" w:color="auto"/>
        <w:left w:val="none" w:sz="0" w:space="0" w:color="auto"/>
        <w:bottom w:val="none" w:sz="0" w:space="0" w:color="auto"/>
        <w:right w:val="none" w:sz="0" w:space="0" w:color="auto"/>
      </w:divBdr>
    </w:div>
    <w:div w:id="1731075471">
      <w:marLeft w:val="0"/>
      <w:marRight w:val="0"/>
      <w:marTop w:val="0"/>
      <w:marBottom w:val="0"/>
      <w:divBdr>
        <w:top w:val="none" w:sz="0" w:space="0" w:color="auto"/>
        <w:left w:val="none" w:sz="0" w:space="0" w:color="auto"/>
        <w:bottom w:val="none" w:sz="0" w:space="0" w:color="auto"/>
        <w:right w:val="none" w:sz="0" w:space="0" w:color="auto"/>
      </w:divBdr>
    </w:div>
    <w:div w:id="1733043513">
      <w:marLeft w:val="0"/>
      <w:marRight w:val="0"/>
      <w:marTop w:val="0"/>
      <w:marBottom w:val="0"/>
      <w:divBdr>
        <w:top w:val="none" w:sz="0" w:space="0" w:color="auto"/>
        <w:left w:val="none" w:sz="0" w:space="0" w:color="auto"/>
        <w:bottom w:val="none" w:sz="0" w:space="0" w:color="auto"/>
        <w:right w:val="none" w:sz="0" w:space="0" w:color="auto"/>
      </w:divBdr>
    </w:div>
    <w:div w:id="1737163117">
      <w:marLeft w:val="0"/>
      <w:marRight w:val="0"/>
      <w:marTop w:val="0"/>
      <w:marBottom w:val="0"/>
      <w:divBdr>
        <w:top w:val="none" w:sz="0" w:space="0" w:color="auto"/>
        <w:left w:val="none" w:sz="0" w:space="0" w:color="auto"/>
        <w:bottom w:val="none" w:sz="0" w:space="0" w:color="auto"/>
        <w:right w:val="none" w:sz="0" w:space="0" w:color="auto"/>
      </w:divBdr>
    </w:div>
    <w:div w:id="1737167359">
      <w:marLeft w:val="0"/>
      <w:marRight w:val="0"/>
      <w:marTop w:val="0"/>
      <w:marBottom w:val="0"/>
      <w:divBdr>
        <w:top w:val="none" w:sz="0" w:space="0" w:color="auto"/>
        <w:left w:val="none" w:sz="0" w:space="0" w:color="auto"/>
        <w:bottom w:val="none" w:sz="0" w:space="0" w:color="auto"/>
        <w:right w:val="none" w:sz="0" w:space="0" w:color="auto"/>
      </w:divBdr>
    </w:div>
    <w:div w:id="1738895739">
      <w:marLeft w:val="0"/>
      <w:marRight w:val="0"/>
      <w:marTop w:val="0"/>
      <w:marBottom w:val="0"/>
      <w:divBdr>
        <w:top w:val="none" w:sz="0" w:space="0" w:color="auto"/>
        <w:left w:val="none" w:sz="0" w:space="0" w:color="auto"/>
        <w:bottom w:val="none" w:sz="0" w:space="0" w:color="auto"/>
        <w:right w:val="none" w:sz="0" w:space="0" w:color="auto"/>
      </w:divBdr>
    </w:div>
    <w:div w:id="1743483566">
      <w:marLeft w:val="0"/>
      <w:marRight w:val="0"/>
      <w:marTop w:val="0"/>
      <w:marBottom w:val="0"/>
      <w:divBdr>
        <w:top w:val="none" w:sz="0" w:space="0" w:color="auto"/>
        <w:left w:val="none" w:sz="0" w:space="0" w:color="auto"/>
        <w:bottom w:val="none" w:sz="0" w:space="0" w:color="auto"/>
        <w:right w:val="none" w:sz="0" w:space="0" w:color="auto"/>
      </w:divBdr>
    </w:div>
    <w:div w:id="1747876437">
      <w:marLeft w:val="0"/>
      <w:marRight w:val="0"/>
      <w:marTop w:val="0"/>
      <w:marBottom w:val="0"/>
      <w:divBdr>
        <w:top w:val="none" w:sz="0" w:space="0" w:color="auto"/>
        <w:left w:val="none" w:sz="0" w:space="0" w:color="auto"/>
        <w:bottom w:val="none" w:sz="0" w:space="0" w:color="auto"/>
        <w:right w:val="none" w:sz="0" w:space="0" w:color="auto"/>
      </w:divBdr>
    </w:div>
    <w:div w:id="1749693354">
      <w:marLeft w:val="0"/>
      <w:marRight w:val="0"/>
      <w:marTop w:val="0"/>
      <w:marBottom w:val="0"/>
      <w:divBdr>
        <w:top w:val="none" w:sz="0" w:space="0" w:color="auto"/>
        <w:left w:val="none" w:sz="0" w:space="0" w:color="auto"/>
        <w:bottom w:val="none" w:sz="0" w:space="0" w:color="auto"/>
        <w:right w:val="none" w:sz="0" w:space="0" w:color="auto"/>
      </w:divBdr>
      <w:divsChild>
        <w:div w:id="255870236">
          <w:marLeft w:val="0"/>
          <w:marRight w:val="0"/>
          <w:marTop w:val="0"/>
          <w:marBottom w:val="0"/>
          <w:divBdr>
            <w:top w:val="none" w:sz="0" w:space="0" w:color="auto"/>
            <w:left w:val="none" w:sz="0" w:space="0" w:color="auto"/>
            <w:bottom w:val="none" w:sz="0" w:space="0" w:color="auto"/>
            <w:right w:val="none" w:sz="0" w:space="0" w:color="auto"/>
          </w:divBdr>
        </w:div>
      </w:divsChild>
    </w:div>
    <w:div w:id="1750731858">
      <w:marLeft w:val="0"/>
      <w:marRight w:val="0"/>
      <w:marTop w:val="0"/>
      <w:marBottom w:val="0"/>
      <w:divBdr>
        <w:top w:val="none" w:sz="0" w:space="0" w:color="auto"/>
        <w:left w:val="none" w:sz="0" w:space="0" w:color="auto"/>
        <w:bottom w:val="none" w:sz="0" w:space="0" w:color="auto"/>
        <w:right w:val="none" w:sz="0" w:space="0" w:color="auto"/>
      </w:divBdr>
    </w:div>
    <w:div w:id="1751610714">
      <w:marLeft w:val="0"/>
      <w:marRight w:val="0"/>
      <w:marTop w:val="0"/>
      <w:marBottom w:val="0"/>
      <w:divBdr>
        <w:top w:val="none" w:sz="0" w:space="0" w:color="auto"/>
        <w:left w:val="none" w:sz="0" w:space="0" w:color="auto"/>
        <w:bottom w:val="none" w:sz="0" w:space="0" w:color="auto"/>
        <w:right w:val="none" w:sz="0" w:space="0" w:color="auto"/>
      </w:divBdr>
    </w:div>
    <w:div w:id="1757164250">
      <w:marLeft w:val="0"/>
      <w:marRight w:val="0"/>
      <w:marTop w:val="0"/>
      <w:marBottom w:val="0"/>
      <w:divBdr>
        <w:top w:val="none" w:sz="0" w:space="0" w:color="auto"/>
        <w:left w:val="none" w:sz="0" w:space="0" w:color="auto"/>
        <w:bottom w:val="none" w:sz="0" w:space="0" w:color="auto"/>
        <w:right w:val="none" w:sz="0" w:space="0" w:color="auto"/>
      </w:divBdr>
    </w:div>
    <w:div w:id="1757245364">
      <w:marLeft w:val="0"/>
      <w:marRight w:val="0"/>
      <w:marTop w:val="100"/>
      <w:marBottom w:val="0"/>
      <w:divBdr>
        <w:top w:val="none" w:sz="0" w:space="0" w:color="auto"/>
        <w:left w:val="none" w:sz="0" w:space="0" w:color="auto"/>
        <w:bottom w:val="none" w:sz="0" w:space="0" w:color="auto"/>
        <w:right w:val="none" w:sz="0" w:space="0" w:color="auto"/>
      </w:divBdr>
      <w:divsChild>
        <w:div w:id="1727948269">
          <w:marLeft w:val="0"/>
          <w:marRight w:val="0"/>
          <w:marTop w:val="0"/>
          <w:marBottom w:val="0"/>
          <w:divBdr>
            <w:top w:val="none" w:sz="0" w:space="0" w:color="auto"/>
            <w:left w:val="none" w:sz="0" w:space="0" w:color="auto"/>
            <w:bottom w:val="none" w:sz="0" w:space="0" w:color="auto"/>
            <w:right w:val="none" w:sz="0" w:space="0" w:color="auto"/>
          </w:divBdr>
        </w:div>
      </w:divsChild>
    </w:div>
    <w:div w:id="1760324664">
      <w:marLeft w:val="0"/>
      <w:marRight w:val="0"/>
      <w:marTop w:val="0"/>
      <w:marBottom w:val="0"/>
      <w:divBdr>
        <w:top w:val="none" w:sz="0" w:space="0" w:color="auto"/>
        <w:left w:val="none" w:sz="0" w:space="0" w:color="auto"/>
        <w:bottom w:val="none" w:sz="0" w:space="0" w:color="auto"/>
        <w:right w:val="none" w:sz="0" w:space="0" w:color="auto"/>
      </w:divBdr>
    </w:div>
    <w:div w:id="1761828861">
      <w:marLeft w:val="0"/>
      <w:marRight w:val="0"/>
      <w:marTop w:val="0"/>
      <w:marBottom w:val="0"/>
      <w:divBdr>
        <w:top w:val="none" w:sz="0" w:space="0" w:color="auto"/>
        <w:left w:val="none" w:sz="0" w:space="0" w:color="auto"/>
        <w:bottom w:val="none" w:sz="0" w:space="0" w:color="auto"/>
        <w:right w:val="none" w:sz="0" w:space="0" w:color="auto"/>
      </w:divBdr>
    </w:div>
    <w:div w:id="1762871158">
      <w:marLeft w:val="0"/>
      <w:marRight w:val="0"/>
      <w:marTop w:val="40"/>
      <w:marBottom w:val="40"/>
      <w:divBdr>
        <w:top w:val="none" w:sz="0" w:space="0" w:color="auto"/>
        <w:left w:val="none" w:sz="0" w:space="0" w:color="auto"/>
        <w:bottom w:val="none" w:sz="0" w:space="0" w:color="auto"/>
        <w:right w:val="none" w:sz="0" w:space="0" w:color="auto"/>
      </w:divBdr>
    </w:div>
    <w:div w:id="1763255768">
      <w:marLeft w:val="0"/>
      <w:marRight w:val="0"/>
      <w:marTop w:val="0"/>
      <w:marBottom w:val="0"/>
      <w:divBdr>
        <w:top w:val="none" w:sz="0" w:space="0" w:color="auto"/>
        <w:left w:val="none" w:sz="0" w:space="0" w:color="auto"/>
        <w:bottom w:val="none" w:sz="0" w:space="0" w:color="auto"/>
        <w:right w:val="none" w:sz="0" w:space="0" w:color="auto"/>
      </w:divBdr>
    </w:div>
    <w:div w:id="1764842195">
      <w:marLeft w:val="0"/>
      <w:marRight w:val="0"/>
      <w:marTop w:val="0"/>
      <w:marBottom w:val="0"/>
      <w:divBdr>
        <w:top w:val="none" w:sz="0" w:space="0" w:color="auto"/>
        <w:left w:val="none" w:sz="0" w:space="0" w:color="auto"/>
        <w:bottom w:val="none" w:sz="0" w:space="0" w:color="auto"/>
        <w:right w:val="none" w:sz="0" w:space="0" w:color="auto"/>
      </w:divBdr>
    </w:div>
    <w:div w:id="1765758258">
      <w:marLeft w:val="0"/>
      <w:marRight w:val="0"/>
      <w:marTop w:val="0"/>
      <w:marBottom w:val="0"/>
      <w:divBdr>
        <w:top w:val="none" w:sz="0" w:space="0" w:color="auto"/>
        <w:left w:val="none" w:sz="0" w:space="0" w:color="auto"/>
        <w:bottom w:val="none" w:sz="0" w:space="0" w:color="auto"/>
        <w:right w:val="none" w:sz="0" w:space="0" w:color="auto"/>
      </w:divBdr>
      <w:divsChild>
        <w:div w:id="1445230256">
          <w:marLeft w:val="0"/>
          <w:marRight w:val="0"/>
          <w:marTop w:val="0"/>
          <w:marBottom w:val="0"/>
          <w:divBdr>
            <w:top w:val="none" w:sz="0" w:space="0" w:color="auto"/>
            <w:left w:val="none" w:sz="0" w:space="0" w:color="auto"/>
            <w:bottom w:val="none" w:sz="0" w:space="0" w:color="auto"/>
            <w:right w:val="none" w:sz="0" w:space="0" w:color="auto"/>
          </w:divBdr>
        </w:div>
      </w:divsChild>
    </w:div>
    <w:div w:id="1766919028">
      <w:marLeft w:val="0"/>
      <w:marRight w:val="0"/>
      <w:marTop w:val="0"/>
      <w:marBottom w:val="0"/>
      <w:divBdr>
        <w:top w:val="none" w:sz="0" w:space="0" w:color="auto"/>
        <w:left w:val="none" w:sz="0" w:space="0" w:color="auto"/>
        <w:bottom w:val="none" w:sz="0" w:space="0" w:color="auto"/>
        <w:right w:val="none" w:sz="0" w:space="0" w:color="auto"/>
      </w:divBdr>
    </w:div>
    <w:div w:id="1767269569">
      <w:marLeft w:val="0"/>
      <w:marRight w:val="0"/>
      <w:marTop w:val="0"/>
      <w:marBottom w:val="0"/>
      <w:divBdr>
        <w:top w:val="none" w:sz="0" w:space="0" w:color="auto"/>
        <w:left w:val="none" w:sz="0" w:space="0" w:color="auto"/>
        <w:bottom w:val="none" w:sz="0" w:space="0" w:color="auto"/>
        <w:right w:val="none" w:sz="0" w:space="0" w:color="auto"/>
      </w:divBdr>
    </w:div>
    <w:div w:id="1771706844">
      <w:marLeft w:val="0"/>
      <w:marRight w:val="0"/>
      <w:marTop w:val="0"/>
      <w:marBottom w:val="0"/>
      <w:divBdr>
        <w:top w:val="none" w:sz="0" w:space="0" w:color="auto"/>
        <w:left w:val="none" w:sz="0" w:space="0" w:color="auto"/>
        <w:bottom w:val="none" w:sz="0" w:space="0" w:color="auto"/>
        <w:right w:val="none" w:sz="0" w:space="0" w:color="auto"/>
      </w:divBdr>
    </w:div>
    <w:div w:id="1774200198">
      <w:marLeft w:val="0"/>
      <w:marRight w:val="0"/>
      <w:marTop w:val="0"/>
      <w:marBottom w:val="0"/>
      <w:divBdr>
        <w:top w:val="none" w:sz="0" w:space="0" w:color="auto"/>
        <w:left w:val="none" w:sz="0" w:space="0" w:color="auto"/>
        <w:bottom w:val="none" w:sz="0" w:space="0" w:color="auto"/>
        <w:right w:val="none" w:sz="0" w:space="0" w:color="auto"/>
      </w:divBdr>
      <w:divsChild>
        <w:div w:id="1810826526">
          <w:marLeft w:val="0"/>
          <w:marRight w:val="0"/>
          <w:marTop w:val="0"/>
          <w:marBottom w:val="0"/>
          <w:divBdr>
            <w:top w:val="none" w:sz="0" w:space="0" w:color="auto"/>
            <w:left w:val="none" w:sz="0" w:space="0" w:color="auto"/>
            <w:bottom w:val="none" w:sz="0" w:space="0" w:color="auto"/>
            <w:right w:val="none" w:sz="0" w:space="0" w:color="auto"/>
          </w:divBdr>
        </w:div>
      </w:divsChild>
    </w:div>
    <w:div w:id="1776366170">
      <w:marLeft w:val="0"/>
      <w:marRight w:val="0"/>
      <w:marTop w:val="0"/>
      <w:marBottom w:val="0"/>
      <w:divBdr>
        <w:top w:val="none" w:sz="0" w:space="0" w:color="auto"/>
        <w:left w:val="none" w:sz="0" w:space="0" w:color="auto"/>
        <w:bottom w:val="none" w:sz="0" w:space="0" w:color="auto"/>
        <w:right w:val="none" w:sz="0" w:space="0" w:color="auto"/>
      </w:divBdr>
    </w:div>
    <w:div w:id="1777748738">
      <w:marLeft w:val="0"/>
      <w:marRight w:val="0"/>
      <w:marTop w:val="0"/>
      <w:marBottom w:val="0"/>
      <w:divBdr>
        <w:top w:val="none" w:sz="0" w:space="0" w:color="auto"/>
        <w:left w:val="none" w:sz="0" w:space="0" w:color="auto"/>
        <w:bottom w:val="none" w:sz="0" w:space="0" w:color="auto"/>
        <w:right w:val="none" w:sz="0" w:space="0" w:color="auto"/>
      </w:divBdr>
    </w:div>
    <w:div w:id="1781680647">
      <w:marLeft w:val="0"/>
      <w:marRight w:val="0"/>
      <w:marTop w:val="0"/>
      <w:marBottom w:val="0"/>
      <w:divBdr>
        <w:top w:val="none" w:sz="0" w:space="0" w:color="auto"/>
        <w:left w:val="none" w:sz="0" w:space="0" w:color="auto"/>
        <w:bottom w:val="none" w:sz="0" w:space="0" w:color="auto"/>
        <w:right w:val="none" w:sz="0" w:space="0" w:color="auto"/>
      </w:divBdr>
    </w:div>
    <w:div w:id="1781759784">
      <w:marLeft w:val="0"/>
      <w:marRight w:val="0"/>
      <w:marTop w:val="0"/>
      <w:marBottom w:val="0"/>
      <w:divBdr>
        <w:top w:val="none" w:sz="0" w:space="0" w:color="auto"/>
        <w:left w:val="none" w:sz="0" w:space="0" w:color="auto"/>
        <w:bottom w:val="none" w:sz="0" w:space="0" w:color="auto"/>
        <w:right w:val="none" w:sz="0" w:space="0" w:color="auto"/>
      </w:divBdr>
    </w:div>
    <w:div w:id="1786077019">
      <w:marLeft w:val="0"/>
      <w:marRight w:val="0"/>
      <w:marTop w:val="0"/>
      <w:marBottom w:val="0"/>
      <w:divBdr>
        <w:top w:val="none" w:sz="0" w:space="0" w:color="auto"/>
        <w:left w:val="none" w:sz="0" w:space="0" w:color="auto"/>
        <w:bottom w:val="none" w:sz="0" w:space="0" w:color="auto"/>
        <w:right w:val="none" w:sz="0" w:space="0" w:color="auto"/>
      </w:divBdr>
    </w:div>
    <w:div w:id="1787893726">
      <w:marLeft w:val="0"/>
      <w:marRight w:val="0"/>
      <w:marTop w:val="0"/>
      <w:marBottom w:val="0"/>
      <w:divBdr>
        <w:top w:val="none" w:sz="0" w:space="0" w:color="auto"/>
        <w:left w:val="none" w:sz="0" w:space="0" w:color="auto"/>
        <w:bottom w:val="none" w:sz="0" w:space="0" w:color="auto"/>
        <w:right w:val="none" w:sz="0" w:space="0" w:color="auto"/>
      </w:divBdr>
    </w:div>
    <w:div w:id="1789353690">
      <w:marLeft w:val="0"/>
      <w:marRight w:val="0"/>
      <w:marTop w:val="0"/>
      <w:marBottom w:val="0"/>
      <w:divBdr>
        <w:top w:val="none" w:sz="0" w:space="0" w:color="auto"/>
        <w:left w:val="none" w:sz="0" w:space="0" w:color="auto"/>
        <w:bottom w:val="none" w:sz="0" w:space="0" w:color="auto"/>
        <w:right w:val="none" w:sz="0" w:space="0" w:color="auto"/>
      </w:divBdr>
    </w:div>
    <w:div w:id="1789662227">
      <w:marLeft w:val="0"/>
      <w:marRight w:val="0"/>
      <w:marTop w:val="0"/>
      <w:marBottom w:val="0"/>
      <w:divBdr>
        <w:top w:val="none" w:sz="0" w:space="0" w:color="auto"/>
        <w:left w:val="none" w:sz="0" w:space="0" w:color="auto"/>
        <w:bottom w:val="none" w:sz="0" w:space="0" w:color="auto"/>
        <w:right w:val="none" w:sz="0" w:space="0" w:color="auto"/>
      </w:divBdr>
    </w:div>
    <w:div w:id="1790128349">
      <w:marLeft w:val="0"/>
      <w:marRight w:val="0"/>
      <w:marTop w:val="0"/>
      <w:marBottom w:val="0"/>
      <w:divBdr>
        <w:top w:val="none" w:sz="0" w:space="0" w:color="auto"/>
        <w:left w:val="none" w:sz="0" w:space="0" w:color="auto"/>
        <w:bottom w:val="none" w:sz="0" w:space="0" w:color="auto"/>
        <w:right w:val="none" w:sz="0" w:space="0" w:color="auto"/>
      </w:divBdr>
    </w:div>
    <w:div w:id="1794667227">
      <w:marLeft w:val="0"/>
      <w:marRight w:val="0"/>
      <w:marTop w:val="0"/>
      <w:marBottom w:val="0"/>
      <w:divBdr>
        <w:top w:val="none" w:sz="0" w:space="0" w:color="auto"/>
        <w:left w:val="none" w:sz="0" w:space="0" w:color="auto"/>
        <w:bottom w:val="none" w:sz="0" w:space="0" w:color="auto"/>
        <w:right w:val="none" w:sz="0" w:space="0" w:color="auto"/>
      </w:divBdr>
    </w:div>
    <w:div w:id="1800145236">
      <w:marLeft w:val="0"/>
      <w:marRight w:val="0"/>
      <w:marTop w:val="0"/>
      <w:marBottom w:val="0"/>
      <w:divBdr>
        <w:top w:val="none" w:sz="0" w:space="0" w:color="auto"/>
        <w:left w:val="none" w:sz="0" w:space="0" w:color="auto"/>
        <w:bottom w:val="none" w:sz="0" w:space="0" w:color="auto"/>
        <w:right w:val="none" w:sz="0" w:space="0" w:color="auto"/>
      </w:divBdr>
    </w:div>
    <w:div w:id="1805658188">
      <w:marLeft w:val="0"/>
      <w:marRight w:val="0"/>
      <w:marTop w:val="0"/>
      <w:marBottom w:val="0"/>
      <w:divBdr>
        <w:top w:val="none" w:sz="0" w:space="0" w:color="auto"/>
        <w:left w:val="none" w:sz="0" w:space="0" w:color="auto"/>
        <w:bottom w:val="none" w:sz="0" w:space="0" w:color="auto"/>
        <w:right w:val="none" w:sz="0" w:space="0" w:color="auto"/>
      </w:divBdr>
    </w:div>
    <w:div w:id="1812558661">
      <w:marLeft w:val="0"/>
      <w:marRight w:val="0"/>
      <w:marTop w:val="0"/>
      <w:marBottom w:val="0"/>
      <w:divBdr>
        <w:top w:val="none" w:sz="0" w:space="0" w:color="auto"/>
        <w:left w:val="none" w:sz="0" w:space="0" w:color="auto"/>
        <w:bottom w:val="none" w:sz="0" w:space="0" w:color="auto"/>
        <w:right w:val="none" w:sz="0" w:space="0" w:color="auto"/>
      </w:divBdr>
    </w:div>
    <w:div w:id="1814977649">
      <w:marLeft w:val="0"/>
      <w:marRight w:val="0"/>
      <w:marTop w:val="0"/>
      <w:marBottom w:val="0"/>
      <w:divBdr>
        <w:top w:val="none" w:sz="0" w:space="0" w:color="auto"/>
        <w:left w:val="none" w:sz="0" w:space="0" w:color="auto"/>
        <w:bottom w:val="none" w:sz="0" w:space="0" w:color="auto"/>
        <w:right w:val="none" w:sz="0" w:space="0" w:color="auto"/>
      </w:divBdr>
      <w:divsChild>
        <w:div w:id="182670435">
          <w:marLeft w:val="0"/>
          <w:marRight w:val="0"/>
          <w:marTop w:val="0"/>
          <w:marBottom w:val="0"/>
          <w:divBdr>
            <w:top w:val="none" w:sz="0" w:space="0" w:color="auto"/>
            <w:left w:val="none" w:sz="0" w:space="0" w:color="auto"/>
            <w:bottom w:val="none" w:sz="0" w:space="0" w:color="auto"/>
            <w:right w:val="none" w:sz="0" w:space="0" w:color="auto"/>
          </w:divBdr>
        </w:div>
      </w:divsChild>
    </w:div>
    <w:div w:id="1815561153">
      <w:marLeft w:val="0"/>
      <w:marRight w:val="0"/>
      <w:marTop w:val="0"/>
      <w:marBottom w:val="0"/>
      <w:divBdr>
        <w:top w:val="none" w:sz="0" w:space="0" w:color="auto"/>
        <w:left w:val="none" w:sz="0" w:space="0" w:color="auto"/>
        <w:bottom w:val="none" w:sz="0" w:space="0" w:color="auto"/>
        <w:right w:val="none" w:sz="0" w:space="0" w:color="auto"/>
      </w:divBdr>
    </w:div>
    <w:div w:id="1818035776">
      <w:marLeft w:val="0"/>
      <w:marRight w:val="0"/>
      <w:marTop w:val="0"/>
      <w:marBottom w:val="0"/>
      <w:divBdr>
        <w:top w:val="none" w:sz="0" w:space="0" w:color="auto"/>
        <w:left w:val="none" w:sz="0" w:space="0" w:color="auto"/>
        <w:bottom w:val="none" w:sz="0" w:space="0" w:color="auto"/>
        <w:right w:val="none" w:sz="0" w:space="0" w:color="auto"/>
      </w:divBdr>
      <w:divsChild>
        <w:div w:id="804273477">
          <w:marLeft w:val="0"/>
          <w:marRight w:val="0"/>
          <w:marTop w:val="0"/>
          <w:marBottom w:val="0"/>
          <w:divBdr>
            <w:top w:val="none" w:sz="0" w:space="0" w:color="auto"/>
            <w:left w:val="none" w:sz="0" w:space="0" w:color="auto"/>
            <w:bottom w:val="none" w:sz="0" w:space="0" w:color="auto"/>
            <w:right w:val="none" w:sz="0" w:space="0" w:color="auto"/>
          </w:divBdr>
        </w:div>
        <w:div w:id="391536983">
          <w:marLeft w:val="0"/>
          <w:marRight w:val="0"/>
          <w:marTop w:val="0"/>
          <w:marBottom w:val="0"/>
          <w:divBdr>
            <w:top w:val="none" w:sz="0" w:space="0" w:color="auto"/>
            <w:left w:val="none" w:sz="0" w:space="0" w:color="auto"/>
            <w:bottom w:val="none" w:sz="0" w:space="0" w:color="auto"/>
            <w:right w:val="none" w:sz="0" w:space="0" w:color="auto"/>
          </w:divBdr>
        </w:div>
        <w:div w:id="1888905142">
          <w:marLeft w:val="0"/>
          <w:marRight w:val="0"/>
          <w:marTop w:val="0"/>
          <w:marBottom w:val="0"/>
          <w:divBdr>
            <w:top w:val="none" w:sz="0" w:space="0" w:color="auto"/>
            <w:left w:val="none" w:sz="0" w:space="0" w:color="auto"/>
            <w:bottom w:val="none" w:sz="0" w:space="0" w:color="auto"/>
            <w:right w:val="none" w:sz="0" w:space="0" w:color="auto"/>
          </w:divBdr>
        </w:div>
      </w:divsChild>
    </w:div>
    <w:div w:id="1820344864">
      <w:marLeft w:val="0"/>
      <w:marRight w:val="0"/>
      <w:marTop w:val="0"/>
      <w:marBottom w:val="0"/>
      <w:divBdr>
        <w:top w:val="none" w:sz="0" w:space="0" w:color="auto"/>
        <w:left w:val="none" w:sz="0" w:space="0" w:color="auto"/>
        <w:bottom w:val="none" w:sz="0" w:space="0" w:color="auto"/>
        <w:right w:val="none" w:sz="0" w:space="0" w:color="auto"/>
      </w:divBdr>
    </w:div>
    <w:div w:id="1820417153">
      <w:marLeft w:val="0"/>
      <w:marRight w:val="0"/>
      <w:marTop w:val="0"/>
      <w:marBottom w:val="0"/>
      <w:divBdr>
        <w:top w:val="none" w:sz="0" w:space="0" w:color="auto"/>
        <w:left w:val="none" w:sz="0" w:space="0" w:color="auto"/>
        <w:bottom w:val="none" w:sz="0" w:space="0" w:color="auto"/>
        <w:right w:val="none" w:sz="0" w:space="0" w:color="auto"/>
      </w:divBdr>
    </w:div>
    <w:div w:id="1823504889">
      <w:marLeft w:val="0"/>
      <w:marRight w:val="0"/>
      <w:marTop w:val="0"/>
      <w:marBottom w:val="0"/>
      <w:divBdr>
        <w:top w:val="none" w:sz="0" w:space="0" w:color="auto"/>
        <w:left w:val="none" w:sz="0" w:space="0" w:color="auto"/>
        <w:bottom w:val="none" w:sz="0" w:space="0" w:color="auto"/>
        <w:right w:val="none" w:sz="0" w:space="0" w:color="auto"/>
      </w:divBdr>
    </w:div>
    <w:div w:id="1823696950">
      <w:marLeft w:val="0"/>
      <w:marRight w:val="0"/>
      <w:marTop w:val="0"/>
      <w:marBottom w:val="0"/>
      <w:divBdr>
        <w:top w:val="none" w:sz="0" w:space="0" w:color="auto"/>
        <w:left w:val="none" w:sz="0" w:space="0" w:color="auto"/>
        <w:bottom w:val="none" w:sz="0" w:space="0" w:color="auto"/>
        <w:right w:val="none" w:sz="0" w:space="0" w:color="auto"/>
      </w:divBdr>
    </w:div>
    <w:div w:id="1829246884">
      <w:marLeft w:val="0"/>
      <w:marRight w:val="0"/>
      <w:marTop w:val="0"/>
      <w:marBottom w:val="0"/>
      <w:divBdr>
        <w:top w:val="none" w:sz="0" w:space="0" w:color="auto"/>
        <w:left w:val="none" w:sz="0" w:space="0" w:color="auto"/>
        <w:bottom w:val="none" w:sz="0" w:space="0" w:color="auto"/>
        <w:right w:val="none" w:sz="0" w:space="0" w:color="auto"/>
      </w:divBdr>
    </w:div>
    <w:div w:id="1830361120">
      <w:marLeft w:val="0"/>
      <w:marRight w:val="0"/>
      <w:marTop w:val="0"/>
      <w:marBottom w:val="0"/>
      <w:divBdr>
        <w:top w:val="none" w:sz="0" w:space="0" w:color="auto"/>
        <w:left w:val="none" w:sz="0" w:space="0" w:color="auto"/>
        <w:bottom w:val="none" w:sz="0" w:space="0" w:color="auto"/>
        <w:right w:val="none" w:sz="0" w:space="0" w:color="auto"/>
      </w:divBdr>
    </w:div>
    <w:div w:id="1831367996">
      <w:marLeft w:val="0"/>
      <w:marRight w:val="0"/>
      <w:marTop w:val="0"/>
      <w:marBottom w:val="0"/>
      <w:divBdr>
        <w:top w:val="none" w:sz="0" w:space="0" w:color="auto"/>
        <w:left w:val="none" w:sz="0" w:space="0" w:color="auto"/>
        <w:bottom w:val="none" w:sz="0" w:space="0" w:color="auto"/>
        <w:right w:val="none" w:sz="0" w:space="0" w:color="auto"/>
      </w:divBdr>
    </w:div>
    <w:div w:id="1833834149">
      <w:marLeft w:val="0"/>
      <w:marRight w:val="0"/>
      <w:marTop w:val="0"/>
      <w:marBottom w:val="0"/>
      <w:divBdr>
        <w:top w:val="none" w:sz="0" w:space="0" w:color="auto"/>
        <w:left w:val="none" w:sz="0" w:space="0" w:color="auto"/>
        <w:bottom w:val="none" w:sz="0" w:space="0" w:color="auto"/>
        <w:right w:val="none" w:sz="0" w:space="0" w:color="auto"/>
      </w:divBdr>
    </w:div>
    <w:div w:id="1835804494">
      <w:marLeft w:val="0"/>
      <w:marRight w:val="0"/>
      <w:marTop w:val="0"/>
      <w:marBottom w:val="0"/>
      <w:divBdr>
        <w:top w:val="none" w:sz="0" w:space="0" w:color="auto"/>
        <w:left w:val="none" w:sz="0" w:space="0" w:color="auto"/>
        <w:bottom w:val="none" w:sz="0" w:space="0" w:color="auto"/>
        <w:right w:val="none" w:sz="0" w:space="0" w:color="auto"/>
      </w:divBdr>
    </w:div>
    <w:div w:id="1835996124">
      <w:marLeft w:val="0"/>
      <w:marRight w:val="0"/>
      <w:marTop w:val="0"/>
      <w:marBottom w:val="0"/>
      <w:divBdr>
        <w:top w:val="none" w:sz="0" w:space="0" w:color="auto"/>
        <w:left w:val="none" w:sz="0" w:space="0" w:color="auto"/>
        <w:bottom w:val="none" w:sz="0" w:space="0" w:color="auto"/>
        <w:right w:val="none" w:sz="0" w:space="0" w:color="auto"/>
      </w:divBdr>
    </w:div>
    <w:div w:id="1838613772">
      <w:marLeft w:val="0"/>
      <w:marRight w:val="0"/>
      <w:marTop w:val="0"/>
      <w:marBottom w:val="0"/>
      <w:divBdr>
        <w:top w:val="none" w:sz="0" w:space="0" w:color="auto"/>
        <w:left w:val="none" w:sz="0" w:space="0" w:color="auto"/>
        <w:bottom w:val="none" w:sz="0" w:space="0" w:color="auto"/>
        <w:right w:val="none" w:sz="0" w:space="0" w:color="auto"/>
      </w:divBdr>
    </w:div>
    <w:div w:id="1845049666">
      <w:marLeft w:val="0"/>
      <w:marRight w:val="0"/>
      <w:marTop w:val="0"/>
      <w:marBottom w:val="0"/>
      <w:divBdr>
        <w:top w:val="none" w:sz="0" w:space="0" w:color="auto"/>
        <w:left w:val="none" w:sz="0" w:space="0" w:color="auto"/>
        <w:bottom w:val="none" w:sz="0" w:space="0" w:color="auto"/>
        <w:right w:val="none" w:sz="0" w:space="0" w:color="auto"/>
      </w:divBdr>
    </w:div>
    <w:div w:id="1846431572">
      <w:marLeft w:val="0"/>
      <w:marRight w:val="0"/>
      <w:marTop w:val="0"/>
      <w:marBottom w:val="0"/>
      <w:divBdr>
        <w:top w:val="none" w:sz="0" w:space="0" w:color="auto"/>
        <w:left w:val="none" w:sz="0" w:space="0" w:color="auto"/>
        <w:bottom w:val="none" w:sz="0" w:space="0" w:color="auto"/>
        <w:right w:val="none" w:sz="0" w:space="0" w:color="auto"/>
      </w:divBdr>
    </w:div>
    <w:div w:id="1852530026">
      <w:marLeft w:val="0"/>
      <w:marRight w:val="0"/>
      <w:marTop w:val="0"/>
      <w:marBottom w:val="0"/>
      <w:divBdr>
        <w:top w:val="none" w:sz="0" w:space="0" w:color="auto"/>
        <w:left w:val="none" w:sz="0" w:space="0" w:color="auto"/>
        <w:bottom w:val="none" w:sz="0" w:space="0" w:color="auto"/>
        <w:right w:val="none" w:sz="0" w:space="0" w:color="auto"/>
      </w:divBdr>
    </w:div>
    <w:div w:id="1853449918">
      <w:marLeft w:val="0"/>
      <w:marRight w:val="0"/>
      <w:marTop w:val="0"/>
      <w:marBottom w:val="0"/>
      <w:divBdr>
        <w:top w:val="none" w:sz="0" w:space="0" w:color="auto"/>
        <w:left w:val="none" w:sz="0" w:space="0" w:color="auto"/>
        <w:bottom w:val="none" w:sz="0" w:space="0" w:color="auto"/>
        <w:right w:val="none" w:sz="0" w:space="0" w:color="auto"/>
      </w:divBdr>
    </w:div>
    <w:div w:id="1855608669">
      <w:marLeft w:val="0"/>
      <w:marRight w:val="0"/>
      <w:marTop w:val="0"/>
      <w:marBottom w:val="0"/>
      <w:divBdr>
        <w:top w:val="none" w:sz="0" w:space="0" w:color="auto"/>
        <w:left w:val="none" w:sz="0" w:space="0" w:color="auto"/>
        <w:bottom w:val="none" w:sz="0" w:space="0" w:color="auto"/>
        <w:right w:val="none" w:sz="0" w:space="0" w:color="auto"/>
      </w:divBdr>
    </w:div>
    <w:div w:id="1857499650">
      <w:marLeft w:val="0"/>
      <w:marRight w:val="0"/>
      <w:marTop w:val="0"/>
      <w:marBottom w:val="0"/>
      <w:divBdr>
        <w:top w:val="none" w:sz="0" w:space="0" w:color="auto"/>
        <w:left w:val="none" w:sz="0" w:space="0" w:color="auto"/>
        <w:bottom w:val="none" w:sz="0" w:space="0" w:color="auto"/>
        <w:right w:val="none" w:sz="0" w:space="0" w:color="auto"/>
      </w:divBdr>
    </w:div>
    <w:div w:id="1860388759">
      <w:marLeft w:val="0"/>
      <w:marRight w:val="0"/>
      <w:marTop w:val="0"/>
      <w:marBottom w:val="0"/>
      <w:divBdr>
        <w:top w:val="none" w:sz="0" w:space="0" w:color="auto"/>
        <w:left w:val="none" w:sz="0" w:space="0" w:color="auto"/>
        <w:bottom w:val="none" w:sz="0" w:space="0" w:color="auto"/>
        <w:right w:val="none" w:sz="0" w:space="0" w:color="auto"/>
      </w:divBdr>
    </w:div>
    <w:div w:id="1862668134">
      <w:marLeft w:val="0"/>
      <w:marRight w:val="0"/>
      <w:marTop w:val="0"/>
      <w:marBottom w:val="0"/>
      <w:divBdr>
        <w:top w:val="none" w:sz="0" w:space="0" w:color="auto"/>
        <w:left w:val="none" w:sz="0" w:space="0" w:color="auto"/>
        <w:bottom w:val="none" w:sz="0" w:space="0" w:color="auto"/>
        <w:right w:val="none" w:sz="0" w:space="0" w:color="auto"/>
      </w:divBdr>
    </w:div>
    <w:div w:id="1863208436">
      <w:marLeft w:val="0"/>
      <w:marRight w:val="0"/>
      <w:marTop w:val="0"/>
      <w:marBottom w:val="0"/>
      <w:divBdr>
        <w:top w:val="none" w:sz="0" w:space="0" w:color="auto"/>
        <w:left w:val="none" w:sz="0" w:space="0" w:color="auto"/>
        <w:bottom w:val="none" w:sz="0" w:space="0" w:color="auto"/>
        <w:right w:val="none" w:sz="0" w:space="0" w:color="auto"/>
      </w:divBdr>
    </w:div>
    <w:div w:id="1864662312">
      <w:marLeft w:val="0"/>
      <w:marRight w:val="0"/>
      <w:marTop w:val="0"/>
      <w:marBottom w:val="0"/>
      <w:divBdr>
        <w:top w:val="none" w:sz="0" w:space="0" w:color="auto"/>
        <w:left w:val="none" w:sz="0" w:space="0" w:color="auto"/>
        <w:bottom w:val="none" w:sz="0" w:space="0" w:color="auto"/>
        <w:right w:val="none" w:sz="0" w:space="0" w:color="auto"/>
      </w:divBdr>
    </w:div>
    <w:div w:id="1869488080">
      <w:marLeft w:val="0"/>
      <w:marRight w:val="0"/>
      <w:marTop w:val="0"/>
      <w:marBottom w:val="0"/>
      <w:divBdr>
        <w:top w:val="none" w:sz="0" w:space="0" w:color="auto"/>
        <w:left w:val="none" w:sz="0" w:space="0" w:color="auto"/>
        <w:bottom w:val="none" w:sz="0" w:space="0" w:color="auto"/>
        <w:right w:val="none" w:sz="0" w:space="0" w:color="auto"/>
      </w:divBdr>
    </w:div>
    <w:div w:id="1869830666">
      <w:marLeft w:val="0"/>
      <w:marRight w:val="0"/>
      <w:marTop w:val="0"/>
      <w:marBottom w:val="0"/>
      <w:divBdr>
        <w:top w:val="none" w:sz="0" w:space="0" w:color="auto"/>
        <w:left w:val="none" w:sz="0" w:space="0" w:color="auto"/>
        <w:bottom w:val="none" w:sz="0" w:space="0" w:color="auto"/>
        <w:right w:val="none" w:sz="0" w:space="0" w:color="auto"/>
      </w:divBdr>
      <w:divsChild>
        <w:div w:id="1956521276">
          <w:marLeft w:val="0"/>
          <w:marRight w:val="0"/>
          <w:marTop w:val="0"/>
          <w:marBottom w:val="0"/>
          <w:divBdr>
            <w:top w:val="none" w:sz="0" w:space="0" w:color="auto"/>
            <w:left w:val="none" w:sz="0" w:space="0" w:color="auto"/>
            <w:bottom w:val="none" w:sz="0" w:space="0" w:color="auto"/>
            <w:right w:val="none" w:sz="0" w:space="0" w:color="auto"/>
          </w:divBdr>
        </w:div>
      </w:divsChild>
    </w:div>
    <w:div w:id="1870146280">
      <w:marLeft w:val="0"/>
      <w:marRight w:val="0"/>
      <w:marTop w:val="0"/>
      <w:marBottom w:val="0"/>
      <w:divBdr>
        <w:top w:val="none" w:sz="0" w:space="0" w:color="auto"/>
        <w:left w:val="none" w:sz="0" w:space="0" w:color="auto"/>
        <w:bottom w:val="none" w:sz="0" w:space="0" w:color="auto"/>
        <w:right w:val="none" w:sz="0" w:space="0" w:color="auto"/>
      </w:divBdr>
    </w:div>
    <w:div w:id="1873416138">
      <w:marLeft w:val="0"/>
      <w:marRight w:val="0"/>
      <w:marTop w:val="0"/>
      <w:marBottom w:val="0"/>
      <w:divBdr>
        <w:top w:val="none" w:sz="0" w:space="0" w:color="auto"/>
        <w:left w:val="none" w:sz="0" w:space="0" w:color="auto"/>
        <w:bottom w:val="none" w:sz="0" w:space="0" w:color="auto"/>
        <w:right w:val="none" w:sz="0" w:space="0" w:color="auto"/>
      </w:divBdr>
    </w:div>
    <w:div w:id="1876186879">
      <w:marLeft w:val="0"/>
      <w:marRight w:val="0"/>
      <w:marTop w:val="0"/>
      <w:marBottom w:val="0"/>
      <w:divBdr>
        <w:top w:val="none" w:sz="0" w:space="0" w:color="auto"/>
        <w:left w:val="none" w:sz="0" w:space="0" w:color="auto"/>
        <w:bottom w:val="none" w:sz="0" w:space="0" w:color="auto"/>
        <w:right w:val="none" w:sz="0" w:space="0" w:color="auto"/>
      </w:divBdr>
      <w:divsChild>
        <w:div w:id="469519815">
          <w:marLeft w:val="0"/>
          <w:marRight w:val="0"/>
          <w:marTop w:val="0"/>
          <w:marBottom w:val="0"/>
          <w:divBdr>
            <w:top w:val="none" w:sz="0" w:space="0" w:color="auto"/>
            <w:left w:val="none" w:sz="0" w:space="0" w:color="auto"/>
            <w:bottom w:val="none" w:sz="0" w:space="0" w:color="auto"/>
            <w:right w:val="none" w:sz="0" w:space="0" w:color="auto"/>
          </w:divBdr>
        </w:div>
      </w:divsChild>
    </w:div>
    <w:div w:id="1876459441">
      <w:marLeft w:val="0"/>
      <w:marRight w:val="0"/>
      <w:marTop w:val="0"/>
      <w:marBottom w:val="0"/>
      <w:divBdr>
        <w:top w:val="none" w:sz="0" w:space="0" w:color="auto"/>
        <w:left w:val="none" w:sz="0" w:space="0" w:color="auto"/>
        <w:bottom w:val="none" w:sz="0" w:space="0" w:color="auto"/>
        <w:right w:val="none" w:sz="0" w:space="0" w:color="auto"/>
      </w:divBdr>
    </w:div>
    <w:div w:id="1879658427">
      <w:marLeft w:val="0"/>
      <w:marRight w:val="0"/>
      <w:marTop w:val="0"/>
      <w:marBottom w:val="0"/>
      <w:divBdr>
        <w:top w:val="none" w:sz="0" w:space="0" w:color="auto"/>
        <w:left w:val="none" w:sz="0" w:space="0" w:color="auto"/>
        <w:bottom w:val="none" w:sz="0" w:space="0" w:color="auto"/>
        <w:right w:val="none" w:sz="0" w:space="0" w:color="auto"/>
      </w:divBdr>
    </w:div>
    <w:div w:id="1880819824">
      <w:marLeft w:val="0"/>
      <w:marRight w:val="0"/>
      <w:marTop w:val="0"/>
      <w:marBottom w:val="0"/>
      <w:divBdr>
        <w:top w:val="none" w:sz="0" w:space="0" w:color="auto"/>
        <w:left w:val="none" w:sz="0" w:space="0" w:color="auto"/>
        <w:bottom w:val="none" w:sz="0" w:space="0" w:color="auto"/>
        <w:right w:val="none" w:sz="0" w:space="0" w:color="auto"/>
      </w:divBdr>
    </w:div>
    <w:div w:id="1882403166">
      <w:marLeft w:val="0"/>
      <w:marRight w:val="0"/>
      <w:marTop w:val="0"/>
      <w:marBottom w:val="0"/>
      <w:divBdr>
        <w:top w:val="none" w:sz="0" w:space="0" w:color="auto"/>
        <w:left w:val="none" w:sz="0" w:space="0" w:color="auto"/>
        <w:bottom w:val="none" w:sz="0" w:space="0" w:color="auto"/>
        <w:right w:val="none" w:sz="0" w:space="0" w:color="auto"/>
      </w:divBdr>
    </w:div>
    <w:div w:id="1883856996">
      <w:marLeft w:val="0"/>
      <w:marRight w:val="0"/>
      <w:marTop w:val="0"/>
      <w:marBottom w:val="0"/>
      <w:divBdr>
        <w:top w:val="none" w:sz="0" w:space="0" w:color="auto"/>
        <w:left w:val="none" w:sz="0" w:space="0" w:color="auto"/>
        <w:bottom w:val="none" w:sz="0" w:space="0" w:color="auto"/>
        <w:right w:val="none" w:sz="0" w:space="0" w:color="auto"/>
      </w:divBdr>
    </w:div>
    <w:div w:id="1884247076">
      <w:marLeft w:val="0"/>
      <w:marRight w:val="0"/>
      <w:marTop w:val="0"/>
      <w:marBottom w:val="0"/>
      <w:divBdr>
        <w:top w:val="none" w:sz="0" w:space="0" w:color="auto"/>
        <w:left w:val="none" w:sz="0" w:space="0" w:color="auto"/>
        <w:bottom w:val="none" w:sz="0" w:space="0" w:color="auto"/>
        <w:right w:val="none" w:sz="0" w:space="0" w:color="auto"/>
      </w:divBdr>
    </w:div>
    <w:div w:id="1885025170">
      <w:marLeft w:val="0"/>
      <w:marRight w:val="0"/>
      <w:marTop w:val="0"/>
      <w:marBottom w:val="0"/>
      <w:divBdr>
        <w:top w:val="none" w:sz="0" w:space="0" w:color="auto"/>
        <w:left w:val="none" w:sz="0" w:space="0" w:color="auto"/>
        <w:bottom w:val="none" w:sz="0" w:space="0" w:color="auto"/>
        <w:right w:val="none" w:sz="0" w:space="0" w:color="auto"/>
      </w:divBdr>
    </w:div>
    <w:div w:id="1888253861">
      <w:marLeft w:val="0"/>
      <w:marRight w:val="0"/>
      <w:marTop w:val="0"/>
      <w:marBottom w:val="0"/>
      <w:divBdr>
        <w:top w:val="none" w:sz="0" w:space="0" w:color="auto"/>
        <w:left w:val="none" w:sz="0" w:space="0" w:color="auto"/>
        <w:bottom w:val="none" w:sz="0" w:space="0" w:color="auto"/>
        <w:right w:val="none" w:sz="0" w:space="0" w:color="auto"/>
      </w:divBdr>
    </w:div>
    <w:div w:id="1892646588">
      <w:marLeft w:val="0"/>
      <w:marRight w:val="0"/>
      <w:marTop w:val="100"/>
      <w:marBottom w:val="80"/>
      <w:divBdr>
        <w:top w:val="none" w:sz="0" w:space="0" w:color="auto"/>
        <w:left w:val="none" w:sz="0" w:space="0" w:color="auto"/>
        <w:bottom w:val="none" w:sz="0" w:space="0" w:color="auto"/>
        <w:right w:val="none" w:sz="0" w:space="0" w:color="auto"/>
      </w:divBdr>
    </w:div>
    <w:div w:id="1895459922">
      <w:marLeft w:val="0"/>
      <w:marRight w:val="0"/>
      <w:marTop w:val="0"/>
      <w:marBottom w:val="0"/>
      <w:divBdr>
        <w:top w:val="none" w:sz="0" w:space="0" w:color="auto"/>
        <w:left w:val="none" w:sz="0" w:space="0" w:color="auto"/>
        <w:bottom w:val="none" w:sz="0" w:space="0" w:color="auto"/>
        <w:right w:val="none" w:sz="0" w:space="0" w:color="auto"/>
      </w:divBdr>
    </w:div>
    <w:div w:id="1898517301">
      <w:marLeft w:val="0"/>
      <w:marRight w:val="0"/>
      <w:marTop w:val="0"/>
      <w:marBottom w:val="0"/>
      <w:divBdr>
        <w:top w:val="none" w:sz="0" w:space="0" w:color="auto"/>
        <w:left w:val="none" w:sz="0" w:space="0" w:color="auto"/>
        <w:bottom w:val="none" w:sz="0" w:space="0" w:color="auto"/>
        <w:right w:val="none" w:sz="0" w:space="0" w:color="auto"/>
      </w:divBdr>
    </w:div>
    <w:div w:id="1899122084">
      <w:marLeft w:val="0"/>
      <w:marRight w:val="0"/>
      <w:marTop w:val="0"/>
      <w:marBottom w:val="0"/>
      <w:divBdr>
        <w:top w:val="none" w:sz="0" w:space="0" w:color="auto"/>
        <w:left w:val="none" w:sz="0" w:space="0" w:color="auto"/>
        <w:bottom w:val="none" w:sz="0" w:space="0" w:color="auto"/>
        <w:right w:val="none" w:sz="0" w:space="0" w:color="auto"/>
      </w:divBdr>
    </w:div>
    <w:div w:id="1901549975">
      <w:marLeft w:val="0"/>
      <w:marRight w:val="0"/>
      <w:marTop w:val="0"/>
      <w:marBottom w:val="0"/>
      <w:divBdr>
        <w:top w:val="none" w:sz="0" w:space="0" w:color="auto"/>
        <w:left w:val="none" w:sz="0" w:space="0" w:color="auto"/>
        <w:bottom w:val="none" w:sz="0" w:space="0" w:color="auto"/>
        <w:right w:val="none" w:sz="0" w:space="0" w:color="auto"/>
      </w:divBdr>
    </w:div>
    <w:div w:id="1903826222">
      <w:marLeft w:val="0"/>
      <w:marRight w:val="0"/>
      <w:marTop w:val="0"/>
      <w:marBottom w:val="0"/>
      <w:divBdr>
        <w:top w:val="none" w:sz="0" w:space="0" w:color="auto"/>
        <w:left w:val="none" w:sz="0" w:space="0" w:color="auto"/>
        <w:bottom w:val="none" w:sz="0" w:space="0" w:color="auto"/>
        <w:right w:val="none" w:sz="0" w:space="0" w:color="auto"/>
      </w:divBdr>
    </w:div>
    <w:div w:id="1904638399">
      <w:marLeft w:val="0"/>
      <w:marRight w:val="0"/>
      <w:marTop w:val="0"/>
      <w:marBottom w:val="0"/>
      <w:divBdr>
        <w:top w:val="none" w:sz="0" w:space="0" w:color="auto"/>
        <w:left w:val="none" w:sz="0" w:space="0" w:color="auto"/>
        <w:bottom w:val="none" w:sz="0" w:space="0" w:color="auto"/>
        <w:right w:val="none" w:sz="0" w:space="0" w:color="auto"/>
      </w:divBdr>
    </w:div>
    <w:div w:id="1904751744">
      <w:marLeft w:val="0"/>
      <w:marRight w:val="0"/>
      <w:marTop w:val="0"/>
      <w:marBottom w:val="0"/>
      <w:divBdr>
        <w:top w:val="none" w:sz="0" w:space="0" w:color="auto"/>
        <w:left w:val="none" w:sz="0" w:space="0" w:color="auto"/>
        <w:bottom w:val="none" w:sz="0" w:space="0" w:color="auto"/>
        <w:right w:val="none" w:sz="0" w:space="0" w:color="auto"/>
      </w:divBdr>
    </w:div>
    <w:div w:id="1905019775">
      <w:marLeft w:val="0"/>
      <w:marRight w:val="0"/>
      <w:marTop w:val="0"/>
      <w:marBottom w:val="0"/>
      <w:divBdr>
        <w:top w:val="none" w:sz="0" w:space="0" w:color="auto"/>
        <w:left w:val="none" w:sz="0" w:space="0" w:color="auto"/>
        <w:bottom w:val="none" w:sz="0" w:space="0" w:color="auto"/>
        <w:right w:val="none" w:sz="0" w:space="0" w:color="auto"/>
      </w:divBdr>
    </w:div>
    <w:div w:id="1906407590">
      <w:marLeft w:val="0"/>
      <w:marRight w:val="0"/>
      <w:marTop w:val="0"/>
      <w:marBottom w:val="0"/>
      <w:divBdr>
        <w:top w:val="none" w:sz="0" w:space="0" w:color="auto"/>
        <w:left w:val="none" w:sz="0" w:space="0" w:color="auto"/>
        <w:bottom w:val="none" w:sz="0" w:space="0" w:color="auto"/>
        <w:right w:val="none" w:sz="0" w:space="0" w:color="auto"/>
      </w:divBdr>
    </w:div>
    <w:div w:id="1909067849">
      <w:marLeft w:val="0"/>
      <w:marRight w:val="0"/>
      <w:marTop w:val="0"/>
      <w:marBottom w:val="0"/>
      <w:divBdr>
        <w:top w:val="none" w:sz="0" w:space="0" w:color="auto"/>
        <w:left w:val="none" w:sz="0" w:space="0" w:color="auto"/>
        <w:bottom w:val="none" w:sz="0" w:space="0" w:color="auto"/>
        <w:right w:val="none" w:sz="0" w:space="0" w:color="auto"/>
      </w:divBdr>
    </w:div>
    <w:div w:id="1909532144">
      <w:marLeft w:val="0"/>
      <w:marRight w:val="0"/>
      <w:marTop w:val="0"/>
      <w:marBottom w:val="0"/>
      <w:divBdr>
        <w:top w:val="none" w:sz="0" w:space="0" w:color="auto"/>
        <w:left w:val="none" w:sz="0" w:space="0" w:color="auto"/>
        <w:bottom w:val="none" w:sz="0" w:space="0" w:color="auto"/>
        <w:right w:val="none" w:sz="0" w:space="0" w:color="auto"/>
      </w:divBdr>
      <w:divsChild>
        <w:div w:id="134034632">
          <w:marLeft w:val="0"/>
          <w:marRight w:val="0"/>
          <w:marTop w:val="0"/>
          <w:marBottom w:val="0"/>
          <w:divBdr>
            <w:top w:val="none" w:sz="0" w:space="0" w:color="auto"/>
            <w:left w:val="none" w:sz="0" w:space="0" w:color="auto"/>
            <w:bottom w:val="none" w:sz="0" w:space="0" w:color="auto"/>
            <w:right w:val="none" w:sz="0" w:space="0" w:color="auto"/>
          </w:divBdr>
        </w:div>
      </w:divsChild>
    </w:div>
    <w:div w:id="1909724833">
      <w:marLeft w:val="0"/>
      <w:marRight w:val="0"/>
      <w:marTop w:val="0"/>
      <w:marBottom w:val="0"/>
      <w:divBdr>
        <w:top w:val="none" w:sz="0" w:space="0" w:color="auto"/>
        <w:left w:val="none" w:sz="0" w:space="0" w:color="auto"/>
        <w:bottom w:val="none" w:sz="0" w:space="0" w:color="auto"/>
        <w:right w:val="none" w:sz="0" w:space="0" w:color="auto"/>
      </w:divBdr>
    </w:div>
    <w:div w:id="1910730296">
      <w:marLeft w:val="0"/>
      <w:marRight w:val="0"/>
      <w:marTop w:val="0"/>
      <w:marBottom w:val="0"/>
      <w:divBdr>
        <w:top w:val="none" w:sz="0" w:space="0" w:color="auto"/>
        <w:left w:val="none" w:sz="0" w:space="0" w:color="auto"/>
        <w:bottom w:val="none" w:sz="0" w:space="0" w:color="auto"/>
        <w:right w:val="none" w:sz="0" w:space="0" w:color="auto"/>
      </w:divBdr>
    </w:div>
    <w:div w:id="1910991144">
      <w:marLeft w:val="0"/>
      <w:marRight w:val="0"/>
      <w:marTop w:val="0"/>
      <w:marBottom w:val="0"/>
      <w:divBdr>
        <w:top w:val="none" w:sz="0" w:space="0" w:color="auto"/>
        <w:left w:val="none" w:sz="0" w:space="0" w:color="auto"/>
        <w:bottom w:val="none" w:sz="0" w:space="0" w:color="auto"/>
        <w:right w:val="none" w:sz="0" w:space="0" w:color="auto"/>
      </w:divBdr>
    </w:div>
    <w:div w:id="1915384675">
      <w:marLeft w:val="0"/>
      <w:marRight w:val="0"/>
      <w:marTop w:val="0"/>
      <w:marBottom w:val="0"/>
      <w:divBdr>
        <w:top w:val="none" w:sz="0" w:space="0" w:color="auto"/>
        <w:left w:val="none" w:sz="0" w:space="0" w:color="auto"/>
        <w:bottom w:val="none" w:sz="0" w:space="0" w:color="auto"/>
        <w:right w:val="none" w:sz="0" w:space="0" w:color="auto"/>
      </w:divBdr>
    </w:div>
    <w:div w:id="1917008997">
      <w:marLeft w:val="0"/>
      <w:marRight w:val="0"/>
      <w:marTop w:val="0"/>
      <w:marBottom w:val="0"/>
      <w:divBdr>
        <w:top w:val="none" w:sz="0" w:space="0" w:color="auto"/>
        <w:left w:val="none" w:sz="0" w:space="0" w:color="auto"/>
        <w:bottom w:val="none" w:sz="0" w:space="0" w:color="auto"/>
        <w:right w:val="none" w:sz="0" w:space="0" w:color="auto"/>
      </w:divBdr>
    </w:div>
    <w:div w:id="1917472940">
      <w:marLeft w:val="0"/>
      <w:marRight w:val="0"/>
      <w:marTop w:val="0"/>
      <w:marBottom w:val="0"/>
      <w:divBdr>
        <w:top w:val="none" w:sz="0" w:space="0" w:color="auto"/>
        <w:left w:val="none" w:sz="0" w:space="0" w:color="auto"/>
        <w:bottom w:val="none" w:sz="0" w:space="0" w:color="auto"/>
        <w:right w:val="none" w:sz="0" w:space="0" w:color="auto"/>
      </w:divBdr>
    </w:div>
    <w:div w:id="1918786969">
      <w:marLeft w:val="0"/>
      <w:marRight w:val="0"/>
      <w:marTop w:val="0"/>
      <w:marBottom w:val="0"/>
      <w:divBdr>
        <w:top w:val="none" w:sz="0" w:space="0" w:color="auto"/>
        <w:left w:val="none" w:sz="0" w:space="0" w:color="auto"/>
        <w:bottom w:val="none" w:sz="0" w:space="0" w:color="auto"/>
        <w:right w:val="none" w:sz="0" w:space="0" w:color="auto"/>
      </w:divBdr>
    </w:div>
    <w:div w:id="1919172025">
      <w:marLeft w:val="0"/>
      <w:marRight w:val="0"/>
      <w:marTop w:val="0"/>
      <w:marBottom w:val="0"/>
      <w:divBdr>
        <w:top w:val="none" w:sz="0" w:space="0" w:color="auto"/>
        <w:left w:val="none" w:sz="0" w:space="0" w:color="auto"/>
        <w:bottom w:val="none" w:sz="0" w:space="0" w:color="auto"/>
        <w:right w:val="none" w:sz="0" w:space="0" w:color="auto"/>
      </w:divBdr>
    </w:div>
    <w:div w:id="1919244401">
      <w:marLeft w:val="0"/>
      <w:marRight w:val="0"/>
      <w:marTop w:val="0"/>
      <w:marBottom w:val="0"/>
      <w:divBdr>
        <w:top w:val="none" w:sz="0" w:space="0" w:color="auto"/>
        <w:left w:val="none" w:sz="0" w:space="0" w:color="auto"/>
        <w:bottom w:val="none" w:sz="0" w:space="0" w:color="auto"/>
        <w:right w:val="none" w:sz="0" w:space="0" w:color="auto"/>
      </w:divBdr>
    </w:div>
    <w:div w:id="1922061210">
      <w:marLeft w:val="0"/>
      <w:marRight w:val="0"/>
      <w:marTop w:val="0"/>
      <w:marBottom w:val="0"/>
      <w:divBdr>
        <w:top w:val="none" w:sz="0" w:space="0" w:color="auto"/>
        <w:left w:val="none" w:sz="0" w:space="0" w:color="auto"/>
        <w:bottom w:val="none" w:sz="0" w:space="0" w:color="auto"/>
        <w:right w:val="none" w:sz="0" w:space="0" w:color="auto"/>
      </w:divBdr>
    </w:div>
    <w:div w:id="1923643335">
      <w:marLeft w:val="0"/>
      <w:marRight w:val="0"/>
      <w:marTop w:val="0"/>
      <w:marBottom w:val="0"/>
      <w:divBdr>
        <w:top w:val="none" w:sz="0" w:space="0" w:color="auto"/>
        <w:left w:val="none" w:sz="0" w:space="0" w:color="auto"/>
        <w:bottom w:val="none" w:sz="0" w:space="0" w:color="auto"/>
        <w:right w:val="none" w:sz="0" w:space="0" w:color="auto"/>
      </w:divBdr>
    </w:div>
    <w:div w:id="1925214331">
      <w:marLeft w:val="0"/>
      <w:marRight w:val="0"/>
      <w:marTop w:val="0"/>
      <w:marBottom w:val="0"/>
      <w:divBdr>
        <w:top w:val="none" w:sz="0" w:space="0" w:color="auto"/>
        <w:left w:val="none" w:sz="0" w:space="0" w:color="auto"/>
        <w:bottom w:val="none" w:sz="0" w:space="0" w:color="auto"/>
        <w:right w:val="none" w:sz="0" w:space="0" w:color="auto"/>
      </w:divBdr>
    </w:div>
    <w:div w:id="1926650564">
      <w:marLeft w:val="0"/>
      <w:marRight w:val="0"/>
      <w:marTop w:val="0"/>
      <w:marBottom w:val="0"/>
      <w:divBdr>
        <w:top w:val="none" w:sz="0" w:space="0" w:color="auto"/>
        <w:left w:val="none" w:sz="0" w:space="0" w:color="auto"/>
        <w:bottom w:val="none" w:sz="0" w:space="0" w:color="auto"/>
        <w:right w:val="none" w:sz="0" w:space="0" w:color="auto"/>
      </w:divBdr>
      <w:divsChild>
        <w:div w:id="1491285439">
          <w:marLeft w:val="0"/>
          <w:marRight w:val="0"/>
          <w:marTop w:val="0"/>
          <w:marBottom w:val="0"/>
          <w:divBdr>
            <w:top w:val="none" w:sz="0" w:space="0" w:color="auto"/>
            <w:left w:val="none" w:sz="0" w:space="0" w:color="auto"/>
            <w:bottom w:val="none" w:sz="0" w:space="0" w:color="auto"/>
            <w:right w:val="none" w:sz="0" w:space="0" w:color="auto"/>
          </w:divBdr>
        </w:div>
      </w:divsChild>
    </w:div>
    <w:div w:id="1928727879">
      <w:marLeft w:val="0"/>
      <w:marRight w:val="0"/>
      <w:marTop w:val="0"/>
      <w:marBottom w:val="0"/>
      <w:divBdr>
        <w:top w:val="none" w:sz="0" w:space="0" w:color="auto"/>
        <w:left w:val="none" w:sz="0" w:space="0" w:color="auto"/>
        <w:bottom w:val="none" w:sz="0" w:space="0" w:color="auto"/>
        <w:right w:val="none" w:sz="0" w:space="0" w:color="auto"/>
      </w:divBdr>
    </w:div>
    <w:div w:id="1929385556">
      <w:marLeft w:val="0"/>
      <w:marRight w:val="0"/>
      <w:marTop w:val="0"/>
      <w:marBottom w:val="0"/>
      <w:divBdr>
        <w:top w:val="none" w:sz="0" w:space="0" w:color="auto"/>
        <w:left w:val="none" w:sz="0" w:space="0" w:color="auto"/>
        <w:bottom w:val="none" w:sz="0" w:space="0" w:color="auto"/>
        <w:right w:val="none" w:sz="0" w:space="0" w:color="auto"/>
      </w:divBdr>
    </w:div>
    <w:div w:id="1929534046">
      <w:marLeft w:val="0"/>
      <w:marRight w:val="0"/>
      <w:marTop w:val="0"/>
      <w:marBottom w:val="0"/>
      <w:divBdr>
        <w:top w:val="none" w:sz="0" w:space="0" w:color="auto"/>
        <w:left w:val="none" w:sz="0" w:space="0" w:color="auto"/>
        <w:bottom w:val="none" w:sz="0" w:space="0" w:color="auto"/>
        <w:right w:val="none" w:sz="0" w:space="0" w:color="auto"/>
      </w:divBdr>
    </w:div>
    <w:div w:id="1930387335">
      <w:marLeft w:val="0"/>
      <w:marRight w:val="0"/>
      <w:marTop w:val="0"/>
      <w:marBottom w:val="0"/>
      <w:divBdr>
        <w:top w:val="none" w:sz="0" w:space="0" w:color="auto"/>
        <w:left w:val="none" w:sz="0" w:space="0" w:color="auto"/>
        <w:bottom w:val="none" w:sz="0" w:space="0" w:color="auto"/>
        <w:right w:val="none" w:sz="0" w:space="0" w:color="auto"/>
      </w:divBdr>
    </w:div>
    <w:div w:id="1930507571">
      <w:marLeft w:val="0"/>
      <w:marRight w:val="0"/>
      <w:marTop w:val="0"/>
      <w:marBottom w:val="0"/>
      <w:divBdr>
        <w:top w:val="none" w:sz="0" w:space="0" w:color="auto"/>
        <w:left w:val="none" w:sz="0" w:space="0" w:color="auto"/>
        <w:bottom w:val="none" w:sz="0" w:space="0" w:color="auto"/>
        <w:right w:val="none" w:sz="0" w:space="0" w:color="auto"/>
      </w:divBdr>
    </w:div>
    <w:div w:id="1931232405">
      <w:marLeft w:val="0"/>
      <w:marRight w:val="0"/>
      <w:marTop w:val="0"/>
      <w:marBottom w:val="0"/>
      <w:divBdr>
        <w:top w:val="none" w:sz="0" w:space="0" w:color="auto"/>
        <w:left w:val="none" w:sz="0" w:space="0" w:color="auto"/>
        <w:bottom w:val="none" w:sz="0" w:space="0" w:color="auto"/>
        <w:right w:val="none" w:sz="0" w:space="0" w:color="auto"/>
      </w:divBdr>
    </w:div>
    <w:div w:id="1931428125">
      <w:marLeft w:val="0"/>
      <w:marRight w:val="0"/>
      <w:marTop w:val="0"/>
      <w:marBottom w:val="0"/>
      <w:divBdr>
        <w:top w:val="none" w:sz="0" w:space="0" w:color="auto"/>
        <w:left w:val="none" w:sz="0" w:space="0" w:color="auto"/>
        <w:bottom w:val="none" w:sz="0" w:space="0" w:color="auto"/>
        <w:right w:val="none" w:sz="0" w:space="0" w:color="auto"/>
      </w:divBdr>
    </w:div>
    <w:div w:id="1931766913">
      <w:marLeft w:val="0"/>
      <w:marRight w:val="0"/>
      <w:marTop w:val="0"/>
      <w:marBottom w:val="0"/>
      <w:divBdr>
        <w:top w:val="none" w:sz="0" w:space="0" w:color="auto"/>
        <w:left w:val="none" w:sz="0" w:space="0" w:color="auto"/>
        <w:bottom w:val="none" w:sz="0" w:space="0" w:color="auto"/>
        <w:right w:val="none" w:sz="0" w:space="0" w:color="auto"/>
      </w:divBdr>
    </w:div>
    <w:div w:id="1932080355">
      <w:marLeft w:val="0"/>
      <w:marRight w:val="0"/>
      <w:marTop w:val="0"/>
      <w:marBottom w:val="0"/>
      <w:divBdr>
        <w:top w:val="none" w:sz="0" w:space="0" w:color="auto"/>
        <w:left w:val="none" w:sz="0" w:space="0" w:color="auto"/>
        <w:bottom w:val="none" w:sz="0" w:space="0" w:color="auto"/>
        <w:right w:val="none" w:sz="0" w:space="0" w:color="auto"/>
      </w:divBdr>
    </w:div>
    <w:div w:id="1935893380">
      <w:marLeft w:val="0"/>
      <w:marRight w:val="0"/>
      <w:marTop w:val="0"/>
      <w:marBottom w:val="0"/>
      <w:divBdr>
        <w:top w:val="none" w:sz="0" w:space="0" w:color="auto"/>
        <w:left w:val="none" w:sz="0" w:space="0" w:color="auto"/>
        <w:bottom w:val="none" w:sz="0" w:space="0" w:color="auto"/>
        <w:right w:val="none" w:sz="0" w:space="0" w:color="auto"/>
      </w:divBdr>
    </w:div>
    <w:div w:id="1937400540">
      <w:marLeft w:val="0"/>
      <w:marRight w:val="0"/>
      <w:marTop w:val="0"/>
      <w:marBottom w:val="0"/>
      <w:divBdr>
        <w:top w:val="none" w:sz="0" w:space="0" w:color="auto"/>
        <w:left w:val="none" w:sz="0" w:space="0" w:color="auto"/>
        <w:bottom w:val="none" w:sz="0" w:space="0" w:color="auto"/>
        <w:right w:val="none" w:sz="0" w:space="0" w:color="auto"/>
      </w:divBdr>
    </w:div>
    <w:div w:id="1942254243">
      <w:marLeft w:val="0"/>
      <w:marRight w:val="0"/>
      <w:marTop w:val="0"/>
      <w:marBottom w:val="0"/>
      <w:divBdr>
        <w:top w:val="none" w:sz="0" w:space="0" w:color="auto"/>
        <w:left w:val="none" w:sz="0" w:space="0" w:color="auto"/>
        <w:bottom w:val="none" w:sz="0" w:space="0" w:color="auto"/>
        <w:right w:val="none" w:sz="0" w:space="0" w:color="auto"/>
      </w:divBdr>
    </w:div>
    <w:div w:id="1947150955">
      <w:marLeft w:val="0"/>
      <w:marRight w:val="0"/>
      <w:marTop w:val="0"/>
      <w:marBottom w:val="0"/>
      <w:divBdr>
        <w:top w:val="none" w:sz="0" w:space="0" w:color="auto"/>
        <w:left w:val="none" w:sz="0" w:space="0" w:color="auto"/>
        <w:bottom w:val="none" w:sz="0" w:space="0" w:color="auto"/>
        <w:right w:val="none" w:sz="0" w:space="0" w:color="auto"/>
      </w:divBdr>
    </w:div>
    <w:div w:id="1950818613">
      <w:marLeft w:val="0"/>
      <w:marRight w:val="0"/>
      <w:marTop w:val="0"/>
      <w:marBottom w:val="0"/>
      <w:divBdr>
        <w:top w:val="none" w:sz="0" w:space="0" w:color="auto"/>
        <w:left w:val="none" w:sz="0" w:space="0" w:color="auto"/>
        <w:bottom w:val="none" w:sz="0" w:space="0" w:color="auto"/>
        <w:right w:val="none" w:sz="0" w:space="0" w:color="auto"/>
      </w:divBdr>
    </w:div>
    <w:div w:id="1955596999">
      <w:marLeft w:val="0"/>
      <w:marRight w:val="0"/>
      <w:marTop w:val="0"/>
      <w:marBottom w:val="0"/>
      <w:divBdr>
        <w:top w:val="none" w:sz="0" w:space="0" w:color="auto"/>
        <w:left w:val="none" w:sz="0" w:space="0" w:color="auto"/>
        <w:bottom w:val="none" w:sz="0" w:space="0" w:color="auto"/>
        <w:right w:val="none" w:sz="0" w:space="0" w:color="auto"/>
      </w:divBdr>
    </w:div>
    <w:div w:id="1955939382">
      <w:marLeft w:val="0"/>
      <w:marRight w:val="0"/>
      <w:marTop w:val="0"/>
      <w:marBottom w:val="0"/>
      <w:divBdr>
        <w:top w:val="none" w:sz="0" w:space="0" w:color="auto"/>
        <w:left w:val="none" w:sz="0" w:space="0" w:color="auto"/>
        <w:bottom w:val="none" w:sz="0" w:space="0" w:color="auto"/>
        <w:right w:val="none" w:sz="0" w:space="0" w:color="auto"/>
      </w:divBdr>
    </w:div>
    <w:div w:id="1957171150">
      <w:marLeft w:val="0"/>
      <w:marRight w:val="0"/>
      <w:marTop w:val="0"/>
      <w:marBottom w:val="0"/>
      <w:divBdr>
        <w:top w:val="none" w:sz="0" w:space="0" w:color="auto"/>
        <w:left w:val="none" w:sz="0" w:space="0" w:color="auto"/>
        <w:bottom w:val="none" w:sz="0" w:space="0" w:color="auto"/>
        <w:right w:val="none" w:sz="0" w:space="0" w:color="auto"/>
      </w:divBdr>
    </w:div>
    <w:div w:id="1958483217">
      <w:marLeft w:val="0"/>
      <w:marRight w:val="0"/>
      <w:marTop w:val="0"/>
      <w:marBottom w:val="0"/>
      <w:divBdr>
        <w:top w:val="none" w:sz="0" w:space="0" w:color="auto"/>
        <w:left w:val="none" w:sz="0" w:space="0" w:color="auto"/>
        <w:bottom w:val="none" w:sz="0" w:space="0" w:color="auto"/>
        <w:right w:val="none" w:sz="0" w:space="0" w:color="auto"/>
      </w:divBdr>
    </w:div>
    <w:div w:id="1961106762">
      <w:marLeft w:val="0"/>
      <w:marRight w:val="0"/>
      <w:marTop w:val="0"/>
      <w:marBottom w:val="0"/>
      <w:divBdr>
        <w:top w:val="none" w:sz="0" w:space="0" w:color="auto"/>
        <w:left w:val="none" w:sz="0" w:space="0" w:color="auto"/>
        <w:bottom w:val="none" w:sz="0" w:space="0" w:color="auto"/>
        <w:right w:val="none" w:sz="0" w:space="0" w:color="auto"/>
      </w:divBdr>
    </w:div>
    <w:div w:id="1969970441">
      <w:marLeft w:val="0"/>
      <w:marRight w:val="0"/>
      <w:marTop w:val="0"/>
      <w:marBottom w:val="0"/>
      <w:divBdr>
        <w:top w:val="none" w:sz="0" w:space="0" w:color="auto"/>
        <w:left w:val="none" w:sz="0" w:space="0" w:color="auto"/>
        <w:bottom w:val="none" w:sz="0" w:space="0" w:color="auto"/>
        <w:right w:val="none" w:sz="0" w:space="0" w:color="auto"/>
      </w:divBdr>
    </w:div>
    <w:div w:id="1972206881">
      <w:marLeft w:val="0"/>
      <w:marRight w:val="0"/>
      <w:marTop w:val="0"/>
      <w:marBottom w:val="0"/>
      <w:divBdr>
        <w:top w:val="none" w:sz="0" w:space="0" w:color="auto"/>
        <w:left w:val="none" w:sz="0" w:space="0" w:color="auto"/>
        <w:bottom w:val="none" w:sz="0" w:space="0" w:color="auto"/>
        <w:right w:val="none" w:sz="0" w:space="0" w:color="auto"/>
      </w:divBdr>
    </w:div>
    <w:div w:id="1974020482">
      <w:marLeft w:val="0"/>
      <w:marRight w:val="0"/>
      <w:marTop w:val="0"/>
      <w:marBottom w:val="0"/>
      <w:divBdr>
        <w:top w:val="none" w:sz="0" w:space="0" w:color="auto"/>
        <w:left w:val="none" w:sz="0" w:space="0" w:color="auto"/>
        <w:bottom w:val="none" w:sz="0" w:space="0" w:color="auto"/>
        <w:right w:val="none" w:sz="0" w:space="0" w:color="auto"/>
      </w:divBdr>
    </w:div>
    <w:div w:id="1974600078">
      <w:marLeft w:val="0"/>
      <w:marRight w:val="0"/>
      <w:marTop w:val="0"/>
      <w:marBottom w:val="0"/>
      <w:divBdr>
        <w:top w:val="none" w:sz="0" w:space="0" w:color="auto"/>
        <w:left w:val="none" w:sz="0" w:space="0" w:color="auto"/>
        <w:bottom w:val="none" w:sz="0" w:space="0" w:color="auto"/>
        <w:right w:val="none" w:sz="0" w:space="0" w:color="auto"/>
      </w:divBdr>
    </w:div>
    <w:div w:id="1975671884">
      <w:marLeft w:val="0"/>
      <w:marRight w:val="0"/>
      <w:marTop w:val="0"/>
      <w:marBottom w:val="0"/>
      <w:divBdr>
        <w:top w:val="none" w:sz="0" w:space="0" w:color="auto"/>
        <w:left w:val="none" w:sz="0" w:space="0" w:color="auto"/>
        <w:bottom w:val="none" w:sz="0" w:space="0" w:color="auto"/>
        <w:right w:val="none" w:sz="0" w:space="0" w:color="auto"/>
      </w:divBdr>
    </w:div>
    <w:div w:id="1978222483">
      <w:marLeft w:val="0"/>
      <w:marRight w:val="0"/>
      <w:marTop w:val="0"/>
      <w:marBottom w:val="0"/>
      <w:divBdr>
        <w:top w:val="none" w:sz="0" w:space="0" w:color="auto"/>
        <w:left w:val="none" w:sz="0" w:space="0" w:color="auto"/>
        <w:bottom w:val="none" w:sz="0" w:space="0" w:color="auto"/>
        <w:right w:val="none" w:sz="0" w:space="0" w:color="auto"/>
      </w:divBdr>
      <w:divsChild>
        <w:div w:id="797263251">
          <w:marLeft w:val="0"/>
          <w:marRight w:val="0"/>
          <w:marTop w:val="0"/>
          <w:marBottom w:val="0"/>
          <w:divBdr>
            <w:top w:val="none" w:sz="0" w:space="0" w:color="auto"/>
            <w:left w:val="none" w:sz="0" w:space="0" w:color="auto"/>
            <w:bottom w:val="none" w:sz="0" w:space="0" w:color="auto"/>
            <w:right w:val="none" w:sz="0" w:space="0" w:color="auto"/>
          </w:divBdr>
        </w:div>
      </w:divsChild>
    </w:div>
    <w:div w:id="1981835374">
      <w:marLeft w:val="0"/>
      <w:marRight w:val="0"/>
      <w:marTop w:val="0"/>
      <w:marBottom w:val="0"/>
      <w:divBdr>
        <w:top w:val="none" w:sz="0" w:space="0" w:color="auto"/>
        <w:left w:val="none" w:sz="0" w:space="0" w:color="auto"/>
        <w:bottom w:val="none" w:sz="0" w:space="0" w:color="auto"/>
        <w:right w:val="none" w:sz="0" w:space="0" w:color="auto"/>
      </w:divBdr>
    </w:div>
    <w:div w:id="1986811390">
      <w:marLeft w:val="0"/>
      <w:marRight w:val="0"/>
      <w:marTop w:val="0"/>
      <w:marBottom w:val="0"/>
      <w:divBdr>
        <w:top w:val="none" w:sz="0" w:space="0" w:color="auto"/>
        <w:left w:val="none" w:sz="0" w:space="0" w:color="auto"/>
        <w:bottom w:val="none" w:sz="0" w:space="0" w:color="auto"/>
        <w:right w:val="none" w:sz="0" w:space="0" w:color="auto"/>
      </w:divBdr>
    </w:div>
    <w:div w:id="1989935458">
      <w:marLeft w:val="0"/>
      <w:marRight w:val="0"/>
      <w:marTop w:val="0"/>
      <w:marBottom w:val="0"/>
      <w:divBdr>
        <w:top w:val="none" w:sz="0" w:space="0" w:color="auto"/>
        <w:left w:val="none" w:sz="0" w:space="0" w:color="auto"/>
        <w:bottom w:val="none" w:sz="0" w:space="0" w:color="auto"/>
        <w:right w:val="none" w:sz="0" w:space="0" w:color="auto"/>
      </w:divBdr>
    </w:div>
    <w:div w:id="1990866902">
      <w:marLeft w:val="0"/>
      <w:marRight w:val="0"/>
      <w:marTop w:val="0"/>
      <w:marBottom w:val="0"/>
      <w:divBdr>
        <w:top w:val="none" w:sz="0" w:space="0" w:color="auto"/>
        <w:left w:val="none" w:sz="0" w:space="0" w:color="auto"/>
        <w:bottom w:val="none" w:sz="0" w:space="0" w:color="auto"/>
        <w:right w:val="none" w:sz="0" w:space="0" w:color="auto"/>
      </w:divBdr>
    </w:div>
    <w:div w:id="1994068733">
      <w:marLeft w:val="0"/>
      <w:marRight w:val="0"/>
      <w:marTop w:val="0"/>
      <w:marBottom w:val="0"/>
      <w:divBdr>
        <w:top w:val="none" w:sz="0" w:space="0" w:color="auto"/>
        <w:left w:val="none" w:sz="0" w:space="0" w:color="auto"/>
        <w:bottom w:val="none" w:sz="0" w:space="0" w:color="auto"/>
        <w:right w:val="none" w:sz="0" w:space="0" w:color="auto"/>
      </w:divBdr>
    </w:div>
    <w:div w:id="1999261102">
      <w:marLeft w:val="0"/>
      <w:marRight w:val="0"/>
      <w:marTop w:val="0"/>
      <w:marBottom w:val="0"/>
      <w:divBdr>
        <w:top w:val="none" w:sz="0" w:space="0" w:color="auto"/>
        <w:left w:val="none" w:sz="0" w:space="0" w:color="auto"/>
        <w:bottom w:val="none" w:sz="0" w:space="0" w:color="auto"/>
        <w:right w:val="none" w:sz="0" w:space="0" w:color="auto"/>
      </w:divBdr>
    </w:div>
    <w:div w:id="2004551872">
      <w:marLeft w:val="0"/>
      <w:marRight w:val="0"/>
      <w:marTop w:val="0"/>
      <w:marBottom w:val="0"/>
      <w:divBdr>
        <w:top w:val="none" w:sz="0" w:space="0" w:color="auto"/>
        <w:left w:val="none" w:sz="0" w:space="0" w:color="auto"/>
        <w:bottom w:val="none" w:sz="0" w:space="0" w:color="auto"/>
        <w:right w:val="none" w:sz="0" w:space="0" w:color="auto"/>
      </w:divBdr>
    </w:div>
    <w:div w:id="2007971728">
      <w:marLeft w:val="0"/>
      <w:marRight w:val="0"/>
      <w:marTop w:val="0"/>
      <w:marBottom w:val="0"/>
      <w:divBdr>
        <w:top w:val="none" w:sz="0" w:space="0" w:color="auto"/>
        <w:left w:val="none" w:sz="0" w:space="0" w:color="auto"/>
        <w:bottom w:val="none" w:sz="0" w:space="0" w:color="auto"/>
        <w:right w:val="none" w:sz="0" w:space="0" w:color="auto"/>
      </w:divBdr>
    </w:div>
    <w:div w:id="2015107416">
      <w:marLeft w:val="0"/>
      <w:marRight w:val="0"/>
      <w:marTop w:val="0"/>
      <w:marBottom w:val="0"/>
      <w:divBdr>
        <w:top w:val="none" w:sz="0" w:space="0" w:color="auto"/>
        <w:left w:val="none" w:sz="0" w:space="0" w:color="auto"/>
        <w:bottom w:val="none" w:sz="0" w:space="0" w:color="auto"/>
        <w:right w:val="none" w:sz="0" w:space="0" w:color="auto"/>
      </w:divBdr>
    </w:div>
    <w:div w:id="2017264632">
      <w:marLeft w:val="0"/>
      <w:marRight w:val="0"/>
      <w:marTop w:val="0"/>
      <w:marBottom w:val="0"/>
      <w:divBdr>
        <w:top w:val="none" w:sz="0" w:space="0" w:color="auto"/>
        <w:left w:val="none" w:sz="0" w:space="0" w:color="auto"/>
        <w:bottom w:val="none" w:sz="0" w:space="0" w:color="auto"/>
        <w:right w:val="none" w:sz="0" w:space="0" w:color="auto"/>
      </w:divBdr>
      <w:divsChild>
        <w:div w:id="88964011">
          <w:marLeft w:val="0"/>
          <w:marRight w:val="0"/>
          <w:marTop w:val="0"/>
          <w:marBottom w:val="0"/>
          <w:divBdr>
            <w:top w:val="none" w:sz="0" w:space="0" w:color="auto"/>
            <w:left w:val="none" w:sz="0" w:space="0" w:color="auto"/>
            <w:bottom w:val="none" w:sz="0" w:space="0" w:color="auto"/>
            <w:right w:val="none" w:sz="0" w:space="0" w:color="auto"/>
          </w:divBdr>
        </w:div>
      </w:divsChild>
    </w:div>
    <w:div w:id="2017415794">
      <w:marLeft w:val="0"/>
      <w:marRight w:val="0"/>
      <w:marTop w:val="0"/>
      <w:marBottom w:val="0"/>
      <w:divBdr>
        <w:top w:val="none" w:sz="0" w:space="0" w:color="auto"/>
        <w:left w:val="none" w:sz="0" w:space="0" w:color="auto"/>
        <w:bottom w:val="none" w:sz="0" w:space="0" w:color="auto"/>
        <w:right w:val="none" w:sz="0" w:space="0" w:color="auto"/>
      </w:divBdr>
    </w:div>
    <w:div w:id="2019580250">
      <w:marLeft w:val="0"/>
      <w:marRight w:val="0"/>
      <w:marTop w:val="0"/>
      <w:marBottom w:val="0"/>
      <w:divBdr>
        <w:top w:val="none" w:sz="0" w:space="0" w:color="auto"/>
        <w:left w:val="none" w:sz="0" w:space="0" w:color="auto"/>
        <w:bottom w:val="none" w:sz="0" w:space="0" w:color="auto"/>
        <w:right w:val="none" w:sz="0" w:space="0" w:color="auto"/>
      </w:divBdr>
    </w:div>
    <w:div w:id="2020502204">
      <w:marLeft w:val="0"/>
      <w:marRight w:val="0"/>
      <w:marTop w:val="0"/>
      <w:marBottom w:val="0"/>
      <w:divBdr>
        <w:top w:val="none" w:sz="0" w:space="0" w:color="auto"/>
        <w:left w:val="none" w:sz="0" w:space="0" w:color="auto"/>
        <w:bottom w:val="none" w:sz="0" w:space="0" w:color="auto"/>
        <w:right w:val="none" w:sz="0" w:space="0" w:color="auto"/>
      </w:divBdr>
    </w:div>
    <w:div w:id="2029015438">
      <w:marLeft w:val="0"/>
      <w:marRight w:val="0"/>
      <w:marTop w:val="0"/>
      <w:marBottom w:val="0"/>
      <w:divBdr>
        <w:top w:val="none" w:sz="0" w:space="0" w:color="auto"/>
        <w:left w:val="none" w:sz="0" w:space="0" w:color="auto"/>
        <w:bottom w:val="none" w:sz="0" w:space="0" w:color="auto"/>
        <w:right w:val="none" w:sz="0" w:space="0" w:color="auto"/>
      </w:divBdr>
    </w:div>
    <w:div w:id="2029598534">
      <w:marLeft w:val="0"/>
      <w:marRight w:val="0"/>
      <w:marTop w:val="0"/>
      <w:marBottom w:val="0"/>
      <w:divBdr>
        <w:top w:val="none" w:sz="0" w:space="0" w:color="auto"/>
        <w:left w:val="none" w:sz="0" w:space="0" w:color="auto"/>
        <w:bottom w:val="none" w:sz="0" w:space="0" w:color="auto"/>
        <w:right w:val="none" w:sz="0" w:space="0" w:color="auto"/>
      </w:divBdr>
    </w:div>
    <w:div w:id="2032217607">
      <w:marLeft w:val="0"/>
      <w:marRight w:val="0"/>
      <w:marTop w:val="0"/>
      <w:marBottom w:val="0"/>
      <w:divBdr>
        <w:top w:val="none" w:sz="0" w:space="0" w:color="auto"/>
        <w:left w:val="none" w:sz="0" w:space="0" w:color="auto"/>
        <w:bottom w:val="none" w:sz="0" w:space="0" w:color="auto"/>
        <w:right w:val="none" w:sz="0" w:space="0" w:color="auto"/>
      </w:divBdr>
    </w:div>
    <w:div w:id="2032560923">
      <w:marLeft w:val="0"/>
      <w:marRight w:val="0"/>
      <w:marTop w:val="0"/>
      <w:marBottom w:val="0"/>
      <w:divBdr>
        <w:top w:val="none" w:sz="0" w:space="0" w:color="auto"/>
        <w:left w:val="none" w:sz="0" w:space="0" w:color="auto"/>
        <w:bottom w:val="none" w:sz="0" w:space="0" w:color="auto"/>
        <w:right w:val="none" w:sz="0" w:space="0" w:color="auto"/>
      </w:divBdr>
    </w:div>
    <w:div w:id="2039427651">
      <w:marLeft w:val="0"/>
      <w:marRight w:val="0"/>
      <w:marTop w:val="0"/>
      <w:marBottom w:val="0"/>
      <w:divBdr>
        <w:top w:val="none" w:sz="0" w:space="0" w:color="auto"/>
        <w:left w:val="none" w:sz="0" w:space="0" w:color="auto"/>
        <w:bottom w:val="none" w:sz="0" w:space="0" w:color="auto"/>
        <w:right w:val="none" w:sz="0" w:space="0" w:color="auto"/>
      </w:divBdr>
    </w:div>
    <w:div w:id="2039430886">
      <w:marLeft w:val="0"/>
      <w:marRight w:val="0"/>
      <w:marTop w:val="0"/>
      <w:marBottom w:val="0"/>
      <w:divBdr>
        <w:top w:val="none" w:sz="0" w:space="0" w:color="auto"/>
        <w:left w:val="none" w:sz="0" w:space="0" w:color="auto"/>
        <w:bottom w:val="none" w:sz="0" w:space="0" w:color="auto"/>
        <w:right w:val="none" w:sz="0" w:space="0" w:color="auto"/>
      </w:divBdr>
    </w:div>
    <w:div w:id="2041781249">
      <w:marLeft w:val="0"/>
      <w:marRight w:val="0"/>
      <w:marTop w:val="0"/>
      <w:marBottom w:val="0"/>
      <w:divBdr>
        <w:top w:val="none" w:sz="0" w:space="0" w:color="auto"/>
        <w:left w:val="none" w:sz="0" w:space="0" w:color="auto"/>
        <w:bottom w:val="none" w:sz="0" w:space="0" w:color="auto"/>
        <w:right w:val="none" w:sz="0" w:space="0" w:color="auto"/>
      </w:divBdr>
    </w:div>
    <w:div w:id="2042431566">
      <w:marLeft w:val="0"/>
      <w:marRight w:val="0"/>
      <w:marTop w:val="0"/>
      <w:marBottom w:val="0"/>
      <w:divBdr>
        <w:top w:val="none" w:sz="0" w:space="0" w:color="auto"/>
        <w:left w:val="none" w:sz="0" w:space="0" w:color="auto"/>
        <w:bottom w:val="none" w:sz="0" w:space="0" w:color="auto"/>
        <w:right w:val="none" w:sz="0" w:space="0" w:color="auto"/>
      </w:divBdr>
    </w:div>
    <w:div w:id="2042826038">
      <w:marLeft w:val="0"/>
      <w:marRight w:val="0"/>
      <w:marTop w:val="0"/>
      <w:marBottom w:val="0"/>
      <w:divBdr>
        <w:top w:val="none" w:sz="0" w:space="0" w:color="auto"/>
        <w:left w:val="none" w:sz="0" w:space="0" w:color="auto"/>
        <w:bottom w:val="none" w:sz="0" w:space="0" w:color="auto"/>
        <w:right w:val="none" w:sz="0" w:space="0" w:color="auto"/>
      </w:divBdr>
    </w:div>
    <w:div w:id="2043243753">
      <w:marLeft w:val="0"/>
      <w:marRight w:val="0"/>
      <w:marTop w:val="0"/>
      <w:marBottom w:val="0"/>
      <w:divBdr>
        <w:top w:val="none" w:sz="0" w:space="0" w:color="auto"/>
        <w:left w:val="none" w:sz="0" w:space="0" w:color="auto"/>
        <w:bottom w:val="none" w:sz="0" w:space="0" w:color="auto"/>
        <w:right w:val="none" w:sz="0" w:space="0" w:color="auto"/>
      </w:divBdr>
    </w:div>
    <w:div w:id="2046444086">
      <w:marLeft w:val="0"/>
      <w:marRight w:val="0"/>
      <w:marTop w:val="0"/>
      <w:marBottom w:val="0"/>
      <w:divBdr>
        <w:top w:val="none" w:sz="0" w:space="0" w:color="auto"/>
        <w:left w:val="none" w:sz="0" w:space="0" w:color="auto"/>
        <w:bottom w:val="none" w:sz="0" w:space="0" w:color="auto"/>
        <w:right w:val="none" w:sz="0" w:space="0" w:color="auto"/>
      </w:divBdr>
    </w:div>
    <w:div w:id="2049987054">
      <w:marLeft w:val="0"/>
      <w:marRight w:val="0"/>
      <w:marTop w:val="0"/>
      <w:marBottom w:val="0"/>
      <w:divBdr>
        <w:top w:val="none" w:sz="0" w:space="0" w:color="auto"/>
        <w:left w:val="none" w:sz="0" w:space="0" w:color="auto"/>
        <w:bottom w:val="none" w:sz="0" w:space="0" w:color="auto"/>
        <w:right w:val="none" w:sz="0" w:space="0" w:color="auto"/>
      </w:divBdr>
    </w:div>
    <w:div w:id="2053730770">
      <w:marLeft w:val="0"/>
      <w:marRight w:val="0"/>
      <w:marTop w:val="0"/>
      <w:marBottom w:val="0"/>
      <w:divBdr>
        <w:top w:val="none" w:sz="0" w:space="0" w:color="auto"/>
        <w:left w:val="none" w:sz="0" w:space="0" w:color="auto"/>
        <w:bottom w:val="none" w:sz="0" w:space="0" w:color="auto"/>
        <w:right w:val="none" w:sz="0" w:space="0" w:color="auto"/>
      </w:divBdr>
    </w:div>
    <w:div w:id="2054383763">
      <w:marLeft w:val="0"/>
      <w:marRight w:val="0"/>
      <w:marTop w:val="0"/>
      <w:marBottom w:val="0"/>
      <w:divBdr>
        <w:top w:val="none" w:sz="0" w:space="0" w:color="auto"/>
        <w:left w:val="none" w:sz="0" w:space="0" w:color="auto"/>
        <w:bottom w:val="none" w:sz="0" w:space="0" w:color="auto"/>
        <w:right w:val="none" w:sz="0" w:space="0" w:color="auto"/>
      </w:divBdr>
    </w:div>
    <w:div w:id="2054454053">
      <w:marLeft w:val="0"/>
      <w:marRight w:val="0"/>
      <w:marTop w:val="0"/>
      <w:marBottom w:val="0"/>
      <w:divBdr>
        <w:top w:val="none" w:sz="0" w:space="0" w:color="auto"/>
        <w:left w:val="none" w:sz="0" w:space="0" w:color="auto"/>
        <w:bottom w:val="none" w:sz="0" w:space="0" w:color="auto"/>
        <w:right w:val="none" w:sz="0" w:space="0" w:color="auto"/>
      </w:divBdr>
    </w:div>
    <w:div w:id="2055543014">
      <w:marLeft w:val="0"/>
      <w:marRight w:val="0"/>
      <w:marTop w:val="0"/>
      <w:marBottom w:val="0"/>
      <w:divBdr>
        <w:top w:val="none" w:sz="0" w:space="0" w:color="auto"/>
        <w:left w:val="none" w:sz="0" w:space="0" w:color="auto"/>
        <w:bottom w:val="none" w:sz="0" w:space="0" w:color="auto"/>
        <w:right w:val="none" w:sz="0" w:space="0" w:color="auto"/>
      </w:divBdr>
    </w:div>
    <w:div w:id="2058166336">
      <w:marLeft w:val="0"/>
      <w:marRight w:val="0"/>
      <w:marTop w:val="0"/>
      <w:marBottom w:val="0"/>
      <w:divBdr>
        <w:top w:val="none" w:sz="0" w:space="0" w:color="auto"/>
        <w:left w:val="none" w:sz="0" w:space="0" w:color="auto"/>
        <w:bottom w:val="none" w:sz="0" w:space="0" w:color="auto"/>
        <w:right w:val="none" w:sz="0" w:space="0" w:color="auto"/>
      </w:divBdr>
    </w:div>
    <w:div w:id="2060666466">
      <w:marLeft w:val="0"/>
      <w:marRight w:val="0"/>
      <w:marTop w:val="0"/>
      <w:marBottom w:val="0"/>
      <w:divBdr>
        <w:top w:val="none" w:sz="0" w:space="0" w:color="auto"/>
        <w:left w:val="none" w:sz="0" w:space="0" w:color="auto"/>
        <w:bottom w:val="none" w:sz="0" w:space="0" w:color="auto"/>
        <w:right w:val="none" w:sz="0" w:space="0" w:color="auto"/>
      </w:divBdr>
    </w:div>
    <w:div w:id="2060859038">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2067335051">
      <w:marLeft w:val="0"/>
      <w:marRight w:val="0"/>
      <w:marTop w:val="0"/>
      <w:marBottom w:val="0"/>
      <w:divBdr>
        <w:top w:val="none" w:sz="0" w:space="0" w:color="auto"/>
        <w:left w:val="none" w:sz="0" w:space="0" w:color="auto"/>
        <w:bottom w:val="none" w:sz="0" w:space="0" w:color="auto"/>
        <w:right w:val="none" w:sz="0" w:space="0" w:color="auto"/>
      </w:divBdr>
    </w:div>
    <w:div w:id="2071996913">
      <w:marLeft w:val="0"/>
      <w:marRight w:val="0"/>
      <w:marTop w:val="0"/>
      <w:marBottom w:val="0"/>
      <w:divBdr>
        <w:top w:val="none" w:sz="0" w:space="0" w:color="auto"/>
        <w:left w:val="none" w:sz="0" w:space="0" w:color="auto"/>
        <w:bottom w:val="none" w:sz="0" w:space="0" w:color="auto"/>
        <w:right w:val="none" w:sz="0" w:space="0" w:color="auto"/>
      </w:divBdr>
      <w:divsChild>
        <w:div w:id="997881310">
          <w:marLeft w:val="0"/>
          <w:marRight w:val="0"/>
          <w:marTop w:val="0"/>
          <w:marBottom w:val="0"/>
          <w:divBdr>
            <w:top w:val="none" w:sz="0" w:space="0" w:color="auto"/>
            <w:left w:val="none" w:sz="0" w:space="0" w:color="auto"/>
            <w:bottom w:val="none" w:sz="0" w:space="0" w:color="auto"/>
            <w:right w:val="none" w:sz="0" w:space="0" w:color="auto"/>
          </w:divBdr>
        </w:div>
      </w:divsChild>
    </w:div>
    <w:div w:id="2072195485">
      <w:marLeft w:val="0"/>
      <w:marRight w:val="0"/>
      <w:marTop w:val="0"/>
      <w:marBottom w:val="0"/>
      <w:divBdr>
        <w:top w:val="none" w:sz="0" w:space="0" w:color="auto"/>
        <w:left w:val="none" w:sz="0" w:space="0" w:color="auto"/>
        <w:bottom w:val="none" w:sz="0" w:space="0" w:color="auto"/>
        <w:right w:val="none" w:sz="0" w:space="0" w:color="auto"/>
      </w:divBdr>
    </w:div>
    <w:div w:id="2074544060">
      <w:marLeft w:val="0"/>
      <w:marRight w:val="0"/>
      <w:marTop w:val="0"/>
      <w:marBottom w:val="0"/>
      <w:divBdr>
        <w:top w:val="none" w:sz="0" w:space="0" w:color="auto"/>
        <w:left w:val="none" w:sz="0" w:space="0" w:color="auto"/>
        <w:bottom w:val="none" w:sz="0" w:space="0" w:color="auto"/>
        <w:right w:val="none" w:sz="0" w:space="0" w:color="auto"/>
      </w:divBdr>
    </w:div>
    <w:div w:id="2074964127">
      <w:marLeft w:val="0"/>
      <w:marRight w:val="0"/>
      <w:marTop w:val="0"/>
      <w:marBottom w:val="0"/>
      <w:divBdr>
        <w:top w:val="none" w:sz="0" w:space="0" w:color="auto"/>
        <w:left w:val="none" w:sz="0" w:space="0" w:color="auto"/>
        <w:bottom w:val="none" w:sz="0" w:space="0" w:color="auto"/>
        <w:right w:val="none" w:sz="0" w:space="0" w:color="auto"/>
      </w:divBdr>
    </w:div>
    <w:div w:id="2076202676">
      <w:marLeft w:val="0"/>
      <w:marRight w:val="0"/>
      <w:marTop w:val="0"/>
      <w:marBottom w:val="0"/>
      <w:divBdr>
        <w:top w:val="none" w:sz="0" w:space="0" w:color="auto"/>
        <w:left w:val="none" w:sz="0" w:space="0" w:color="auto"/>
        <w:bottom w:val="none" w:sz="0" w:space="0" w:color="auto"/>
        <w:right w:val="none" w:sz="0" w:space="0" w:color="auto"/>
      </w:divBdr>
    </w:div>
    <w:div w:id="2077313916">
      <w:marLeft w:val="0"/>
      <w:marRight w:val="0"/>
      <w:marTop w:val="0"/>
      <w:marBottom w:val="0"/>
      <w:divBdr>
        <w:top w:val="none" w:sz="0" w:space="0" w:color="auto"/>
        <w:left w:val="none" w:sz="0" w:space="0" w:color="auto"/>
        <w:bottom w:val="none" w:sz="0" w:space="0" w:color="auto"/>
        <w:right w:val="none" w:sz="0" w:space="0" w:color="auto"/>
      </w:divBdr>
    </w:div>
    <w:div w:id="2077506182">
      <w:marLeft w:val="0"/>
      <w:marRight w:val="0"/>
      <w:marTop w:val="100"/>
      <w:marBottom w:val="0"/>
      <w:divBdr>
        <w:top w:val="none" w:sz="0" w:space="0" w:color="auto"/>
        <w:left w:val="none" w:sz="0" w:space="0" w:color="auto"/>
        <w:bottom w:val="none" w:sz="0" w:space="0" w:color="auto"/>
        <w:right w:val="none" w:sz="0" w:space="0" w:color="auto"/>
      </w:divBdr>
      <w:divsChild>
        <w:div w:id="30081459">
          <w:marLeft w:val="0"/>
          <w:marRight w:val="0"/>
          <w:marTop w:val="40"/>
          <w:marBottom w:val="0"/>
          <w:divBdr>
            <w:top w:val="none" w:sz="0" w:space="0" w:color="auto"/>
            <w:left w:val="none" w:sz="0" w:space="0" w:color="auto"/>
            <w:bottom w:val="none" w:sz="0" w:space="0" w:color="auto"/>
            <w:right w:val="none" w:sz="0" w:space="0" w:color="auto"/>
          </w:divBdr>
        </w:div>
        <w:div w:id="789935454">
          <w:marLeft w:val="0"/>
          <w:marRight w:val="0"/>
          <w:marTop w:val="40"/>
          <w:marBottom w:val="0"/>
          <w:divBdr>
            <w:top w:val="none" w:sz="0" w:space="0" w:color="auto"/>
            <w:left w:val="none" w:sz="0" w:space="0" w:color="auto"/>
            <w:bottom w:val="none" w:sz="0" w:space="0" w:color="auto"/>
            <w:right w:val="none" w:sz="0" w:space="0" w:color="auto"/>
          </w:divBdr>
        </w:div>
      </w:divsChild>
    </w:div>
    <w:div w:id="2081902818">
      <w:marLeft w:val="0"/>
      <w:marRight w:val="0"/>
      <w:marTop w:val="0"/>
      <w:marBottom w:val="0"/>
      <w:divBdr>
        <w:top w:val="none" w:sz="0" w:space="0" w:color="auto"/>
        <w:left w:val="none" w:sz="0" w:space="0" w:color="auto"/>
        <w:bottom w:val="none" w:sz="0" w:space="0" w:color="auto"/>
        <w:right w:val="none" w:sz="0" w:space="0" w:color="auto"/>
      </w:divBdr>
    </w:div>
    <w:div w:id="2082635036">
      <w:marLeft w:val="0"/>
      <w:marRight w:val="0"/>
      <w:marTop w:val="0"/>
      <w:marBottom w:val="0"/>
      <w:divBdr>
        <w:top w:val="none" w:sz="0" w:space="0" w:color="auto"/>
        <w:left w:val="none" w:sz="0" w:space="0" w:color="auto"/>
        <w:bottom w:val="none" w:sz="0" w:space="0" w:color="auto"/>
        <w:right w:val="none" w:sz="0" w:space="0" w:color="auto"/>
      </w:divBdr>
    </w:div>
    <w:div w:id="2090762187">
      <w:marLeft w:val="0"/>
      <w:marRight w:val="0"/>
      <w:marTop w:val="0"/>
      <w:marBottom w:val="0"/>
      <w:divBdr>
        <w:top w:val="none" w:sz="0" w:space="0" w:color="auto"/>
        <w:left w:val="none" w:sz="0" w:space="0" w:color="auto"/>
        <w:bottom w:val="none" w:sz="0" w:space="0" w:color="auto"/>
        <w:right w:val="none" w:sz="0" w:space="0" w:color="auto"/>
      </w:divBdr>
    </w:div>
    <w:div w:id="2091458856">
      <w:marLeft w:val="0"/>
      <w:marRight w:val="0"/>
      <w:marTop w:val="0"/>
      <w:marBottom w:val="0"/>
      <w:divBdr>
        <w:top w:val="none" w:sz="0" w:space="0" w:color="auto"/>
        <w:left w:val="none" w:sz="0" w:space="0" w:color="auto"/>
        <w:bottom w:val="none" w:sz="0" w:space="0" w:color="auto"/>
        <w:right w:val="none" w:sz="0" w:space="0" w:color="auto"/>
      </w:divBdr>
      <w:divsChild>
        <w:div w:id="1014782">
          <w:marLeft w:val="0"/>
          <w:marRight w:val="0"/>
          <w:marTop w:val="0"/>
          <w:marBottom w:val="0"/>
          <w:divBdr>
            <w:top w:val="none" w:sz="0" w:space="0" w:color="auto"/>
            <w:left w:val="none" w:sz="0" w:space="0" w:color="auto"/>
            <w:bottom w:val="none" w:sz="0" w:space="0" w:color="auto"/>
            <w:right w:val="none" w:sz="0" w:space="0" w:color="auto"/>
          </w:divBdr>
        </w:div>
      </w:divsChild>
    </w:div>
    <w:div w:id="2098557561">
      <w:marLeft w:val="0"/>
      <w:marRight w:val="0"/>
      <w:marTop w:val="0"/>
      <w:marBottom w:val="0"/>
      <w:divBdr>
        <w:top w:val="none" w:sz="0" w:space="0" w:color="auto"/>
        <w:left w:val="none" w:sz="0" w:space="0" w:color="auto"/>
        <w:bottom w:val="none" w:sz="0" w:space="0" w:color="auto"/>
        <w:right w:val="none" w:sz="0" w:space="0" w:color="auto"/>
      </w:divBdr>
    </w:div>
    <w:div w:id="2103529503">
      <w:marLeft w:val="0"/>
      <w:marRight w:val="0"/>
      <w:marTop w:val="0"/>
      <w:marBottom w:val="0"/>
      <w:divBdr>
        <w:top w:val="none" w:sz="0" w:space="0" w:color="auto"/>
        <w:left w:val="none" w:sz="0" w:space="0" w:color="auto"/>
        <w:bottom w:val="none" w:sz="0" w:space="0" w:color="auto"/>
        <w:right w:val="none" w:sz="0" w:space="0" w:color="auto"/>
      </w:divBdr>
      <w:divsChild>
        <w:div w:id="1560243341">
          <w:marLeft w:val="0"/>
          <w:marRight w:val="0"/>
          <w:marTop w:val="0"/>
          <w:marBottom w:val="0"/>
          <w:divBdr>
            <w:top w:val="none" w:sz="0" w:space="0" w:color="auto"/>
            <w:left w:val="none" w:sz="0" w:space="0" w:color="auto"/>
            <w:bottom w:val="none" w:sz="0" w:space="0" w:color="auto"/>
            <w:right w:val="none" w:sz="0" w:space="0" w:color="auto"/>
          </w:divBdr>
        </w:div>
      </w:divsChild>
    </w:div>
    <w:div w:id="2103640751">
      <w:marLeft w:val="0"/>
      <w:marRight w:val="0"/>
      <w:marTop w:val="0"/>
      <w:marBottom w:val="0"/>
      <w:divBdr>
        <w:top w:val="none" w:sz="0" w:space="0" w:color="auto"/>
        <w:left w:val="none" w:sz="0" w:space="0" w:color="auto"/>
        <w:bottom w:val="none" w:sz="0" w:space="0" w:color="auto"/>
        <w:right w:val="none" w:sz="0" w:space="0" w:color="auto"/>
      </w:divBdr>
    </w:div>
    <w:div w:id="2104179564">
      <w:marLeft w:val="0"/>
      <w:marRight w:val="0"/>
      <w:marTop w:val="0"/>
      <w:marBottom w:val="0"/>
      <w:divBdr>
        <w:top w:val="none" w:sz="0" w:space="0" w:color="auto"/>
        <w:left w:val="none" w:sz="0" w:space="0" w:color="auto"/>
        <w:bottom w:val="none" w:sz="0" w:space="0" w:color="auto"/>
        <w:right w:val="none" w:sz="0" w:space="0" w:color="auto"/>
      </w:divBdr>
    </w:div>
    <w:div w:id="2108037656">
      <w:marLeft w:val="0"/>
      <w:marRight w:val="0"/>
      <w:marTop w:val="0"/>
      <w:marBottom w:val="0"/>
      <w:divBdr>
        <w:top w:val="none" w:sz="0" w:space="0" w:color="auto"/>
        <w:left w:val="none" w:sz="0" w:space="0" w:color="auto"/>
        <w:bottom w:val="none" w:sz="0" w:space="0" w:color="auto"/>
        <w:right w:val="none" w:sz="0" w:space="0" w:color="auto"/>
      </w:divBdr>
    </w:div>
    <w:div w:id="2111771984">
      <w:marLeft w:val="0"/>
      <w:marRight w:val="0"/>
      <w:marTop w:val="0"/>
      <w:marBottom w:val="0"/>
      <w:divBdr>
        <w:top w:val="none" w:sz="0" w:space="0" w:color="auto"/>
        <w:left w:val="none" w:sz="0" w:space="0" w:color="auto"/>
        <w:bottom w:val="none" w:sz="0" w:space="0" w:color="auto"/>
        <w:right w:val="none" w:sz="0" w:space="0" w:color="auto"/>
      </w:divBdr>
    </w:div>
    <w:div w:id="2112818268">
      <w:marLeft w:val="0"/>
      <w:marRight w:val="0"/>
      <w:marTop w:val="0"/>
      <w:marBottom w:val="0"/>
      <w:divBdr>
        <w:top w:val="none" w:sz="0" w:space="0" w:color="auto"/>
        <w:left w:val="none" w:sz="0" w:space="0" w:color="auto"/>
        <w:bottom w:val="none" w:sz="0" w:space="0" w:color="auto"/>
        <w:right w:val="none" w:sz="0" w:space="0" w:color="auto"/>
      </w:divBdr>
    </w:div>
    <w:div w:id="2113622415">
      <w:marLeft w:val="0"/>
      <w:marRight w:val="0"/>
      <w:marTop w:val="0"/>
      <w:marBottom w:val="0"/>
      <w:divBdr>
        <w:top w:val="none" w:sz="0" w:space="0" w:color="auto"/>
        <w:left w:val="none" w:sz="0" w:space="0" w:color="auto"/>
        <w:bottom w:val="none" w:sz="0" w:space="0" w:color="auto"/>
        <w:right w:val="none" w:sz="0" w:space="0" w:color="auto"/>
      </w:divBdr>
    </w:div>
    <w:div w:id="2114474607">
      <w:marLeft w:val="0"/>
      <w:marRight w:val="0"/>
      <w:marTop w:val="0"/>
      <w:marBottom w:val="0"/>
      <w:divBdr>
        <w:top w:val="none" w:sz="0" w:space="0" w:color="auto"/>
        <w:left w:val="none" w:sz="0" w:space="0" w:color="auto"/>
        <w:bottom w:val="none" w:sz="0" w:space="0" w:color="auto"/>
        <w:right w:val="none" w:sz="0" w:space="0" w:color="auto"/>
      </w:divBdr>
    </w:div>
    <w:div w:id="2115593831">
      <w:marLeft w:val="0"/>
      <w:marRight w:val="0"/>
      <w:marTop w:val="0"/>
      <w:marBottom w:val="0"/>
      <w:divBdr>
        <w:top w:val="none" w:sz="0" w:space="0" w:color="auto"/>
        <w:left w:val="none" w:sz="0" w:space="0" w:color="auto"/>
        <w:bottom w:val="none" w:sz="0" w:space="0" w:color="auto"/>
        <w:right w:val="none" w:sz="0" w:space="0" w:color="auto"/>
      </w:divBdr>
    </w:div>
    <w:div w:id="2116636847">
      <w:marLeft w:val="0"/>
      <w:marRight w:val="0"/>
      <w:marTop w:val="0"/>
      <w:marBottom w:val="0"/>
      <w:divBdr>
        <w:top w:val="none" w:sz="0" w:space="0" w:color="auto"/>
        <w:left w:val="none" w:sz="0" w:space="0" w:color="auto"/>
        <w:bottom w:val="none" w:sz="0" w:space="0" w:color="auto"/>
        <w:right w:val="none" w:sz="0" w:space="0" w:color="auto"/>
      </w:divBdr>
    </w:div>
    <w:div w:id="2117089473">
      <w:marLeft w:val="0"/>
      <w:marRight w:val="0"/>
      <w:marTop w:val="0"/>
      <w:marBottom w:val="0"/>
      <w:divBdr>
        <w:top w:val="none" w:sz="0" w:space="0" w:color="auto"/>
        <w:left w:val="none" w:sz="0" w:space="0" w:color="auto"/>
        <w:bottom w:val="none" w:sz="0" w:space="0" w:color="auto"/>
        <w:right w:val="none" w:sz="0" w:space="0" w:color="auto"/>
      </w:divBdr>
    </w:div>
    <w:div w:id="2117940635">
      <w:marLeft w:val="0"/>
      <w:marRight w:val="0"/>
      <w:marTop w:val="0"/>
      <w:marBottom w:val="0"/>
      <w:divBdr>
        <w:top w:val="none" w:sz="0" w:space="0" w:color="auto"/>
        <w:left w:val="none" w:sz="0" w:space="0" w:color="auto"/>
        <w:bottom w:val="none" w:sz="0" w:space="0" w:color="auto"/>
        <w:right w:val="none" w:sz="0" w:space="0" w:color="auto"/>
      </w:divBdr>
    </w:div>
    <w:div w:id="2119981778">
      <w:marLeft w:val="0"/>
      <w:marRight w:val="0"/>
      <w:marTop w:val="0"/>
      <w:marBottom w:val="0"/>
      <w:divBdr>
        <w:top w:val="none" w:sz="0" w:space="0" w:color="auto"/>
        <w:left w:val="none" w:sz="0" w:space="0" w:color="auto"/>
        <w:bottom w:val="none" w:sz="0" w:space="0" w:color="auto"/>
        <w:right w:val="none" w:sz="0" w:space="0" w:color="auto"/>
      </w:divBdr>
    </w:div>
    <w:div w:id="2122065180">
      <w:marLeft w:val="0"/>
      <w:marRight w:val="0"/>
      <w:marTop w:val="0"/>
      <w:marBottom w:val="0"/>
      <w:divBdr>
        <w:top w:val="none" w:sz="0" w:space="0" w:color="auto"/>
        <w:left w:val="none" w:sz="0" w:space="0" w:color="auto"/>
        <w:bottom w:val="none" w:sz="0" w:space="0" w:color="auto"/>
        <w:right w:val="none" w:sz="0" w:space="0" w:color="auto"/>
      </w:divBdr>
    </w:div>
    <w:div w:id="2122455285">
      <w:marLeft w:val="0"/>
      <w:marRight w:val="0"/>
      <w:marTop w:val="0"/>
      <w:marBottom w:val="0"/>
      <w:divBdr>
        <w:top w:val="none" w:sz="0" w:space="0" w:color="auto"/>
        <w:left w:val="none" w:sz="0" w:space="0" w:color="auto"/>
        <w:bottom w:val="none" w:sz="0" w:space="0" w:color="auto"/>
        <w:right w:val="none" w:sz="0" w:space="0" w:color="auto"/>
      </w:divBdr>
    </w:div>
    <w:div w:id="2124490785">
      <w:marLeft w:val="0"/>
      <w:marRight w:val="0"/>
      <w:marTop w:val="0"/>
      <w:marBottom w:val="0"/>
      <w:divBdr>
        <w:top w:val="none" w:sz="0" w:space="0" w:color="auto"/>
        <w:left w:val="none" w:sz="0" w:space="0" w:color="auto"/>
        <w:bottom w:val="none" w:sz="0" w:space="0" w:color="auto"/>
        <w:right w:val="none" w:sz="0" w:space="0" w:color="auto"/>
      </w:divBdr>
    </w:div>
    <w:div w:id="2131583180">
      <w:marLeft w:val="0"/>
      <w:marRight w:val="0"/>
      <w:marTop w:val="0"/>
      <w:marBottom w:val="0"/>
      <w:divBdr>
        <w:top w:val="none" w:sz="0" w:space="0" w:color="auto"/>
        <w:left w:val="none" w:sz="0" w:space="0" w:color="auto"/>
        <w:bottom w:val="none" w:sz="0" w:space="0" w:color="auto"/>
        <w:right w:val="none" w:sz="0" w:space="0" w:color="auto"/>
      </w:divBdr>
    </w:div>
    <w:div w:id="2132281262">
      <w:marLeft w:val="0"/>
      <w:marRight w:val="0"/>
      <w:marTop w:val="0"/>
      <w:marBottom w:val="0"/>
      <w:divBdr>
        <w:top w:val="none" w:sz="0" w:space="0" w:color="auto"/>
        <w:left w:val="none" w:sz="0" w:space="0" w:color="auto"/>
        <w:bottom w:val="none" w:sz="0" w:space="0" w:color="auto"/>
        <w:right w:val="none" w:sz="0" w:space="0" w:color="auto"/>
      </w:divBdr>
    </w:div>
    <w:div w:id="2135171625">
      <w:marLeft w:val="0"/>
      <w:marRight w:val="0"/>
      <w:marTop w:val="0"/>
      <w:marBottom w:val="0"/>
      <w:divBdr>
        <w:top w:val="none" w:sz="0" w:space="0" w:color="auto"/>
        <w:left w:val="none" w:sz="0" w:space="0" w:color="auto"/>
        <w:bottom w:val="none" w:sz="0" w:space="0" w:color="auto"/>
        <w:right w:val="none" w:sz="0" w:space="0" w:color="auto"/>
      </w:divBdr>
    </w:div>
    <w:div w:id="2137481405">
      <w:marLeft w:val="0"/>
      <w:marRight w:val="0"/>
      <w:marTop w:val="0"/>
      <w:marBottom w:val="0"/>
      <w:divBdr>
        <w:top w:val="none" w:sz="0" w:space="0" w:color="auto"/>
        <w:left w:val="none" w:sz="0" w:space="0" w:color="auto"/>
        <w:bottom w:val="none" w:sz="0" w:space="0" w:color="auto"/>
        <w:right w:val="none" w:sz="0" w:space="0" w:color="auto"/>
      </w:divBdr>
    </w:div>
    <w:div w:id="2140103278">
      <w:marLeft w:val="0"/>
      <w:marRight w:val="0"/>
      <w:marTop w:val="0"/>
      <w:marBottom w:val="0"/>
      <w:divBdr>
        <w:top w:val="none" w:sz="0" w:space="0" w:color="auto"/>
        <w:left w:val="none" w:sz="0" w:space="0" w:color="auto"/>
        <w:bottom w:val="none" w:sz="0" w:space="0" w:color="auto"/>
        <w:right w:val="none" w:sz="0" w:space="0" w:color="auto"/>
      </w:divBdr>
    </w:div>
    <w:div w:id="2142260444">
      <w:marLeft w:val="0"/>
      <w:marRight w:val="0"/>
      <w:marTop w:val="0"/>
      <w:marBottom w:val="0"/>
      <w:divBdr>
        <w:top w:val="none" w:sz="0" w:space="0" w:color="auto"/>
        <w:left w:val="none" w:sz="0" w:space="0" w:color="auto"/>
        <w:bottom w:val="none" w:sz="0" w:space="0" w:color="auto"/>
        <w:right w:val="none" w:sz="0" w:space="0" w:color="auto"/>
      </w:divBdr>
    </w:div>
    <w:div w:id="2143844392">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i09302021ex311ceocert302.htm" TargetMode="External"/><Relationship Id="rId13" Type="http://schemas.openxmlformats.org/officeDocument/2006/relationships/hyperlink" Target="ei09302021ex322cfocert906.htm" TargetMode="External"/><Relationship Id="rId3" Type="http://schemas.openxmlformats.org/officeDocument/2006/relationships/webSettings" Target="webSettings.xml"/><Relationship Id="rId7" Type="http://schemas.openxmlformats.org/officeDocument/2006/relationships/hyperlink" Target="ei09302021ex311ceocert302.htm" TargetMode="External"/><Relationship Id="rId12" Type="http://schemas.openxmlformats.org/officeDocument/2006/relationships/hyperlink" Target="ei09302021ex321ceocert906.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a221subsidiaryguarantors.htm" TargetMode="External"/><Relationship Id="rId11" Type="http://schemas.openxmlformats.org/officeDocument/2006/relationships/hyperlink" Target="ei09302021ex321ceocert906.htm" TargetMode="External"/><Relationship Id="rId5" Type="http://schemas.openxmlformats.org/officeDocument/2006/relationships/hyperlink" Target="a221subsidiaryguarantors.htm" TargetMode="External"/><Relationship Id="rId15" Type="http://schemas.openxmlformats.org/officeDocument/2006/relationships/fontTable" Target="fontTable.xml"/><Relationship Id="rId10" Type="http://schemas.openxmlformats.org/officeDocument/2006/relationships/hyperlink" Target="ei09302021ex312cfocert302.htm" TargetMode="External"/><Relationship Id="rId4" Type="http://schemas.openxmlformats.org/officeDocument/2006/relationships/image" Target="file:///E:\projects\LLMs\new_data_collection\data_new\htm\ENBRIDGE%20INC\enb-20210930_g1.jpg" TargetMode="External"/><Relationship Id="rId9" Type="http://schemas.openxmlformats.org/officeDocument/2006/relationships/hyperlink" Target="ei09302021ex312cfocert302.htm" TargetMode="External"/><Relationship Id="rId14" Type="http://schemas.openxmlformats.org/officeDocument/2006/relationships/hyperlink" Target="ei09302021ex322cfocert9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42319</Words>
  <Characters>241221</Characters>
  <Application>Microsoft Office Word</Application>
  <DocSecurity>0</DocSecurity>
  <Lines>2010</Lines>
  <Paragraphs>565</Paragraphs>
  <ScaleCrop>false</ScaleCrop>
  <Company/>
  <LinksUpToDate>false</LinksUpToDate>
  <CharactersWithSpaces>282975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enb-20210930</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