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31F06">
      <w:pPr>
        <w:divId w:val="1356613760"/>
        <w:rPr>
          <w:rFonts w:eastAsia="Times New Roman"/>
          <w:vanish/>
        </w:rPr>
      </w:pPr>
      <w:r>
        <w:rPr>
          <w:rFonts w:eastAsia="Times New Roman"/>
          <w:vanish/>
        </w:rPr>
        <w:t>0000895728falseDecember 312022Q3312.500008957282022-01-012022-09-300000895728us-gaap:CommonStockMember2022-01-012022-09-300000895728</w:t>
      </w:r>
      <w:r>
        <w:rPr>
          <w:rFonts w:eastAsia="Times New Roman"/>
          <w:vanish/>
        </w:rPr>
        <w:t>enb:A6.375FixedtoFloatingRateSubordinatedNotesSeries2018BDue2078Member2022-01-012022-09-3000008957282022-10-28xbrli:shares0000895728enb:CommoditySalesRevenueMember2022-07-012022-09-30iso4217:CAD0000895728enb:CommoditySalesRevenueMember2021-07-012021-09-300</w:t>
      </w:r>
      <w:r>
        <w:rPr>
          <w:rFonts w:eastAsia="Times New Roman"/>
          <w:vanish/>
        </w:rPr>
        <w:t>000895728enb:CommoditySalesRevenueMember2022-01-012022-09-300000895728enb:CommoditySalesRevenueMember2021-01-012021-09-300000895728enb:GasDistributionRevenueMember2022-07-012022-09-300000895728enb:GasDistributionRevenueMember2021-07-012021-09-300000895728e</w:t>
      </w:r>
      <w:r>
        <w:rPr>
          <w:rFonts w:eastAsia="Times New Roman"/>
          <w:vanish/>
        </w:rPr>
        <w:t>nb:GasDistributionRevenueMember2022-01-012022-09-300000895728enb:GasDistributionRevenueMember2021-01-012021-09-300000895728enb:TransportationAndOtherServicesRevenuesMember2022-07-012022-09-300000895728enb:TransportationAndOtherServicesRevenuesMember2021-07</w:t>
      </w:r>
      <w:r>
        <w:rPr>
          <w:rFonts w:eastAsia="Times New Roman"/>
          <w:vanish/>
        </w:rPr>
        <w:t>-012021-09-300000895728enb:TransportationAndOtherServicesRevenuesMember2022-01-012022-09-300000895728enb:TransportationAndOtherServicesRevenuesMember2021-01-012021-09-3000008957282022-07-012022-09-3000008957282021-07-012021-09-3000008957282021-01-012021-09</w:t>
      </w:r>
      <w:r>
        <w:rPr>
          <w:rFonts w:eastAsia="Times New Roman"/>
          <w:vanish/>
        </w:rPr>
        <w:t>-30iso4217:CADxbrli:shares0000895728us-gaap:PreferredStockMember2022-06-300000895728us-gaap:PreferredStockMember2021-06-300000895728us-gaap:PreferredStockMember2021-12-310000895728us-gaap:PreferredStockMember2020-12-310000895728us-gaap:PreferredStockMember</w:t>
      </w:r>
      <w:r>
        <w:rPr>
          <w:rFonts w:eastAsia="Times New Roman"/>
          <w:vanish/>
        </w:rPr>
        <w:t>2022-07-012022-09-300000895728us-gaap:PreferredStockMember2021-07-012021-09-300000895728us-gaap:PreferredStockMember2021-01-012021-09-300000895728us-gaap:PreferredStockMember2022-01-012022-09-300000895728us-gaap:PreferredStockMember2022-09-300000895728us-g</w:t>
      </w:r>
      <w:r>
        <w:rPr>
          <w:rFonts w:eastAsia="Times New Roman"/>
          <w:vanish/>
        </w:rPr>
        <w:t>aap:PreferredStockMember2021-09-300000895728us-gaap:CommonStockMember2022-06-300000895728us-gaap:CommonStockMember2021-06-300000895728us-gaap:CommonStockMember2021-12-310000895728us-gaap:CommonStockMember2020-12-310000895728us-gaap:CommonStockMember2022-07</w:t>
      </w:r>
      <w:r>
        <w:rPr>
          <w:rFonts w:eastAsia="Times New Roman"/>
          <w:vanish/>
        </w:rPr>
        <w:t>-012022-09-300000895728us-gaap:CommonStockMember2021-07-012021-09-300000895728us-gaap:CommonStockMember2022-01-012022-09-300000895728us-gaap:CommonStockMember2021-01-012021-09-300000895728us-gaap:CommonStockMember2022-09-300000895728us-gaap:CommonStockMemb</w:t>
      </w:r>
      <w:r>
        <w:rPr>
          <w:rFonts w:eastAsia="Times New Roman"/>
          <w:vanish/>
        </w:rPr>
        <w:t>er2021-09-300000895728us-gaap:AdditionalPaidInCapitalMember2022-06-300000895728us-gaap:AdditionalPaidInCapitalMember2021-06-300000895728us-gaap:AdditionalPaidInCapitalMember2021-12-310000895728us-gaap:AdditionalPaidInCapitalMember2020-12-310000895728us-gaa</w:t>
      </w:r>
      <w:r>
        <w:rPr>
          <w:rFonts w:eastAsia="Times New Roman"/>
          <w:vanish/>
        </w:rPr>
        <w:t>p:AdditionalPaidInCapitalMember2022-07-012022-09-300000895728us-gaap:AdditionalPaidInCapitalMember2021-07-012021-09-300000895728us-gaap:AdditionalPaidInCapitalMember2022-01-012022-09-300000895728us-gaap:AdditionalPaidInCapitalMember2021-01-012021-09-300000</w:t>
      </w:r>
      <w:r>
        <w:rPr>
          <w:rFonts w:eastAsia="Times New Roman"/>
          <w:vanish/>
        </w:rPr>
        <w:t>895728us-gaap:AdditionalPaidInCapitalMember2022-09-300000895728us-gaap:AdditionalPaidInCapitalMember2021-09-300000895728us-gaap:RetainedEarningsMember2022-06-300000895728us-gaap:RetainedEarningsMember2021-06-300000895728us-gaap:RetainedEarningsMember2021-1</w:t>
      </w:r>
      <w:r>
        <w:rPr>
          <w:rFonts w:eastAsia="Times New Roman"/>
          <w:vanish/>
        </w:rPr>
        <w:t>2-310000895728us-gaap:RetainedEarningsMember2020-12-310000895728us-gaap:RetainedEarningsMember2022-07-012022-09-300000895728us-gaap:RetainedEarningsMember2021-07-012021-09-300000895728us-gaap:RetainedEarningsMember2022-01-012022-09-300000895728us-gaap:Reta</w:t>
      </w:r>
      <w:r>
        <w:rPr>
          <w:rFonts w:eastAsia="Times New Roman"/>
          <w:vanish/>
        </w:rPr>
        <w:t>inedEarningsMember2021-01-012021-09-300000895728us-gaap:RetainedEarningsMember2022-09-300000895728us-gaap:RetainedEarningsMember2021-09-300000895728us-gaap:AccumulatedOtherComprehensiveIncomeMember2022-06-300000895728us-gaap:AccumulatedOtherComprehensiveIn</w:t>
      </w:r>
      <w:r>
        <w:rPr>
          <w:rFonts w:eastAsia="Times New Roman"/>
          <w:vanish/>
        </w:rPr>
        <w:t>comeMember2021-06-300000895728us-gaap:AccumulatedOtherComprehensiveIncomeMember2021-12-310000895728us-gaap:AccumulatedOtherComprehensiveIncomeMember2020-12-310000895728us-gaap:AccumulatedOtherComprehensiveIncomeMember2022-07-012022-09-300000895728us-gaap:A</w:t>
      </w:r>
      <w:r>
        <w:rPr>
          <w:rFonts w:eastAsia="Times New Roman"/>
          <w:vanish/>
        </w:rPr>
        <w:t>ccumulatedOtherComprehensiveIncomeMember2021-07-012021-09-300000895728us-gaap:AccumulatedOtherComprehensiveIncomeMember2022-01-012022-09-300000895728us-gaap:AccumulatedOtherComprehensiveIncomeMember2021-01-012021-09-300000895728us-gaap:AccumulatedOtherComp</w:t>
      </w:r>
      <w:r>
        <w:rPr>
          <w:rFonts w:eastAsia="Times New Roman"/>
          <w:vanish/>
        </w:rPr>
        <w:t>rehensiveIncomeMember2022-09-300000895728us-gaap:AccumulatedOtherComprehensiveIncomeMember2021-09-300000895728us-gaap:TreasuryStockMember2022-06-300000895728us-gaap:TreasuryStockMember2021-06-300000895728us-gaap:TreasuryStockMember2021-12-310000895728us-ga</w:t>
      </w:r>
      <w:r>
        <w:rPr>
          <w:rFonts w:eastAsia="Times New Roman"/>
          <w:vanish/>
        </w:rPr>
        <w:t>ap:TreasuryStockMember2020-12-310000895728us-gaap:TreasuryStockMember2022-07-012022-09-300000895728us-gaap:TreasuryStockMember2021-07-012021-09-300000895728us-gaap:TreasuryStockMember2022-01-012022-09-300000895728us-gaap:TreasuryStockMember2021-01-012021-0</w:t>
      </w:r>
      <w:r>
        <w:rPr>
          <w:rFonts w:eastAsia="Times New Roman"/>
          <w:vanish/>
        </w:rPr>
        <w:t>9-300000895728us-gaap:TreasuryStockMember2022-09-300000895728us-gaap:TreasuryStockMember2021-09-300000895728us-gaap:ParentMember2022-09-300000895728us-gaap:ParentMember2021-09-300000895728us-gaap:NoncontrollingInterestMember2022-06-300000895728us-gaap:Nonc</w:t>
      </w:r>
      <w:r>
        <w:rPr>
          <w:rFonts w:eastAsia="Times New Roman"/>
          <w:vanish/>
        </w:rPr>
        <w:t>ontrollingInterestMember2021-06-300000895728us-gaap:NoncontrollingInterestMember2021-12-310000895728us-gaap:NoncontrollingInterestMember2020-12-310000895728us-gaap:NoncontrollingInterestMember2022-07-012022-09-300000895728us-gaap:NoncontrollingInterestMemb</w:t>
      </w:r>
      <w:r>
        <w:rPr>
          <w:rFonts w:eastAsia="Times New Roman"/>
          <w:vanish/>
        </w:rPr>
        <w:t>er2021-07-012021-09-300000895728us-gaap:NoncontrollingInterestMember2022-01-012022-09-300000895728us-gaap:NoncontrollingInterestMember2021-01-012021-09-300000895728us-gaap:NoncontrollingInterestMember2022-09-300000895728us-gaap:NoncontrollingInterestMember</w:t>
      </w:r>
      <w:r>
        <w:rPr>
          <w:rFonts w:eastAsia="Times New Roman"/>
          <w:vanish/>
        </w:rPr>
        <w:t>2021-09-3000008957282022-09-3000008957282021-09-3000008957282021-12-3100008957282020-12-310000895728enb:LiquidsPipelinesSegmentMemberus-gaap:OperatingSegmentsMemberenb:TransportationRevenueMember2022-07-012022-09-300000895728us-gaap:OperatingSegmentsMember</w:t>
      </w:r>
      <w:r>
        <w:rPr>
          <w:rFonts w:eastAsia="Times New Roman"/>
          <w:vanish/>
        </w:rPr>
        <w:t>enb:TransportationRevenueMemberenb:GasTransmissionandMidstreamSegmentMember2022-07-012022-09-300000895728us-gaap:OperatingSegmentsMemberenb:TransportationRevenueMemberenb:GasDistributionandStorageSegmentMember2022-07-012022-09-300000895728enb:RenewablePowe</w:t>
      </w:r>
      <w:r>
        <w:rPr>
          <w:rFonts w:eastAsia="Times New Roman"/>
          <w:vanish/>
        </w:rPr>
        <w:t>rGenerationSegmentMemberus-gaap:OperatingSegmentsMemberenb:TransportationRevenueMember2022-07-012022-09-300000895728enb:EnergyServicesSegmentMemberus-gaap:OperatingSegmentsMemberenb:TransportationRevenueMember2022-07-012022-09-300000895728enb:Transportatio</w:t>
      </w:r>
      <w:r>
        <w:rPr>
          <w:rFonts w:eastAsia="Times New Roman"/>
          <w:vanish/>
        </w:rPr>
        <w:t>nRevenueMemberenb:EliminationsAndReconcilingItemsMember2022-07-012022-09-300000895728enb:TransportationRevenueMember2022-07-012022-09-300000895728enb:LiquidsPipelinesSegmentMemberenb:StorageandOtherRevenueMemberus-gaap:OperatingSegmentsMember2022-07-012022</w:t>
      </w:r>
      <w:r>
        <w:rPr>
          <w:rFonts w:eastAsia="Times New Roman"/>
          <w:vanish/>
        </w:rPr>
        <w:t>-09-300000895728enb:StorageandOtherRevenueMemberus-gaap:OperatingSegmentsMemberenb:GasTransmissionandMidstreamSegmentMember2022-07-012022-09-300000895728enb:StorageandOtherRevenueMemberus-gaap:OperatingSegmentsMemberenb:GasDistributionandStorageSegmentMemb</w:t>
      </w:r>
      <w:r>
        <w:rPr>
          <w:rFonts w:eastAsia="Times New Roman"/>
          <w:vanish/>
        </w:rPr>
        <w:t>er2022-07-012022-09-300000895728enb:RenewablePowerGenerationSegmentMemberenb:StorageandOtherRevenueMemberus-gaap:OperatingSegmentsMember2022-07-012022-09-300000895728enb:EnergyServicesSegmentMemberenb:StorageandOtherRevenueMemberus-gaap:OperatingSegmentsMe</w:t>
      </w:r>
      <w:r>
        <w:rPr>
          <w:rFonts w:eastAsia="Times New Roman"/>
          <w:vanish/>
        </w:rPr>
        <w:t>mber2022-07-012022-09-300000895728enb:StorageandOtherRevenueMemberenb:EliminationsAndReconcilingItemsMember2022-07-012022-09-300000895728enb:StorageandOtherRevenueMember2022-07-012022-09-300000895728enb:LiquidsPipelinesSegmentMemberenb:GasDistributionReven</w:t>
      </w:r>
      <w:r>
        <w:rPr>
          <w:rFonts w:eastAsia="Times New Roman"/>
          <w:vanish/>
        </w:rPr>
        <w:t>ueMemberus-gaap:OperatingSegmentsMember2022-07-012022-09-300000895728enb:GasDistributionRevenueMemberus-gaap:OperatingSegmentsMemberenb:GasTransmissionandMidstreamSegmentMember2022-07-012022-09-300000895728enb:GasDistributionRevenueMemberus-gaap:OperatingS</w:t>
      </w:r>
      <w:r>
        <w:rPr>
          <w:rFonts w:eastAsia="Times New Roman"/>
          <w:vanish/>
        </w:rPr>
        <w:t>egmentsMemberenb:GasDistributionandStorageSegmentMember2022-07-012022-09-300000895728enb:RenewablePowerGenerationSegmentMemberenb:GasDistributionRevenueMemberus-gaap:OperatingSegmentsMember2022-07-012022-09-300000895728enb:EnergyServicesSegmentMemberenb:Ga</w:t>
      </w:r>
      <w:r>
        <w:rPr>
          <w:rFonts w:eastAsia="Times New Roman"/>
          <w:vanish/>
        </w:rPr>
        <w:t>sDistributionRevenueMemberus-gaap:OperatingSegmentsMember2022-07-012022-09-300000895728enb:GasDistributionRevenueMemberenb:EliminationsAndReconcilingItemsMember2022-07-012022-09-300000895728enb:LiquidsPipelinesSegmentMemberenb:ElectricityandTransmissionRev</w:t>
      </w:r>
      <w:r>
        <w:rPr>
          <w:rFonts w:eastAsia="Times New Roman"/>
          <w:vanish/>
        </w:rPr>
        <w:t>enueMemberus-gaap:OperatingSegmentsMember2022-07-012022-09-300000895728enb:ElectricityandTransmissionRevenueMemberus-gaap:OperatingSegmentsMemberenb:GasTransmissionandMidstreamSegmentMember2022-07-012022-09-300000895728enb:ElectricityandTransmissionRevenue</w:t>
      </w:r>
      <w:r>
        <w:rPr>
          <w:rFonts w:eastAsia="Times New Roman"/>
          <w:vanish/>
        </w:rPr>
        <w:t>Memberus-gaap:OperatingSegmentsMemberenb:GasDistributionandStorageSegmentMember2022-07-012022-09-300000895728enb:ElectricityandTransmissionRevenueMemberenb:RenewablePowerGenerationSegmentMemberus-gaap:OperatingSegmentsMember2022-07-012022-09-300000895728en</w:t>
      </w:r>
      <w:r>
        <w:rPr>
          <w:rFonts w:eastAsia="Times New Roman"/>
          <w:vanish/>
        </w:rPr>
        <w:t>b:ElectricityandTransmissionRevenueMemberenb:EnergyServicesSegmentMemberus-gaap:OperatingSegmentsMember2022-07-012022-09-300000895728enb:ElectricityandTransmissionRevenueMemberenb:EliminationsAndReconcilingItemsMember2022-07-012022-09-300000895728enb:Elect</w:t>
      </w:r>
      <w:r>
        <w:rPr>
          <w:rFonts w:eastAsia="Times New Roman"/>
          <w:vanish/>
        </w:rPr>
        <w:t>ricityandTransmissionRevenueMember2022-07-012022-09-300000895728enb:LiquidsPipelinesSegmentMemberus-gaap:OperatingSegmentsMember2022-07-012022-09-300000895728us-gaap:OperatingSegmentsMemberenb:GasTransmissionandMidstreamSegmentMember2022-07-012022-09-30000</w:t>
      </w:r>
      <w:r>
        <w:rPr>
          <w:rFonts w:eastAsia="Times New Roman"/>
          <w:vanish/>
        </w:rPr>
        <w:t>0895728us-gaap:OperatingSegmentsMemberenb:GasDistributionandStorageSegmentMember2022-07-012022-09-300000895728enb:RenewablePowerGenerationSegmentMemberus-gaap:OperatingSegmentsMember2022-07-012022-09-300000895728enb:EnergyServicesSegmentMemberus-gaap:Opera</w:t>
      </w:r>
      <w:r>
        <w:rPr>
          <w:rFonts w:eastAsia="Times New Roman"/>
          <w:vanish/>
        </w:rPr>
        <w:t>tingSegmentsMember2022-07-012022-09-300000895728enb:EliminationsAndReconcilingItemsMember2022-07-012022-09-300000895728enb:LiquidsPipelinesSegmentMemberus-gaap:OperatingSegmentsMemberenb:CommoditySalesRevenueMember2022-07-012022-09-300000895728us-gaap:Oper</w:t>
      </w:r>
      <w:r>
        <w:rPr>
          <w:rFonts w:eastAsia="Times New Roman"/>
          <w:vanish/>
        </w:rPr>
        <w:t>atingSegmentsMemberenb:CommoditySalesRevenueMemberenb:GasTransmissionandMidstreamSegmentMember2022-07-012022-09-300000895728us-gaap:OperatingSegmentsMemberenb:CommoditySalesRevenueMemberenb:GasDistributionandStorageSegmentMember2022-07-012022-09-3000008957</w:t>
      </w:r>
      <w:r>
        <w:rPr>
          <w:rFonts w:eastAsia="Times New Roman"/>
          <w:vanish/>
        </w:rPr>
        <w:t>28enb:RenewablePowerGenerationSegmentMemberus-gaap:OperatingSegmentsMemberenb:CommoditySalesRevenueMember2022-07-012022-09-300000895728enb:EnergyServicesSegmentMemberus-gaap:OperatingSegmentsMemberenb:CommoditySalesRevenueMember2022-07-012022-09-3000008957</w:t>
      </w:r>
      <w:r>
        <w:rPr>
          <w:rFonts w:eastAsia="Times New Roman"/>
          <w:vanish/>
        </w:rPr>
        <w:t>28enb:CommoditySalesRevenueMemberenb:EliminationsAndReconcilingItemsMember2022-07-012022-09-300000895728enb:LiquidsPipelinesSegmentMemberus-gaap:OperatingSegmentsMemberenb:OtherRevenueMember2022-07-012022-09-300000895728us-gaap:OperatingSegmentsMemberenb:G</w:t>
      </w:r>
      <w:r>
        <w:rPr>
          <w:rFonts w:eastAsia="Times New Roman"/>
          <w:vanish/>
        </w:rPr>
        <w:t>asTransmissionandMidstreamSegmentMemberenb:OtherRevenueMember2022-07-012022-09-300000895728us-gaap:OperatingSegmentsMemberenb:GasDistributionandStorageSegmentMemberenb:OtherRevenueMember2022-07-012022-09-300000895728enb:RenewablePowerGenerationSegmentMembe</w:t>
      </w:r>
      <w:r>
        <w:rPr>
          <w:rFonts w:eastAsia="Times New Roman"/>
          <w:vanish/>
        </w:rPr>
        <w:t>rus-gaap:OperatingSegmentsMemberenb:OtherRevenueMember2022-07-012022-09-300000895728enb:EnergyServicesSegmentMemberus-gaap:OperatingSegmentsMemberenb:OtherRevenueMember2022-07-012022-09-300000895728enb:EliminationsAndReconcilingItemsMemberenb:OtherRevenueM</w:t>
      </w:r>
      <w:r>
        <w:rPr>
          <w:rFonts w:eastAsia="Times New Roman"/>
          <w:vanish/>
        </w:rPr>
        <w:t>ember2022-07-012022-09-300000895728enb:OtherRevenueMember2022-07-012022-09-300000895728us-gaap:IntersegmentEliminationMemberenb:LiquidsPipelinesSegmentMember2022-07-012022-09-300000895728us-gaap:IntersegmentEliminationMemberenb:GasTransmissionandMidstreamS</w:t>
      </w:r>
      <w:r>
        <w:rPr>
          <w:rFonts w:eastAsia="Times New Roman"/>
          <w:vanish/>
        </w:rPr>
        <w:t>egmentMember2022-07-012022-09-300000895728us-gaap:IntersegmentEliminationMemberenb:GasDistributionandStorageSegmentMember2022-07-012022-09-300000895728us-gaap:IntersegmentEliminationMemberenb:RenewablePowerGenerationSegmentMember2022-07-012022-09-300000895</w:t>
      </w:r>
      <w:r>
        <w:rPr>
          <w:rFonts w:eastAsia="Times New Roman"/>
          <w:vanish/>
        </w:rPr>
        <w:t>728us-gaap:IntersegmentEliminationMemberenb:EnergyServicesSegmentMember2022-07-012022-09-300000895728us-gaap:IntersegmentEliminationMember2022-07-012022-09-300000895728enb:LiquidsPipelinesSegmentMemberus-gaap:OperatingSegmentsMemberenb:TransportationRevenu</w:t>
      </w:r>
      <w:r>
        <w:rPr>
          <w:rFonts w:eastAsia="Times New Roman"/>
          <w:vanish/>
        </w:rPr>
        <w:t>eMember2021-07-012021-09-300000895728us-gaap:OperatingSegmentsMemberenb:TransportationRevenueMemberenb:GasTransmissionandMidstreamSegmentMember2021-07-012021-09-300000895728us-gaap:OperatingSegmentsMemberenb:TransportationRevenueMemberenb:GasDistributionan</w:t>
      </w:r>
      <w:r>
        <w:rPr>
          <w:rFonts w:eastAsia="Times New Roman"/>
          <w:vanish/>
        </w:rPr>
        <w:t>dStorageSegmentMember2021-07-012021-09-300000895728enb:RenewablePowerGenerationSegmentMemberus-gaap:OperatingSegmentsMemberenb:TransportationRevenueMember2021-07-012021-09-300000895728enb:EnergyServicesSegmentMemberus-gaap:OperatingSegmentsMemberenb:Transp</w:t>
      </w:r>
      <w:r>
        <w:rPr>
          <w:rFonts w:eastAsia="Times New Roman"/>
          <w:vanish/>
        </w:rPr>
        <w:t>ortationRevenueMember2021-07-012021-09-300000895728enb:TransportationRevenueMemberenb:EliminationsAndReconcilingItemsMember2021-07-012021-09-300000895728enb:TransportationRevenueMember2021-07-012021-09-300000895728enb:LiquidsPipelinesSegmentMemberenb:Stora</w:t>
      </w:r>
      <w:r>
        <w:rPr>
          <w:rFonts w:eastAsia="Times New Roman"/>
          <w:vanish/>
        </w:rPr>
        <w:t>geandOtherRevenueMemberus-gaap:OperatingSegmentsMember2021-07-012021-09-300000895728enb:StorageandOtherRevenueMemberus-gaap:OperatingSegmentsMemberenb:GasTransmissionandMidstreamSegmentMember2021-07-012021-09-300000895728enb:StorageandOtherRevenueMemberus-</w:t>
      </w:r>
      <w:r>
        <w:rPr>
          <w:rFonts w:eastAsia="Times New Roman"/>
          <w:vanish/>
        </w:rPr>
        <w:t>gaap:OperatingSegmentsMemberenb:GasDistributionandStorageSegmentMember2021-07-012021-09-300000895728enb:RenewablePowerGenerationSegmentMemberenb:StorageandOtherRevenueMemberus-gaap:OperatingSegmentsMember2021-07-012021-09-300000895728enb:EnergyServicesSegm</w:t>
      </w:r>
      <w:r>
        <w:rPr>
          <w:rFonts w:eastAsia="Times New Roman"/>
          <w:vanish/>
        </w:rPr>
        <w:t>entMemberenb:StorageandOtherRevenueMemberus-gaap:OperatingSegmentsMember2021-07-012021-09-300000895728enb:StorageandOtherRevenueMemberenb:EliminationsAndReconcilingItemsMember2021-07-012021-09-300000895728enb:StorageandOtherRevenueMember2021-07-012021-09-3</w:t>
      </w:r>
      <w:r>
        <w:rPr>
          <w:rFonts w:eastAsia="Times New Roman"/>
          <w:vanish/>
        </w:rPr>
        <w:t>00000895728enb:LiquidsPipelinesSegmentMemberus-gaap:OperatingSegmentsMemberenb:GasGatheringandProcessingRevenueMember2021-07-012021-09-300000895728us-gaap:OperatingSegmentsMemberenb:GasTransmissionandMidstreamSegmentMemberenb:GasGatheringandProcessingReven</w:t>
      </w:r>
      <w:r>
        <w:rPr>
          <w:rFonts w:eastAsia="Times New Roman"/>
          <w:vanish/>
        </w:rPr>
        <w:t>ueMember2021-07-012021-09-300000895728us-gaap:OperatingSegmentsMemberenb:GasDistributionandStorageSegmentMemberenb:GasGatheringandProcessingRevenueMember2021-07-012021-09-300000895728enb:RenewablePowerGenerationSegmentMemberus-gaap:OperatingSegmentsMembere</w:t>
      </w:r>
      <w:r>
        <w:rPr>
          <w:rFonts w:eastAsia="Times New Roman"/>
          <w:vanish/>
        </w:rPr>
        <w:t>nb:GasGatheringandProcessingRevenueMember2021-07-012021-09-300000895728enb:EnergyServicesSegmentMemberus-gaap:OperatingSegmentsMemberenb:GasGatheringandProcessingRevenueMember2021-07-012021-09-300000895728enb:EliminationsAndReconcilingItemsMemberenb:GasGat</w:t>
      </w:r>
      <w:r>
        <w:rPr>
          <w:rFonts w:eastAsia="Times New Roman"/>
          <w:vanish/>
        </w:rPr>
        <w:t>heringandProcessingRevenueMember2021-07-012021-09-300000895728enb:GasGatheringandProcessingRevenueMember2021-07-012021-09-300000895728enb:LiquidsPipelinesSegmentMemberenb:GasDistributionRevenueMemberus-gaap:OperatingSegmentsMember2021-07-012021-09-30000089</w:t>
      </w:r>
      <w:r>
        <w:rPr>
          <w:rFonts w:eastAsia="Times New Roman"/>
          <w:vanish/>
        </w:rPr>
        <w:t>5728enb:GasDistributionRevenueMemberus-gaap:OperatingSegmentsMemberenb:GasTransmissionandMidstreamSegmentMember2021-07-012021-09-300000895728enb:GasDistributionRevenueMemberus-gaap:OperatingSegmentsMemberenb:GasDistributionandStorageSegmentMember2021-07-01</w:t>
      </w:r>
      <w:r>
        <w:rPr>
          <w:rFonts w:eastAsia="Times New Roman"/>
          <w:vanish/>
        </w:rPr>
        <w:t>2021-09-300000895728enb:RenewablePowerGenerationSegmentMemberenb:GasDistributionRevenueMemberus-gaap:OperatingSegmentsMember2021-07-012021-09-300000895728enb:EnergyServicesSegmentMemberenb:GasDistributionRevenueMemberus-gaap:OperatingSegmentsMember2021-07-</w:t>
      </w:r>
      <w:r>
        <w:rPr>
          <w:rFonts w:eastAsia="Times New Roman"/>
          <w:vanish/>
        </w:rPr>
        <w:t>012021-09-300000895728enb:GasDistributionRevenueMemberenb:EliminationsAndReconcilingItemsMember2021-07-012021-09-300000895728enb:LiquidsPipelinesSegmentMemberenb:ElectricityandTransmissionRevenueMemberus-gaap:OperatingSegmentsMember2021-07-012021-09-300000</w:t>
      </w:r>
      <w:r>
        <w:rPr>
          <w:rFonts w:eastAsia="Times New Roman"/>
          <w:vanish/>
        </w:rPr>
        <w:t>895728enb:ElectricityandTransmissionRevenueMemberus-gaap:OperatingSegmentsMemberenb:GasTransmissionandMidstreamSegmentMember2021-07-012021-09-300000895728enb:ElectricityandTransmissionRevenueMemberus-gaap:OperatingSegmentsMemberenb:GasDistributionandStorag</w:t>
      </w:r>
      <w:r>
        <w:rPr>
          <w:rFonts w:eastAsia="Times New Roman"/>
          <w:vanish/>
        </w:rPr>
        <w:t>eSegmentMember2021-07-012021-09-300000895728enb:ElectricityandTransmissionRevenueMemberenb:RenewablePowerGenerationSegmentMemberus-gaap:OperatingSegmentsMember2021-07-012021-09-300000895728enb:ElectricityandTransmissionRevenueMemberenb:EnergyServicesSegmen</w:t>
      </w:r>
      <w:r>
        <w:rPr>
          <w:rFonts w:eastAsia="Times New Roman"/>
          <w:vanish/>
        </w:rPr>
        <w:t>tMemberus-gaap:OperatingSegmentsMember2021-07-012021-09-300000895728enb:ElectricityandTransmissionRevenueMemberenb:EliminationsAndReconcilingItemsMember2021-07-012021-09-300000895728enb:ElectricityandTransmissionRevenueMember2021-07-012021-09-300000895728e</w:t>
      </w:r>
      <w:r>
        <w:rPr>
          <w:rFonts w:eastAsia="Times New Roman"/>
          <w:vanish/>
        </w:rPr>
        <w:t>nb:LiquidsPipelinesSegmentMemberus-gaap:OperatingSegmentsMember2021-07-012021-09-300000895728us-gaap:OperatingSegmentsMemberenb:GasTransmissionandMidstreamSegmentMember2021-07-012021-09-300000895728us-gaap:OperatingSegmentsMemberenb:GasDistributionandStora</w:t>
      </w:r>
      <w:r>
        <w:rPr>
          <w:rFonts w:eastAsia="Times New Roman"/>
          <w:vanish/>
        </w:rPr>
        <w:t>geSegmentMember2021-07-012021-09-300000895728enb:RenewablePowerGenerationSegmentMemberus-gaap:OperatingSegmentsMember2021-07-012021-09-300000895728enb:EnergyServicesSegmentMemberus-gaap:OperatingSegmentsMember2021-07-012021-09-300000895728enb:EliminationsA</w:t>
      </w:r>
      <w:r>
        <w:rPr>
          <w:rFonts w:eastAsia="Times New Roman"/>
          <w:vanish/>
        </w:rPr>
        <w:t>ndReconcilingItemsMember2021-07-012021-09-300000895728enb:LiquidsPipelinesSegmentMemberus-gaap:OperatingSegmentsMemberenb:CommoditySalesRevenueMember2021-07-012021-09-300000895728us-gaap:OperatingSegmentsMemberenb:CommoditySalesRevenueMemberenb:GasTransmis</w:t>
      </w:r>
      <w:r>
        <w:rPr>
          <w:rFonts w:eastAsia="Times New Roman"/>
          <w:vanish/>
        </w:rPr>
        <w:t>sionandMidstreamSegmentMember2021-07-012021-09-300000895728us-gaap:OperatingSegmentsMemberenb:CommoditySalesRevenueMemberenb:GasDistributionandStorageSegmentMember2021-07-012021-09-300000895728enb:RenewablePowerGenerationSegmentMemberus-gaap:OperatingSegme</w:t>
      </w:r>
      <w:r>
        <w:rPr>
          <w:rFonts w:eastAsia="Times New Roman"/>
          <w:vanish/>
        </w:rPr>
        <w:t>ntsMemberenb:CommoditySalesRevenueMember2021-07-012021-09-300000895728enb:EnergyServicesSegmentMemberus-gaap:OperatingSegmentsMemberenb:CommoditySalesRevenueMember2021-07-012021-09-300000895728enb:CommoditySalesRevenueMemberenb:EliminationsAndReconcilingIt</w:t>
      </w:r>
      <w:r>
        <w:rPr>
          <w:rFonts w:eastAsia="Times New Roman"/>
          <w:vanish/>
        </w:rPr>
        <w:t>emsMember2021-07-012021-09-300000895728enb:LiquidsPipelinesSegmentMemberus-gaap:OperatingSegmentsMemberenb:OtherRevenueMember2021-07-012021-09-300000895728us-gaap:OperatingSegmentsMemberenb:GasTransmissionandMidstreamSegmentMemberenb:OtherRevenueMember2021</w:t>
      </w:r>
      <w:r>
        <w:rPr>
          <w:rFonts w:eastAsia="Times New Roman"/>
          <w:vanish/>
        </w:rPr>
        <w:t>-07-012021-09-300000895728us-gaap:OperatingSegmentsMemberenb:GasDistributionandStorageSegmentMemberenb:OtherRevenueMember2021-07-012021-09-300000895728enb:RenewablePowerGenerationSegmentMemberus-gaap:OperatingSegmentsMemberenb:OtherRevenueMember2021-07-012</w:t>
      </w:r>
      <w:r>
        <w:rPr>
          <w:rFonts w:eastAsia="Times New Roman"/>
          <w:vanish/>
        </w:rPr>
        <w:t>021-09-300000895728enb:EnergyServicesSegmentMemberus-gaap:OperatingSegmentsMemberenb:OtherRevenueMember2021-07-012021-09-300000895728enb:EliminationsAndReconcilingItemsMemberenb:OtherRevenueMember2021-07-012021-09-300000895728enb:OtherRevenueMember2021-07-</w:t>
      </w:r>
      <w:r>
        <w:rPr>
          <w:rFonts w:eastAsia="Times New Roman"/>
          <w:vanish/>
        </w:rPr>
        <w:t>012021-09-300000895728us-gaap:IntersegmentEliminationMemberenb:LiquidsPipelinesSegmentMember2021-07-012021-09-300000895728us-gaap:IntersegmentEliminationMemberenb:GasTransmissionandMidstreamSegmentMember2021-07-012021-09-300000895728us-gaap:IntersegmentEli</w:t>
      </w:r>
      <w:r>
        <w:rPr>
          <w:rFonts w:eastAsia="Times New Roman"/>
          <w:vanish/>
        </w:rPr>
        <w:t>minationMemberenb:GasDistributionandStorageSegmentMember2021-07-012021-09-300000895728us-gaap:IntersegmentEliminationMemberenb:RenewablePowerGenerationSegmentMember2021-07-012021-09-300000895728us-gaap:IntersegmentEliminationMemberenb:EnergyServicesSegment</w:t>
      </w:r>
      <w:r>
        <w:rPr>
          <w:rFonts w:eastAsia="Times New Roman"/>
          <w:vanish/>
        </w:rPr>
        <w:t>Member2021-07-012021-09-300000895728us-gaap:IntersegmentEliminationMember2021-07-012021-09-300000895728enb:LiquidsPipelinesSegmentMemberus-gaap:OperatingSegmentsMemberenb:TransportationRevenueMember2022-01-012022-09-300000895728us-gaap:OperatingSegmentsMem</w:t>
      </w:r>
      <w:r>
        <w:rPr>
          <w:rFonts w:eastAsia="Times New Roman"/>
          <w:vanish/>
        </w:rPr>
        <w:t>berenb:TransportationRevenueMemberenb:GasTransmissionandMidstreamSegmentMember2022-01-012022-09-300000895728us-gaap:OperatingSegmentsMemberenb:TransportationRevenueMemberenb:GasDistributionandStorageSegmentMember2022-01-012022-09-300000895728enb:RenewableP</w:t>
      </w:r>
      <w:r>
        <w:rPr>
          <w:rFonts w:eastAsia="Times New Roman"/>
          <w:vanish/>
        </w:rPr>
        <w:t>owerGenerationSegmentMemberus-gaap:OperatingSegmentsMemberenb:TransportationRevenueMember2022-01-012022-09-300000895728enb:EnergyServicesSegmentMemberus-gaap:OperatingSegmentsMemberenb:TransportationRevenueMember2022-01-012022-09-300000895728enb:Transporta</w:t>
      </w:r>
      <w:r>
        <w:rPr>
          <w:rFonts w:eastAsia="Times New Roman"/>
          <w:vanish/>
        </w:rPr>
        <w:t>tionRevenueMemberenb:EliminationsAndReconcilingItemsMember2022-01-012022-09-300000895728enb:TransportationRevenueMember2022-01-012022-09-300000895728enb:LiquidsPipelinesSegmentMemberenb:StorageandOtherRevenueMemberus-gaap:OperatingSegmentsMember2022-01-012</w:t>
      </w:r>
      <w:r>
        <w:rPr>
          <w:rFonts w:eastAsia="Times New Roman"/>
          <w:vanish/>
        </w:rPr>
        <w:t>022-09-300000895728enb:StorageandOtherRevenueMemberus-gaap:OperatingSegmentsMemberenb:GasTransmissionandMidstreamSegmentMember2022-01-012022-09-300000895728enb:StorageandOtherRevenueMemberus-gaap:OperatingSegmentsMemberenb:GasDistributionandStorageSegmentM</w:t>
      </w:r>
      <w:r>
        <w:rPr>
          <w:rFonts w:eastAsia="Times New Roman"/>
          <w:vanish/>
        </w:rPr>
        <w:t>ember2022-01-012022-09-300000895728enb:RenewablePowerGenerationSegmentMemberenb:StorageandOtherRevenueMemberus-gaap:OperatingSegmentsMember2022-01-012022-09-300000895728enb:EnergyServicesSegmentMemberenb:StorageandOtherRevenueMemberus-gaap:OperatingSegment</w:t>
      </w:r>
      <w:r>
        <w:rPr>
          <w:rFonts w:eastAsia="Times New Roman"/>
          <w:vanish/>
        </w:rPr>
        <w:t>sMember2022-01-012022-09-300000895728enb:StorageandOtherRevenueMemberenb:EliminationsAndReconcilingItemsMember2022-01-012022-09-300000895728enb:StorageandOtherRevenueMember2022-01-012022-09-300000895728enb:LiquidsPipelinesSegmentMemberus-gaap:OperatingSegm</w:t>
      </w:r>
      <w:r>
        <w:rPr>
          <w:rFonts w:eastAsia="Times New Roman"/>
          <w:vanish/>
        </w:rPr>
        <w:t>entsMemberenb:GasGatheringandProcessingRevenueMember2022-01-012022-09-300000895728us-gaap:OperatingSegmentsMemberenb:GasTransmissionandMidstreamSegmentMemberenb:GasGatheringandProcessingRevenueMember2022-01-012022-09-300000895728us-gaap:OperatingSegmentsMe</w:t>
      </w:r>
      <w:r>
        <w:rPr>
          <w:rFonts w:eastAsia="Times New Roman"/>
          <w:vanish/>
        </w:rPr>
        <w:t>mberenb:GasDistributionandStorageSegmentMemberenb:GasGatheringandProcessingRevenueMember2022-01-012022-09-300000895728enb:RenewablePowerGenerationSegmentMemberus-gaap:OperatingSegmentsMemberenb:GasGatheringandProcessingRevenueMember2022-01-012022-09-300000</w:t>
      </w:r>
      <w:r>
        <w:rPr>
          <w:rFonts w:eastAsia="Times New Roman"/>
          <w:vanish/>
        </w:rPr>
        <w:t>895728enb:EnergyServicesSegmentMemberus-gaap:OperatingSegmentsMemberenb:GasGatheringandProcessingRevenueMember2022-01-012022-09-300000895728enb:EliminationsAndReconcilingItemsMemberenb:GasGatheringandProcessingRevenueMember2022-01-012022-09-300000895728enb</w:t>
      </w:r>
      <w:r>
        <w:rPr>
          <w:rFonts w:eastAsia="Times New Roman"/>
          <w:vanish/>
        </w:rPr>
        <w:t>:GasGatheringandProcessingRevenueMember2022-01-012022-09-300000895728enb:LiquidsPipelinesSegmentMemberenb:GasDistributionRevenueMemberus-gaap:OperatingSegmentsMember2022-01-012022-09-300000895728enb:GasDistributionRevenueMemberus-gaap:OperatingSegmentsMemb</w:t>
      </w:r>
      <w:r>
        <w:rPr>
          <w:rFonts w:eastAsia="Times New Roman"/>
          <w:vanish/>
        </w:rPr>
        <w:t>erenb:GasTransmissionandMidstreamSegmentMember2022-01-012022-09-300000895728enb:GasDistributionRevenueMemberus-gaap:OperatingSegmentsMemberenb:GasDistributionandStorageSegmentMember2022-01-012022-09-300000895728enb:RenewablePowerGenerationSegmentMemberenb:</w:t>
      </w:r>
      <w:r>
        <w:rPr>
          <w:rFonts w:eastAsia="Times New Roman"/>
          <w:vanish/>
        </w:rPr>
        <w:t>GasDistributionRevenueMemberus-gaap:OperatingSegmentsMember2022-01-012022-09-300000895728enb:EnergyServicesSegmentMemberenb:GasDistributionRevenueMemberus-gaap:OperatingSegmentsMember2022-01-012022-09-300000895728enb:GasDistributionRevenueMemberenb:Elimina</w:t>
      </w:r>
      <w:r>
        <w:rPr>
          <w:rFonts w:eastAsia="Times New Roman"/>
          <w:vanish/>
        </w:rPr>
        <w:t>tionsAndReconcilingItemsMember2022-01-012022-09-300000895728enb:LiquidsPipelinesSegmentMemberenb:ElectricityandTransmissionRevenueMemberus-gaap:OperatingSegmentsMember2022-01-012022-09-300000895728enb:ElectricityandTransmissionRevenueMemberus-gaap:Operatin</w:t>
      </w:r>
      <w:r>
        <w:rPr>
          <w:rFonts w:eastAsia="Times New Roman"/>
          <w:vanish/>
        </w:rPr>
        <w:t>gSegmentsMemberenb:GasTransmissionandMidstreamSegmentMember2022-01-012022-09-300000895728enb:ElectricityandTransmissionRevenueMemberus-gaap:OperatingSegmentsMemberenb:GasDistributionandStorageSegmentMember2022-01-012022-09-300000895728enb:ElectricityandTra</w:t>
      </w:r>
      <w:r>
        <w:rPr>
          <w:rFonts w:eastAsia="Times New Roman"/>
          <w:vanish/>
        </w:rPr>
        <w:t>nsmissionRevenueMemberenb:RenewablePowerGenerationSegmentMemberus-gaap:OperatingSegmentsMember2022-01-012022-09-300000895728enb:ElectricityandTransmissionRevenueMemberenb:EnergyServicesSegmentMemberus-gaap:OperatingSegmentsMember2022-01-012022-09-300000895</w:t>
      </w:r>
      <w:r>
        <w:rPr>
          <w:rFonts w:eastAsia="Times New Roman"/>
          <w:vanish/>
        </w:rPr>
        <w:t>728enb:ElectricityandTransmissionRevenueMemberenb:EliminationsAndReconcilingItemsMember2022-01-012022-09-300000895728enb:ElectricityandTransmissionRevenueMember2022-01-012022-09-300000895728enb:LiquidsPipelinesSegmentMemberus-gaap:OperatingSegmentsMember20</w:t>
      </w:r>
      <w:r>
        <w:rPr>
          <w:rFonts w:eastAsia="Times New Roman"/>
          <w:vanish/>
        </w:rPr>
        <w:t>22-01-012022-09-300000895728us-gaap:OperatingSegmentsMemberenb:GasTransmissionandMidstreamSegmentMember2022-01-012022-09-300000895728us-gaap:OperatingSegmentsMemberenb:GasDistributionandStorageSegmentMember2022-01-012022-09-300000895728enb:RenewablePowerGe</w:t>
      </w:r>
      <w:r>
        <w:rPr>
          <w:rFonts w:eastAsia="Times New Roman"/>
          <w:vanish/>
        </w:rPr>
        <w:t>nerationSegmentMemberus-gaap:OperatingSegmentsMember2022-01-012022-09-300000895728enb:EnergyServicesSegmentMemberus-gaap:OperatingSegmentsMember2022-01-012022-09-300000895728enb:EliminationsAndReconcilingItemsMember2022-01-012022-09-300000895728enb:Liquids</w:t>
      </w:r>
      <w:r>
        <w:rPr>
          <w:rFonts w:eastAsia="Times New Roman"/>
          <w:vanish/>
        </w:rPr>
        <w:t>PipelinesSegmentMemberus-gaap:OperatingSegmentsMemberenb:CommoditySalesRevenueMember2022-01-012022-09-300000895728us-gaap:OperatingSegmentsMemberenb:CommoditySalesRevenueMemberenb:GasTransmissionandMidstreamSegmentMember2022-01-012022-09-300000895728us-gaa</w:t>
      </w:r>
      <w:r>
        <w:rPr>
          <w:rFonts w:eastAsia="Times New Roman"/>
          <w:vanish/>
        </w:rPr>
        <w:t>p:OperatingSegmentsMemberenb:CommoditySalesRevenueMemberenb:GasDistributionandStorageSegmentMember2022-01-012022-09-300000895728enb:RenewablePowerGenerationSegmentMemberus-gaap:OperatingSegmentsMemberenb:CommoditySalesRevenueMember2022-01-012022-09-3000008</w:t>
      </w:r>
      <w:r>
        <w:rPr>
          <w:rFonts w:eastAsia="Times New Roman"/>
          <w:vanish/>
        </w:rPr>
        <w:t>95728enb:EnergyServicesSegmentMemberus-gaap:OperatingSegmentsMemberenb:CommoditySalesRevenueMember2022-01-012022-09-300000895728enb:CommoditySalesRevenueMemberenb:EliminationsAndReconcilingItemsMember2022-01-012022-09-300000895728enb:LiquidsPipelinesSegmen</w:t>
      </w:r>
      <w:r>
        <w:rPr>
          <w:rFonts w:eastAsia="Times New Roman"/>
          <w:vanish/>
        </w:rPr>
        <w:t>tMemberus-gaap:OperatingSegmentsMemberenb:OtherRevenueMember2022-01-012022-09-300000895728us-gaap:OperatingSegmentsMemberenb:GasTransmissionandMidstreamSegmentMemberenb:OtherRevenueMember2022-01-012022-09-300000895728us-gaap:OperatingSegmentsMemberenb:GasD</w:t>
      </w:r>
      <w:r>
        <w:rPr>
          <w:rFonts w:eastAsia="Times New Roman"/>
          <w:vanish/>
        </w:rPr>
        <w:t>istributionandStorageSegmentMemberenb:OtherRevenueMember2022-01-012022-09-300000895728enb:RenewablePowerGenerationSegmentMemberus-gaap:OperatingSegmentsMemberenb:OtherRevenueMember2022-01-012022-09-300000895728enb:EnergyServicesSegmentMemberus-gaap:Operati</w:t>
      </w:r>
      <w:r>
        <w:rPr>
          <w:rFonts w:eastAsia="Times New Roman"/>
          <w:vanish/>
        </w:rPr>
        <w:t>ngSegmentsMemberenb:OtherRevenueMember2022-01-012022-09-300000895728enb:EliminationsAndReconcilingItemsMemberenb:OtherRevenueMember2022-01-012022-09-300000895728enb:OtherRevenueMember2022-01-012022-09-300000895728us-gaap:IntersegmentEliminationMemberenb:Li</w:t>
      </w:r>
      <w:r>
        <w:rPr>
          <w:rFonts w:eastAsia="Times New Roman"/>
          <w:vanish/>
        </w:rPr>
        <w:t>quidsPipelinesSegmentMember2022-01-012022-09-300000895728us-gaap:IntersegmentEliminationMemberenb:GasTransmissionandMidstreamSegmentMember2022-01-012022-09-300000895728us-gaap:IntersegmentEliminationMemberenb:GasDistributionandStorageSegmentMember2022-01-0</w:t>
      </w:r>
      <w:r>
        <w:rPr>
          <w:rFonts w:eastAsia="Times New Roman"/>
          <w:vanish/>
        </w:rPr>
        <w:t>12022-09-300000895728us-gaap:IntersegmentEliminationMemberenb:RenewablePowerGenerationSegmentMember2022-01-012022-09-300000895728us-gaap:IntersegmentEliminationMemberenb:EnergyServicesSegmentMember2022-01-012022-09-300000895728us-gaap:IntersegmentEliminati</w:t>
      </w:r>
      <w:r>
        <w:rPr>
          <w:rFonts w:eastAsia="Times New Roman"/>
          <w:vanish/>
        </w:rPr>
        <w:t>onMember2022-01-012022-09-300000895728enb:LiquidsPipelinesSegmentMemberus-gaap:OperatingSegmentsMemberenb:TransportationRevenueMember2021-01-012021-09-300000895728us-gaap:OperatingSegmentsMemberenb:TransportationRevenueMemberenb:GasTransmissionandMidstream</w:t>
      </w:r>
      <w:r>
        <w:rPr>
          <w:rFonts w:eastAsia="Times New Roman"/>
          <w:vanish/>
        </w:rPr>
        <w:t>SegmentMember2021-01-012021-09-300000895728us-gaap:OperatingSegmentsMemberenb:TransportationRevenueMemberenb:GasDistributionandStorageSegmentMember2021-01-012021-09-300000895728enb:RenewablePowerGenerationSegmentMemberus-gaap:OperatingSegmentsMemberenb:Tra</w:t>
      </w:r>
      <w:r>
        <w:rPr>
          <w:rFonts w:eastAsia="Times New Roman"/>
          <w:vanish/>
        </w:rPr>
        <w:t>nsportationRevenueMember2021-01-012021-09-300000895728enb:EnergyServicesSegmentMemberus-gaap:OperatingSegmentsMemberenb:TransportationRevenueMember2021-01-012021-09-300000895728enb:TransportationRevenueMemberenb:EliminationsAndReconcilingItemsMember2021-01</w:t>
      </w:r>
      <w:r>
        <w:rPr>
          <w:rFonts w:eastAsia="Times New Roman"/>
          <w:vanish/>
        </w:rPr>
        <w:t>-012021-09-300000895728enb:TransportationRevenueMember2021-01-012021-09-300000895728enb:LiquidsPipelinesSegmentMemberenb:StorageandOtherRevenueMemberus-gaap:OperatingSegmentsMember2021-01-012021-09-300000895728enb:StorageandOtherRevenueMemberus-gaap:Operat</w:t>
      </w:r>
      <w:r>
        <w:rPr>
          <w:rFonts w:eastAsia="Times New Roman"/>
          <w:vanish/>
        </w:rPr>
        <w:t>ingSegmentsMemberenb:GasTransmissionandMidstreamSegmentMember2021-01-012021-09-300000895728enb:StorageandOtherRevenueMemberus-gaap:OperatingSegmentsMemberenb:GasDistributionandStorageSegmentMember2021-01-012021-09-300000895728enb:RenewablePowerGenerationSe</w:t>
      </w:r>
      <w:r>
        <w:rPr>
          <w:rFonts w:eastAsia="Times New Roman"/>
          <w:vanish/>
        </w:rPr>
        <w:t>gmentMemberenb:StorageandOtherRevenueMemberus-gaap:OperatingSegmentsMember2021-01-012021-09-300000895728enb:EnergyServicesSegmentMemberenb:StorageandOtherRevenueMemberus-gaap:OperatingSegmentsMember2021-01-012021-09-300000895728enb:StorageandOtherRevenueMe</w:t>
      </w:r>
      <w:r>
        <w:rPr>
          <w:rFonts w:eastAsia="Times New Roman"/>
          <w:vanish/>
        </w:rPr>
        <w:t>mberenb:EliminationsAndReconcilingItemsMember2021-01-012021-09-300000895728enb:StorageandOtherRevenueMember2021-01-012021-09-300000895728enb:LiquidsPipelinesSegmentMemberus-gaap:OperatingSegmentsMemberenb:GasGatheringandProcessingRevenueMember2021-01-01202</w:t>
      </w:r>
      <w:r>
        <w:rPr>
          <w:rFonts w:eastAsia="Times New Roman"/>
          <w:vanish/>
        </w:rPr>
        <w:t>1-09-300000895728us-gaap:OperatingSegmentsMemberenb:GasTransmissionandMidstreamSegmentMemberenb:GasGatheringandProcessingRevenueMember2021-01-012021-09-300000895728us-gaap:OperatingSegmentsMemberenb:GasDistributionandStorageSegmentMemberenb:GasGatheringand</w:t>
      </w:r>
      <w:r>
        <w:rPr>
          <w:rFonts w:eastAsia="Times New Roman"/>
          <w:vanish/>
        </w:rPr>
        <w:t>ProcessingRevenueMember2021-01-012021-09-300000895728enb:RenewablePowerGenerationSegmentMemberus-gaap:OperatingSegmentsMemberenb:GasGatheringandProcessingRevenueMember2021-01-012021-09-300000895728enb:EnergyServicesSegmentMemberus-gaap:OperatingSegmentsMem</w:t>
      </w:r>
      <w:r>
        <w:rPr>
          <w:rFonts w:eastAsia="Times New Roman"/>
          <w:vanish/>
        </w:rPr>
        <w:t>berenb:GasGatheringandProcessingRevenueMember2021-01-012021-09-300000895728enb:EliminationsAndReconcilingItemsMemberenb:GasGatheringandProcessingRevenueMember2021-01-012021-09-300000895728enb:GasGatheringandProcessingRevenueMember2021-01-012021-09-30000089</w:t>
      </w:r>
      <w:r>
        <w:rPr>
          <w:rFonts w:eastAsia="Times New Roman"/>
          <w:vanish/>
        </w:rPr>
        <w:t>5728enb:LiquidsPipelinesSegmentMemberenb:GasDistributionRevenueMemberus-gaap:OperatingSegmentsMember2021-01-012021-09-300000895728enb:GasDistributionRevenueMemberus-gaap:OperatingSegmentsMemberenb:GasTransmissionandMidstreamSegmentMember2021-01-012021-09-3</w:t>
      </w:r>
      <w:r>
        <w:rPr>
          <w:rFonts w:eastAsia="Times New Roman"/>
          <w:vanish/>
        </w:rPr>
        <w:t>00000895728enb:GasDistributionRevenueMemberus-gaap:OperatingSegmentsMemberenb:GasDistributionandStorageSegmentMember2021-01-012021-09-300000895728enb:RenewablePowerGenerationSegmentMemberenb:GasDistributionRevenueMemberus-gaap:OperatingSegmentsMember2021-0</w:t>
      </w:r>
      <w:r>
        <w:rPr>
          <w:rFonts w:eastAsia="Times New Roman"/>
          <w:vanish/>
        </w:rPr>
        <w:t>1-012021-09-300000895728enb:EnergyServicesSegmentMemberenb:GasDistributionRevenueMemberus-gaap:OperatingSegmentsMember2021-01-012021-09-300000895728enb:GasDistributionRevenueMemberenb:EliminationsAndReconcilingItemsMember2021-01-012021-09-300000895728enb:L</w:t>
      </w:r>
      <w:r>
        <w:rPr>
          <w:rFonts w:eastAsia="Times New Roman"/>
          <w:vanish/>
        </w:rPr>
        <w:t>iquidsPipelinesSegmentMemberenb:ElectricityandTransmissionRevenueMemberus-gaap:OperatingSegmentsMember2021-01-012021-09-300000895728enb:ElectricityandTransmissionRevenueMemberus-gaap:OperatingSegmentsMemberenb:GasTransmissionandMidstreamSegmentMember2021-0</w:t>
      </w:r>
      <w:r>
        <w:rPr>
          <w:rFonts w:eastAsia="Times New Roman"/>
          <w:vanish/>
        </w:rPr>
        <w:t>1-012021-09-300000895728enb:ElectricityandTransmissionRevenueMemberus-gaap:OperatingSegmentsMemberenb:GasDistributionandStorageSegmentMember2021-01-012021-09-300000895728enb:ElectricityandTransmissionRevenueMemberenb:RenewablePowerGenerationSegmentMemberus</w:t>
      </w:r>
      <w:r>
        <w:rPr>
          <w:rFonts w:eastAsia="Times New Roman"/>
          <w:vanish/>
        </w:rPr>
        <w:t>-gaap:OperatingSegmentsMember2021-01-012021-09-300000895728enb:ElectricityandTransmissionRevenueMemberenb:EnergyServicesSegmentMemberus-gaap:OperatingSegmentsMember2021-01-012021-09-300000895728enb:ElectricityandTransmissionRevenueMemberenb:EliminationsAnd</w:t>
      </w:r>
      <w:r>
        <w:rPr>
          <w:rFonts w:eastAsia="Times New Roman"/>
          <w:vanish/>
        </w:rPr>
        <w:t>ReconcilingItemsMember2021-01-012021-09-300000895728enb:ElectricityandTransmissionRevenueMember2021-01-012021-09-300000895728enb:LiquidsPipelinesSegmentMemberus-gaap:OperatingSegmentsMember2021-01-012021-09-300000895728us-gaap:OperatingSegmentsMemberenb:Ga</w:t>
      </w:r>
      <w:r>
        <w:rPr>
          <w:rFonts w:eastAsia="Times New Roman"/>
          <w:vanish/>
        </w:rPr>
        <w:t>sTransmissionandMidstreamSegmentMember2021-01-012021-09-300000895728us-gaap:OperatingSegmentsMemberenb:GasDistributionandStorageSegmentMember2021-01-012021-09-300000895728enb:RenewablePowerGenerationSegmentMemberus-gaap:OperatingSegmentsMember2021-01-01202</w:t>
      </w:r>
      <w:r>
        <w:rPr>
          <w:rFonts w:eastAsia="Times New Roman"/>
          <w:vanish/>
        </w:rPr>
        <w:t>1-09-300000895728enb:EnergyServicesSegmentMemberus-gaap:OperatingSegmentsMember2021-01-012021-09-300000895728enb:EliminationsAndReconcilingItemsMember2021-01-012021-09-300000895728enb:LiquidsPipelinesSegmentMemberus-gaap:OperatingSegmentsMemberenb:Commodit</w:t>
      </w:r>
      <w:r>
        <w:rPr>
          <w:rFonts w:eastAsia="Times New Roman"/>
          <w:vanish/>
        </w:rPr>
        <w:t>ySalesRevenueMember2021-01-012021-09-300000895728us-gaap:OperatingSegmentsMemberenb:CommoditySalesRevenueMemberenb:GasTransmissionandMidstreamSegmentMember2021-01-012021-09-300000895728us-gaap:OperatingSegmentsMemberenb:CommoditySalesRevenueMemberenb:GasDi</w:t>
      </w:r>
      <w:r>
        <w:rPr>
          <w:rFonts w:eastAsia="Times New Roman"/>
          <w:vanish/>
        </w:rPr>
        <w:t>stributionandStorageSegmentMember2021-01-012021-09-300000895728enb:RenewablePowerGenerationSegmentMemberus-gaap:OperatingSegmentsMemberenb:CommoditySalesRevenueMember2021-01-012021-09-300000895728enb:EnergyServicesSegmentMemberus-gaap:OperatingSegmentsMemb</w:t>
      </w:r>
      <w:r>
        <w:rPr>
          <w:rFonts w:eastAsia="Times New Roman"/>
          <w:vanish/>
        </w:rPr>
        <w:t>erenb:CommoditySalesRevenueMember2021-01-012021-09-300000895728enb:CommoditySalesRevenueMemberenb:EliminationsAndReconcilingItemsMember2021-01-012021-09-300000895728enb:LiquidsPipelinesSegmentMemberus-gaap:OperatingSegmentsMemberenb:OtherRevenueMember2021-</w:t>
      </w:r>
      <w:r>
        <w:rPr>
          <w:rFonts w:eastAsia="Times New Roman"/>
          <w:vanish/>
        </w:rPr>
        <w:t>01-012021-09-300000895728us-gaap:OperatingSegmentsMemberenb:GasTransmissionandMidstreamSegmentMemberenb:OtherRevenueMember2021-01-012021-09-300000895728us-gaap:OperatingSegmentsMemberenb:GasDistributionandStorageSegmentMemberenb:OtherRevenueMember2021-01-0</w:t>
      </w:r>
      <w:r>
        <w:rPr>
          <w:rFonts w:eastAsia="Times New Roman"/>
          <w:vanish/>
        </w:rPr>
        <w:t>12021-09-300000895728enb:RenewablePowerGenerationSegmentMemberus-gaap:OperatingSegmentsMemberenb:OtherRevenueMember2021-01-012021-09-300000895728enb:EnergyServicesSegmentMemberus-gaap:OperatingSegmentsMemberenb:OtherRevenueMember2021-01-012021-09-300000895</w:t>
      </w:r>
      <w:r>
        <w:rPr>
          <w:rFonts w:eastAsia="Times New Roman"/>
          <w:vanish/>
        </w:rPr>
        <w:t>728enb:EliminationsAndReconcilingItemsMemberenb:OtherRevenueMember2021-01-012021-09-300000895728enb:OtherRevenueMember2021-01-012021-09-300000895728us-gaap:IntersegmentEliminationMemberenb:LiquidsPipelinesSegmentMember2021-01-012021-09-300000895728us-gaap:</w:t>
      </w:r>
      <w:r>
        <w:rPr>
          <w:rFonts w:eastAsia="Times New Roman"/>
          <w:vanish/>
        </w:rPr>
        <w:t>IntersegmentEliminationMemberenb:GasTransmissionandMidstreamSegmentMember2021-01-012021-09-300000895728us-gaap:IntersegmentEliminationMemberenb:GasDistributionandStorageSegmentMember2021-01-012021-09-300000895728us-gaap:IntersegmentEliminationMemberenb:Ren</w:t>
      </w:r>
      <w:r>
        <w:rPr>
          <w:rFonts w:eastAsia="Times New Roman"/>
          <w:vanish/>
        </w:rPr>
        <w:t>ewablePowerGenerationSegmentMember2021-01-012021-09-300000895728us-gaap:IntersegmentEliminationMemberenb:EnergyServicesSegmentMember2021-01-012021-09-300000895728us-gaap:IntersegmentEliminationMember2021-01-012021-09-3000008957282022-10-012022-09-300000895</w:t>
      </w:r>
      <w:r>
        <w:rPr>
          <w:rFonts w:eastAsia="Times New Roman"/>
          <w:vanish/>
        </w:rPr>
        <w:t>7282023-01-012022-09-300000895728enb:LiquidsPipelinesSegmentMemberus-gaap:TransferredAtPointInTimeMember2022-07-012022-09-300000895728enb:GasTransmissionandMidstreamSegmentMemberus-gaap:TransferredAtPointInTimeMember2022-07-012022-09-300000895728us-gaap:Tr</w:t>
      </w:r>
      <w:r>
        <w:rPr>
          <w:rFonts w:eastAsia="Times New Roman"/>
          <w:vanish/>
        </w:rPr>
        <w:t>ansferredAtPointInTimeMemberenb:GasDistributionandStorageSegmentMember2022-07-012022-09-300000895728enb:RenewablePowerGenerationSegmentMemberus-gaap:TransferredAtPointInTimeMember2022-07-012022-09-300000895728us-gaap:TransferredAtPointInTimeMember2022-07-0</w:t>
      </w:r>
      <w:r>
        <w:rPr>
          <w:rFonts w:eastAsia="Times New Roman"/>
          <w:vanish/>
        </w:rPr>
        <w:t>12022-09-300000895728enb:LiquidsPipelinesSegmentMemberus-gaap:TransferredOverTimeMember2022-07-012022-09-300000895728us-gaap:TransferredOverTimeMemberenb:GasTransmissionandMidstreamSegmentMember2022-07-012022-09-300000895728us-gaap:TransferredOverTimeMembe</w:t>
      </w:r>
      <w:r>
        <w:rPr>
          <w:rFonts w:eastAsia="Times New Roman"/>
          <w:vanish/>
        </w:rPr>
        <w:t>renb:GasDistributionandStorageSegmentMember2022-07-012022-09-300000895728us-gaap:TransferredOverTimeMemberenb:RenewablePowerGenerationSegmentMember2022-07-012022-09-300000895728us-gaap:TransferredOverTimeMember2022-07-012022-09-300000895728enb:LiquidsPipel</w:t>
      </w:r>
      <w:r>
        <w:rPr>
          <w:rFonts w:eastAsia="Times New Roman"/>
          <w:vanish/>
        </w:rPr>
        <w:t>inesSegmentMember2022-07-012022-09-300000895728enb:GasTransmissionandMidstreamSegmentMember2022-07-012022-09-300000895728enb:GasDistributionandStorageSegmentMember2022-07-012022-09-300000895728enb:RenewablePowerGenerationSegmentMember2022-07-012022-09-3000</w:t>
      </w:r>
      <w:r>
        <w:rPr>
          <w:rFonts w:eastAsia="Times New Roman"/>
          <w:vanish/>
        </w:rPr>
        <w:t>00895728enb:LiquidsPipelinesSegmentMemberus-gaap:TransferredAtPointInTimeMember2021-07-012021-09-300000895728enb:GasTransmissionandMidstreamSegmentMemberus-gaap:TransferredAtPointInTimeMember2021-07-012021-09-300000895728us-gaap:TransferredAtPointInTimeMem</w:t>
      </w:r>
      <w:r>
        <w:rPr>
          <w:rFonts w:eastAsia="Times New Roman"/>
          <w:vanish/>
        </w:rPr>
        <w:t>berenb:GasDistributionandStorageSegmentMember2021-07-012021-09-300000895728enb:RenewablePowerGenerationSegmentMemberus-gaap:TransferredAtPointInTimeMember2021-07-012021-09-300000895728us-gaap:TransferredAtPointInTimeMember2021-07-012021-09-300000895728enb:</w:t>
      </w:r>
      <w:r>
        <w:rPr>
          <w:rFonts w:eastAsia="Times New Roman"/>
          <w:vanish/>
        </w:rPr>
        <w:t>LiquidsPipelinesSegmentMemberus-gaap:TransferredOverTimeMember2021-07-012021-09-300000895728us-gaap:TransferredOverTimeMemberenb:GasTransmissionandMidstreamSegmentMember2021-07-012021-09-300000895728us-gaap:TransferredOverTimeMemberenb:GasDistributionandSt</w:t>
      </w:r>
      <w:r>
        <w:rPr>
          <w:rFonts w:eastAsia="Times New Roman"/>
          <w:vanish/>
        </w:rPr>
        <w:t>orageSegmentMember2021-07-012021-09-300000895728us-gaap:TransferredOverTimeMemberenb:RenewablePowerGenerationSegmentMember2021-07-012021-09-300000895728us-gaap:TransferredOverTimeMember2021-07-012021-09-300000895728enb:LiquidsPipelinesSegmentMember2021-07-</w:t>
      </w:r>
      <w:r>
        <w:rPr>
          <w:rFonts w:eastAsia="Times New Roman"/>
          <w:vanish/>
        </w:rPr>
        <w:t>012021-09-300000895728enb:GasTransmissionandMidstreamSegmentMember2021-07-012021-09-300000895728enb:GasDistributionandStorageSegmentMember2021-07-012021-09-300000895728enb:RenewablePowerGenerationSegmentMember2021-07-012021-09-300000895728enb:LiquidsPipeli</w:t>
      </w:r>
      <w:r>
        <w:rPr>
          <w:rFonts w:eastAsia="Times New Roman"/>
          <w:vanish/>
        </w:rPr>
        <w:t>nesSegmentMemberus-gaap:TransferredAtPointInTimeMember2022-01-012022-09-300000895728enb:GasTransmissionandMidstreamSegmentMemberus-gaap:TransferredAtPointInTimeMember2022-01-012022-09-300000895728us-gaap:TransferredAtPointInTimeMemberenb:GasDistributionand</w:t>
      </w:r>
      <w:r>
        <w:rPr>
          <w:rFonts w:eastAsia="Times New Roman"/>
          <w:vanish/>
        </w:rPr>
        <w:t>StorageSegmentMember2022-01-012022-09-300000895728enb:RenewablePowerGenerationSegmentMemberus-gaap:TransferredAtPointInTimeMember2022-01-012022-09-300000895728us-gaap:TransferredAtPointInTimeMember2022-01-012022-09-300000895728enb:LiquidsPipelinesSegmentMe</w:t>
      </w:r>
      <w:r>
        <w:rPr>
          <w:rFonts w:eastAsia="Times New Roman"/>
          <w:vanish/>
        </w:rPr>
        <w:t>mberus-gaap:TransferredOverTimeMember2022-01-012022-09-300000895728us-gaap:TransferredOverTimeMemberenb:GasTransmissionandMidstreamSegmentMember2022-01-012022-09-300000895728us-gaap:TransferredOverTimeMemberenb:GasDistributionandStorageSegmentMember2022-01</w:t>
      </w:r>
      <w:r>
        <w:rPr>
          <w:rFonts w:eastAsia="Times New Roman"/>
          <w:vanish/>
        </w:rPr>
        <w:t>-012022-09-300000895728us-gaap:TransferredOverTimeMemberenb:RenewablePowerGenerationSegmentMember2022-01-012022-09-300000895728us-gaap:TransferredOverTimeMember2022-01-012022-09-300000895728enb:LiquidsPipelinesSegmentMember2022-01-012022-09-300000895728enb</w:t>
      </w:r>
      <w:r>
        <w:rPr>
          <w:rFonts w:eastAsia="Times New Roman"/>
          <w:vanish/>
        </w:rPr>
        <w:t>:GasTransmissionandMidstreamSegmentMember2022-01-012022-09-300000895728enb:GasDistributionandStorageSegmentMember2022-01-012022-09-300000895728enb:RenewablePowerGenerationSegmentMember2022-01-012022-09-300000895728enb:LiquidsPipelinesSegmentMemberus-gaap:T</w:t>
      </w:r>
      <w:r>
        <w:rPr>
          <w:rFonts w:eastAsia="Times New Roman"/>
          <w:vanish/>
        </w:rPr>
        <w:t>ransferredAtPointInTimeMember2021-01-012021-09-300000895728enb:GasTransmissionandMidstreamSegmentMemberus-gaap:TransferredAtPointInTimeMember2021-01-012021-09-300000895728us-gaap:TransferredAtPointInTimeMemberenb:GasDistributionandStorageSegmentMember2021-</w:t>
      </w:r>
      <w:r>
        <w:rPr>
          <w:rFonts w:eastAsia="Times New Roman"/>
          <w:vanish/>
        </w:rPr>
        <w:t>01-012021-09-300000895728enb:RenewablePowerGenerationSegmentMemberus-gaap:TransferredAtPointInTimeMember2021-01-012021-09-300000895728us-gaap:TransferredAtPointInTimeMember2021-01-012021-09-300000895728enb:LiquidsPipelinesSegmentMemberus-gaap:TransferredOv</w:t>
      </w:r>
      <w:r>
        <w:rPr>
          <w:rFonts w:eastAsia="Times New Roman"/>
          <w:vanish/>
        </w:rPr>
        <w:t>erTimeMember2021-01-012021-09-300000895728us-gaap:TransferredOverTimeMemberenb:GasTransmissionandMidstreamSegmentMember2021-01-012021-09-300000895728us-gaap:TransferredOverTimeMemberenb:GasDistributionandStorageSegmentMember2021-01-012021-09-300000895728us</w:t>
      </w:r>
      <w:r>
        <w:rPr>
          <w:rFonts w:eastAsia="Times New Roman"/>
          <w:vanish/>
        </w:rPr>
        <w:t>-gaap:TransferredOverTimeMemberenb:RenewablePowerGenerationSegmentMember2021-01-012021-09-300000895728us-gaap:TransferredOverTimeMember2021-01-012021-09-300000895728enb:LiquidsPipelinesSegmentMember2021-01-012021-09-300000895728enb:GasTransmissionandMidstr</w:t>
      </w:r>
      <w:r>
        <w:rPr>
          <w:rFonts w:eastAsia="Times New Roman"/>
          <w:vanish/>
        </w:rPr>
        <w:t>eamSegmentMember2021-01-012021-09-300000895728enb:GasDistributionandStorageSegmentMember2021-01-012021-09-300000895728enb:RenewablePowerGenerationSegmentMember2021-01-012021-09-300000895728us-gaap:OperatingSegmentsMemberenb:EnergyServicesConsolidateMember2</w:t>
      </w:r>
      <w:r>
        <w:rPr>
          <w:rFonts w:eastAsia="Times New Roman"/>
          <w:vanish/>
        </w:rPr>
        <w:t>022-07-012022-09-300000895728us-gaap:OperatingSegmentsMemberenb:EnergyServicesConsolidateMember2021-07-012021-09-300000895728us-gaap:OperatingSegmentsMemberenb:EnergyServicesConsolidateMember2022-01-012022-09-300000895728us-gaap:OperatingSegmentsMemberenb:</w:t>
      </w:r>
      <w:r>
        <w:rPr>
          <w:rFonts w:eastAsia="Times New Roman"/>
          <w:vanish/>
        </w:rPr>
        <w:t>EnergyServicesConsolidateMember2021-01-012021-09-300000895728us-gaap:EmployeeStockOptionMember2022-07-012022-09-300000895728us-gaap:EmployeeStockOptionMember2021-07-012021-09-300000895728us-gaap:EmployeeStockOptionMember2022-01-012022-09-300000895728us-gaa</w:t>
      </w:r>
      <w:r>
        <w:rPr>
          <w:rFonts w:eastAsia="Times New Roman"/>
          <w:vanish/>
        </w:rPr>
        <w:t>p:EmployeeStockOptionMember2021-01-012021-09-300000895728srt:ScenarioForecastMemberus-gaap:CommonStockMember2022-12-012022-12-010000895728us-gaap:CommonStockMemberus-gaap:SubsequentEventMember2022-11-022022-11-020000895728srt:ScenarioForecastMemberus-gaap:</w:t>
      </w:r>
      <w:r>
        <w:rPr>
          <w:rFonts w:eastAsia="Times New Roman"/>
          <w:vanish/>
        </w:rPr>
        <w:t>PreferredStockMemberus-gaap:SeriesAPreferredStockMember2022-12-012022-12-010000895728us-gaap:PreferredStockMemberus-gaap:SubsequentEventMemberus-gaap:SeriesAPreferredStockMember2022-11-022022-11-020000895728us-gaap:SeriesBPreferredStockMembersrt:ScenarioFo</w:t>
      </w:r>
      <w:r>
        <w:rPr>
          <w:rFonts w:eastAsia="Times New Roman"/>
          <w:vanish/>
        </w:rPr>
        <w:t>recastMemberus-gaap:PreferredStockMember2022-12-012022-12-010000895728us-gaap:SeriesBPreferredStockMemberus-gaap:PreferredStockMemberus-gaap:SubsequentEventMember2022-11-022022-11-020000895728us-gaap:PreferredStockMemberus-gaap:SeriesDPreferredStockMemberu</w:t>
      </w:r>
      <w:r>
        <w:rPr>
          <w:rFonts w:eastAsia="Times New Roman"/>
          <w:vanish/>
        </w:rPr>
        <w:t>s-gaap:SubsequentEventMember2022-11-022022-11-020000895728srt:ScenarioForecastMemberus-gaap:PreferredStockMemberus-gaap:SeriesDPreferredStockMember2022-12-012022-12-010000895728srt:ScenarioForecastMemberus-gaap:PreferredStockMemberus-gaap:SeriesFPreferredS</w:t>
      </w:r>
      <w:r>
        <w:rPr>
          <w:rFonts w:eastAsia="Times New Roman"/>
          <w:vanish/>
        </w:rPr>
        <w:t>tockMember2022-12-012022-12-010000895728us-gaap:PreferredStockMemberus-gaap:SeriesFPreferredStockMemberus-gaap:SubsequentEventMember2022-11-022022-11-020000895728us-gaap:SeriesHPreferredStockMemberus-gaap:PreferredStockMemberus-gaap:SubsequentEventMember20</w:t>
      </w:r>
      <w:r>
        <w:rPr>
          <w:rFonts w:eastAsia="Times New Roman"/>
          <w:vanish/>
        </w:rPr>
        <w:t>22-11-022022-11-020000895728srt:ScenarioForecastMemberus-gaap:SeriesHPreferredStockMemberus-gaap:PreferredStockMember2022-12-012022-12-010000895728enb:SeriesLPreferredStockMemberus-gaap:PreferredStockMemberus-gaap:SubsequentEventMember2022-11-022022-11-02i</w:t>
      </w:r>
      <w:r>
        <w:rPr>
          <w:rFonts w:eastAsia="Times New Roman"/>
          <w:vanish/>
        </w:rPr>
        <w:t>so4217:USDxbrli:shares0000895728srt:ScenarioForecastMemberenb:SeriesLPreferredStockMemberus-gaap:PreferredStockMember2022-12-012022-12-010000895728us-gaap:PreferredStockMemberenb:SeriesNPreferredStockMemberus-gaap:SubsequentEventMember2022-11-022022-11-020</w:t>
      </w:r>
      <w:r>
        <w:rPr>
          <w:rFonts w:eastAsia="Times New Roman"/>
          <w:vanish/>
        </w:rPr>
        <w:t>000895728srt:ScenarioForecastMemberus-gaap:PreferredStockMemberenb:SeriesNPreferredStockMember2022-12-012022-12-010000895728us-gaap:PreferredStockMemberenb:SeriesPPreferredStockMemberus-gaap:SubsequentEventMember2022-11-022022-11-020000895728srt:ScenarioFo</w:t>
      </w:r>
      <w:r>
        <w:rPr>
          <w:rFonts w:eastAsia="Times New Roman"/>
          <w:vanish/>
        </w:rPr>
        <w:t>recastMemberus-gaap:PreferredStockMemberenb:SeriesPPreferredStockMember2022-12-012022-12-010000895728enb:SeriesRPreferredStockMemberus-gaap:PreferredStockMemberus-gaap:SubsequentEventMember2022-11-022022-11-020000895728enb:SeriesRPreferredStockMembersrt:Sc</w:t>
      </w:r>
      <w:r>
        <w:rPr>
          <w:rFonts w:eastAsia="Times New Roman"/>
          <w:vanish/>
        </w:rPr>
        <w:t>enarioForecastMemberus-gaap:PreferredStockMember2022-12-012022-12-010000895728srt:ScenarioForecastMemberus-gaap:PreferredStockMemberenb:Series1PreferredStockMember2022-12-012022-12-010000895728us-gaap:PreferredStockMemberenb:Series1PreferredStockMemberus-g</w:t>
      </w:r>
      <w:r>
        <w:rPr>
          <w:rFonts w:eastAsia="Times New Roman"/>
          <w:vanish/>
        </w:rPr>
        <w:t>aap:SubsequentEventMember2022-11-022022-11-020000895728srt:ScenarioForecastMemberenb:Series3PreferredStockMemberus-gaap:PreferredStockMember2022-12-012022-12-010000895728enb:Series3PreferredStockMemberus-gaap:PreferredStockMemberus-gaap:SubsequentEventMemb</w:t>
      </w:r>
      <w:r>
        <w:rPr>
          <w:rFonts w:eastAsia="Times New Roman"/>
          <w:vanish/>
        </w:rPr>
        <w:t>er2022-11-022022-11-020000895728srt:ScenarioForecastMemberenb:Series5PreferredStockMemberus-gaap:PreferredStockMember2022-12-012022-12-010000895728enb:Series5PreferredStockMemberus-gaap:PreferredStockMemberus-gaap:SubsequentEventMember2022-11-022022-11-020</w:t>
      </w:r>
      <w:r>
        <w:rPr>
          <w:rFonts w:eastAsia="Times New Roman"/>
          <w:vanish/>
        </w:rPr>
        <w:t>000895728srt:ScenarioForecastMemberenb:Series7PreferredStockMemberus-gaap:PreferredStockMember2022-12-012022-12-010000895728enb:Series7PreferredStockMemberus-gaap:PreferredStockMemberus-gaap:SubsequentEventMember2022-11-022022-11-020000895728srt:ScenarioFo</w:t>
      </w:r>
      <w:r>
        <w:rPr>
          <w:rFonts w:eastAsia="Times New Roman"/>
          <w:vanish/>
        </w:rPr>
        <w:t>recastMemberus-gaap:PreferredStockMemberenb:Series9PreferredStockMember2022-12-012022-12-010000895728us-gaap:PreferredStockMemberenb:Series9PreferredStockMemberus-gaap:SubsequentEventMember2022-11-022022-11-020000895728enb:Series11PreferredStockMemberus-ga</w:t>
      </w:r>
      <w:r>
        <w:rPr>
          <w:rFonts w:eastAsia="Times New Roman"/>
          <w:vanish/>
        </w:rPr>
        <w:t>ap:PreferredStockMemberus-gaap:SubsequentEventMember2022-11-022022-11-020000895728enb:Series11PreferredStockMembersrt:ScenarioForecastMemberus-gaap:PreferredStockMember2022-12-012022-12-010000895728srt:ScenarioForecastMemberenb:Series13PreferredStockMember</w:t>
      </w:r>
      <w:r>
        <w:rPr>
          <w:rFonts w:eastAsia="Times New Roman"/>
          <w:vanish/>
        </w:rPr>
        <w:t>us-gaap:PreferredStockMember2022-12-012022-12-010000895728enb:Series13PreferredStockMemberus-gaap:PreferredStockMemberus-gaap:SubsequentEventMember2022-11-022022-11-020000895728us-gaap:PreferredStockMemberenb:Series15PreferredStockMemberus-gaap:SubsequentE</w:t>
      </w:r>
      <w:r>
        <w:rPr>
          <w:rFonts w:eastAsia="Times New Roman"/>
          <w:vanish/>
        </w:rPr>
        <w:t>ventMember2022-11-022022-11-020000895728srt:ScenarioForecastMemberus-gaap:PreferredStockMemberenb:Series15PreferredStockMember2022-12-012022-12-010000895728us-gaap:PreferredStockMemberenb:PreferenceSharesSeries19Memberus-gaap:SubsequentEventMember2022-11-0</w:t>
      </w:r>
      <w:r>
        <w:rPr>
          <w:rFonts w:eastAsia="Times New Roman"/>
          <w:vanish/>
        </w:rPr>
        <w:t>22022-11-020000895728srt:ScenarioForecastMemberus-gaap:PreferredStockMemberenb:PreferenceSharesSeries19Member2022-12-012022-12-0100008957282022-03-012022-03-01xbrli:pure00008957282022-03-012022-06-3000008957282022-02-282022-02-280000895728us-gaap:SeriesBPr</w:t>
      </w:r>
      <w:r>
        <w:rPr>
          <w:rFonts w:eastAsia="Times New Roman"/>
          <w:vanish/>
        </w:rPr>
        <w:t>eferredStockMemberus-gaap:PreferredStockMember2022-06-012022-06-300000895728us-gaap:SeriesBPreferredStockMemberus-gaap:PreferredStockMember2022-05-312022-05-310000895728enb:SeriesLPreferredStockMember2022-09-012022-09-010000895728enb:SeriesLPreferredStockM</w:t>
      </w:r>
      <w:r>
        <w:rPr>
          <w:rFonts w:eastAsia="Times New Roman"/>
          <w:vanish/>
        </w:rPr>
        <w:t>ember2022-08-312022-08-310000895728enb:Series17PreferredStockMember2022-03-010000895728enb:SeriesJPreferredStockMember2022-06-01iso4217:USD0000895728enb:GrayOakHoldingsLLCMember2022-08-170000895728enb:GrayOakHoldingsLLCMember2022-08-160000895728enb:DCPLLCM</w:t>
      </w:r>
      <w:r>
        <w:rPr>
          <w:rFonts w:eastAsia="Times New Roman"/>
          <w:vanish/>
        </w:rPr>
        <w:t>ember2022-08-170000895728enb:DCPLLCMember2022-08-1600008957282022-08-172022-08-170000895728enb:TriGlobalEnergyLLCMember2022-09-272022-09-270000895728enb:TriGlobalEnergyLLCMember2022-09-270000895728enb:AthabascaRegionalOilSandsSystemMemberenb:AthabascaRegio</w:t>
      </w:r>
      <w:r>
        <w:rPr>
          <w:rFonts w:eastAsia="Times New Roman"/>
          <w:vanish/>
        </w:rPr>
        <w:t>nalOilSandsSystemMember2022-09-280000895728enb:AthabascaRegionalOilSandsSystemMember2022-09-28enb:pipeline0000895728enb:AthabascaIndigenousInvestmentsLimitedPartnershipMember2022-09-28enb:_community0000895728enb:AthabascaRegionalOilSandsSystemMemberus-gaap</w:t>
      </w:r>
      <w:r>
        <w:rPr>
          <w:rFonts w:eastAsia="Times New Roman"/>
          <w:vanish/>
        </w:rPr>
        <w:t>:SubsequentEventMember2022-10-050000895728enb:CommittedCreditFacilityMembersrt:ParentCompanyMember2022-09-300000895728enb:EnbridgeUSIncMemberenb:CommittedCreditFacilityMember2022-09-300000895728enb:CommittedCreditFacilityMemberenb:EnbridgePipelinesIncMembe</w:t>
      </w:r>
      <w:r>
        <w:rPr>
          <w:rFonts w:eastAsia="Times New Roman"/>
          <w:vanish/>
        </w:rPr>
        <w:t>r2022-09-300000895728enb:CommittedCreditFacilityMemberenb:EnbridgeGasInc.Member2022-09-300000895728enb:CommittedCreditFacilityMember2022-09-300000895728enb:CommittedCreditFacilityMember2022-01-012022-09-300000895728enb:SustainabilityLinkedCreditFacilityMem</w:t>
      </w:r>
      <w:r>
        <w:rPr>
          <w:rFonts w:eastAsia="Times New Roman"/>
          <w:vanish/>
        </w:rPr>
        <w:t>berus-gaap:RevolvingCreditFacilityMember2022-02-102022-02-100000895728enb:SustainabilityLinkedCreditFacilityMemberus-gaap:RevolvingCreditFacilityMember2022-02-100000895728enb:TermLoanMaturingInMay2025Memberenb:TermLoanMemberenb:ThreeYearTermLoanMember2022-</w:t>
      </w:r>
      <w:r>
        <w:rPr>
          <w:rFonts w:eastAsia="Times New Roman"/>
          <w:vanish/>
        </w:rPr>
        <w:t>05-172022-05-170000895728enb:TermLoanMaturingInMay2025Memberenb:TermLoanMemberenb:ThreeYearTermLoanMember2022-05-17iso4217:JPY0000895728enb:TermLoanMemberenb:TermLoanMaturedInMay2022Member2022-05-170000895728enb:A364DayTermLoanMemberenb:TermLoanMemberenb:T</w:t>
      </w:r>
      <w:r>
        <w:rPr>
          <w:rFonts w:eastAsia="Times New Roman"/>
          <w:vanish/>
        </w:rPr>
        <w:t>ermLoanMaturingIn2023Member2022-05-242022-05-240000895728enb:A364DayTermLoanMemberenb:TermLoanMemberenb:TermLoanMaturingIn2023Member2022-05-240000895728enb:A364DayExtendibleCreditFacilitiesMember2022-06-230000895728enb:A364DayExtendibleCreditFacilitiesMemb</w:t>
      </w:r>
      <w:r>
        <w:rPr>
          <w:rFonts w:eastAsia="Times New Roman"/>
          <w:vanish/>
        </w:rPr>
        <w:t>er2022-06-232022-06-230000895728enb:SustainabilityLinkedCreditFacilityMemberus-gaap:RevolvingCreditFacilityMember2022-07-310000895728enb:SustainabilityLinkedCreditFacilityMemberus-gaap:RevolvingCreditFacilityMember2022-08-310000895728us-gaap:RevolvingCredi</w:t>
      </w:r>
      <w:r>
        <w:rPr>
          <w:rFonts w:eastAsia="Times New Roman"/>
          <w:vanish/>
        </w:rPr>
        <w:t>tFacilityMember2022-07-012022-08-310000895728enb:UncommittedCreditFacilityMember2022-09-300000895728enb:UncommittedCreditFacilityMember2021-12-310000895728enb:CommercialPaperAndCreditFacilityDrawsMember2022-09-300000895728enb:CommercialPaperAndCreditFacili</w:t>
      </w:r>
      <w:r>
        <w:rPr>
          <w:rFonts w:eastAsia="Times New Roman"/>
          <w:vanish/>
        </w:rPr>
        <w:t>tyDrawsMember2021-12-310000895728srt:ParentCompanyMember2022-09-300000895728srt:ParentCompanyMemberenb:A500FloatingRateNotesIssuedJanuary2082Member2022-01-310000895728enb:FloatingRateSeniorNotesIssuedDueFebruary2024Membersrt:ParentCompanyMember2022-02-2800</w:t>
      </w:r>
      <w:r>
        <w:rPr>
          <w:rFonts w:eastAsia="Times New Roman"/>
          <w:vanish/>
        </w:rPr>
        <w:t>00895728srt:ParentCompanyMemberenb:A215SeniorNotesDueFebruary2024Member2022-02-280000895728srt:ParentCompanyMemberenb:A250SeniorNotesDueFebruary2025Member2022-02-280000895728srt:ParentCompanyMemberenb:A738FloatingRateNotesIssuedJanuary2083Member2022-09-300</w:t>
      </w:r>
      <w:r>
        <w:rPr>
          <w:rFonts w:eastAsia="Times New Roman"/>
          <w:vanish/>
        </w:rPr>
        <w:t>000895728srt:ParentCompanyMemberenb:A763FloatingRateNotesIssuedJanuary2083Member2022-09-300000895728enb:A415MediumTermNotesDueAugust2032Memberenb:EnbridgeGasInc.Member2022-08-310000895728enb:EnbridgeGasInc.Memberenb:A455MediumTermNotesDueAugust2052Member20</w:t>
      </w:r>
      <w:r>
        <w:rPr>
          <w:rFonts w:eastAsia="Times New Roman"/>
          <w:vanish/>
        </w:rPr>
        <w:t>22-08-310000895728enb:FixedToFixedTermSubordinatedTermNotesMembersrt:ParentCompanyMember2022-01-012022-09-300000895728enb:FixedToFixedTermSubordinatedTermNotesMembersrt:ParentCompanyMemberenb:DebtInstrumentInterestRateTermsPeriodOneMemberenb:A500FloatingRa</w:t>
      </w:r>
      <w:r>
        <w:rPr>
          <w:rFonts w:eastAsia="Times New Roman"/>
          <w:vanish/>
        </w:rPr>
        <w:t>teNotesIssuedJanuary2082Member2022-01-012022-09-300000895728enb:FixedToFixedTermSubordinatedTermNotesMembersrt:ParentCompanyMemberenb:DebtInstrumentInterestRateTermsPeriodOneMember2022-01-012022-09-300000895728enb:FixedToFixedTermSubordinatedTermNotesMembe</w:t>
      </w:r>
      <w:r>
        <w:rPr>
          <w:rFonts w:eastAsia="Times New Roman"/>
          <w:vanish/>
        </w:rPr>
        <w:t>rsrt:ParentCompanyMemberenb:DebtInstrumentInterestRateTermsPeriodTwoMemberenb:A500FloatingRateNotesIssuedJanuary2082Member2022-01-012022-09-300000895728enb:FixedToFixedTermSubordinatedTermNotesMembersrt:ParentCompanyMemberenb:DebtInstrumentInterestRateTerm</w:t>
      </w:r>
      <w:r>
        <w:rPr>
          <w:rFonts w:eastAsia="Times New Roman"/>
          <w:vanish/>
        </w:rPr>
        <w:t>sPeriodOneMemberus-gaap:UsTreasuryUstInterestRateMemberenb:A738FloatingRateNotesIssuedJanuary2083Member2022-01-012022-09-300000895728enb:FixedToFixedTermSubordinatedTermNotesMembersrt:ParentCompanyMemberenb:DebtInstrumentInterestRateTermsPeriodTwoMemberus-</w:t>
      </w:r>
      <w:r>
        <w:rPr>
          <w:rFonts w:eastAsia="Times New Roman"/>
          <w:vanish/>
        </w:rPr>
        <w:t>gaap:UsTreasuryUstInterestRateMemberenb:A738FloatingRateNotesIssuedJanuary2083Member2022-01-012022-09-300000895728enb:FixedToFixedTermSubordinatedTermNotesMembersrt:ParentCompanyMemberenb:DebtInstrumentInterestRateTermsPeriodOneMemberus-gaap:UsTreasuryUstI</w:t>
      </w:r>
      <w:r>
        <w:rPr>
          <w:rFonts w:eastAsia="Times New Roman"/>
          <w:vanish/>
        </w:rPr>
        <w:t>nterestRateMember2022-01-012022-09-300000895728enb:FixedToFixedTermSubordinatedTermNotesMembersrt:ParentCompanyMemberenb:A763FloatingRateNotesIssuedJanuary2083Memberenb:DebtInstrumentInterestRateTermsPeriodOneMemberus-gaap:UsTreasuryUstInterestRateMember20</w:t>
      </w:r>
      <w:r>
        <w:rPr>
          <w:rFonts w:eastAsia="Times New Roman"/>
          <w:vanish/>
        </w:rPr>
        <w:t>22-01-012022-09-300000895728enb:FixedToFixedTermSubordinatedTermNotesMembersrt:ParentCompanyMemberenb:A763FloatingRateNotesIssuedJanuary2083Memberenb:DebtInstrumentInterestRateTermsPeriodTwoMemberus-gaap:UsTreasuryUstInterestRateMember2022-01-012022-09-300</w:t>
      </w:r>
      <w:r>
        <w:rPr>
          <w:rFonts w:eastAsia="Times New Roman"/>
          <w:vanish/>
        </w:rPr>
        <w:t>000895728us-gaap:LongTermDebtMember2022-01-012022-09-300000895728enb:FloatingRateNotesMembersrt:ParentCompanyMember2022-02-012022-02-280000895728srt:ParentCompanyMemberenb:A485MediumTermNotesMember2022-02-280000895728srt:ParentCompanyMemberenb:A485MediumTe</w:t>
      </w:r>
      <w:r>
        <w:rPr>
          <w:rFonts w:eastAsia="Times New Roman"/>
          <w:vanish/>
        </w:rPr>
        <w:t>rmNotesMember2022-02-012022-02-280000895728enb:A290SeniorNotesDueJuly2022Membersrt:ParentCompanyMember2022-02-280000895728enb:A290SeniorNotesDueJuly2022Membersrt:ParentCompanyMember2022-07-012022-07-310000895728enb:EnbridgeGasInc.Memberenb:A485MediumTermNo</w:t>
      </w:r>
      <w:r>
        <w:rPr>
          <w:rFonts w:eastAsia="Times New Roman"/>
          <w:vanish/>
        </w:rPr>
        <w:t>tesMember2022-04-300000895728enb:EnbridgeGasInc.Memberenb:A485MediumTermNotesMember2022-04-012022-04-300000895728enb:EnbridgePipelinesSouthernLightsLLCMemberenb:A3.98SeniorNotesDue2040Member2022-06-300000895728enb:EnbridgePipelinesSouthernLightsLLCMemberen</w:t>
      </w:r>
      <w:r>
        <w:rPr>
          <w:rFonts w:eastAsia="Times New Roman"/>
          <w:vanish/>
        </w:rPr>
        <w:t>b:A3.98SeniorNotesDue2040Member2022-06-012022-06-300000895728enb:EnbridgeSouthernLightsLPMemberenb:A4.01SeniorNotesDue2040Member2022-06-300000895728enb:EnbridgeSouthernLightsLPMemberenb:A4.01SeniorNotesDue2040Member2022-06-012022-06-300000895728enb:Floatin</w:t>
      </w:r>
      <w:r>
        <w:rPr>
          <w:rFonts w:eastAsia="Times New Roman"/>
          <w:vanish/>
        </w:rPr>
        <w:t>gRateNotesMembersrt:ParentCompanyMemberus-gaap:LondonInterbankOfferedRateLIBORMember2022-01-012022-09-300000895728enb:FixedToFloatingSubordinatedTermNotesMemberus-gaap:SubordinatedDebtMember2022-09-300000895728enb:FixedToFixedSubordinatedTermNotesMemberus-</w:t>
      </w:r>
      <w:r>
        <w:rPr>
          <w:rFonts w:eastAsia="Times New Roman"/>
          <w:vanish/>
        </w:rPr>
        <w:t>gaap:SubordinatedDebtMember2021-12-310000895728us-gaap:AccumulatedGainLossCashFlowHedgeIncludingNoncontrollingInterestMember2021-12-310000895728us-gaap:AccumulatedOtherComprehensiveIncomeLossDerivativeQualifyingAsHedgeExcludedComponentIncludingPortionAttri</w:t>
      </w:r>
      <w:r>
        <w:rPr>
          <w:rFonts w:eastAsia="Times New Roman"/>
          <w:vanish/>
        </w:rPr>
        <w:t>butableToNoncontrollingInterestMember2021-12-310000895728enb:AccumulatedNetGainLossNetInvestmentHedgeIncludingNoncontollingInterestMemberMember2021-12-310000895728us-gaap:AccumulatedForeignCurrencyAdjustmentIncludingPortionAttributableToNoncontrollingInter</w:t>
      </w:r>
      <w:r>
        <w:rPr>
          <w:rFonts w:eastAsia="Times New Roman"/>
          <w:vanish/>
        </w:rPr>
        <w:t>estMember2021-12-310000895728us-gaap:AccumulatedNetInvestmentGainLossIncludingPortionAttributableToNoncontrollingInterestMember2021-12-310000895728us-gaap:AccumulatedDefinedBenefitPlansAdjustmentIncludingPortionAttributableToNoncontrollingInterestMember202</w:t>
      </w:r>
      <w:r>
        <w:rPr>
          <w:rFonts w:eastAsia="Times New Roman"/>
          <w:vanish/>
        </w:rPr>
        <w:t>1-12-310000895728us-gaap:AociIncludingPortionAttributableToNoncontrollingInterestMember2021-12-310000895728us-gaap:AccumulatedGainLossCashFlowHedgeIncludingNoncontrollingInterestMember2022-01-012022-09-300000895728us-gaap:AccumulatedOtherComprehensiveIncom</w:t>
      </w:r>
      <w:r>
        <w:rPr>
          <w:rFonts w:eastAsia="Times New Roman"/>
          <w:vanish/>
        </w:rPr>
        <w:t>eLossDerivativeQualifyingAsHedgeExcludedComponentIncludingPortionAttributableToNoncontrollingInterestMember2022-01-012022-09-300000895728enb:AccumulatedNetGainLossNetInvestmentHedgeIncludingNoncontollingInterestMemberMember2022-01-012022-09-300000895728us-</w:t>
      </w:r>
      <w:r>
        <w:rPr>
          <w:rFonts w:eastAsia="Times New Roman"/>
          <w:vanish/>
        </w:rPr>
        <w:t>gaap:AccumulatedForeignCurrencyAdjustmentIncludingPortionAttributableToNoncontrollingInterestMember2022-01-012022-09-300000895728us-gaap:AccumulatedNetInvestmentGainLossIncludingPortionAttributableToNoncontrollingInterestMember2022-01-012022-09-30000089572</w:t>
      </w:r>
      <w:r>
        <w:rPr>
          <w:rFonts w:eastAsia="Times New Roman"/>
          <w:vanish/>
        </w:rPr>
        <w:t>8us-gaap:InterestRateContractMemberus-gaap:AccumulatedGainLossCashFlowHedgeIncludingNoncontrollingInterestMember2022-01-012022-09-300000895728us-gaap:InterestRateContractMember2022-01-012022-09-300000895728us-gaap:AccumulatedGainLossCashFlowHedgeIncludingN</w:t>
      </w:r>
      <w:r>
        <w:rPr>
          <w:rFonts w:eastAsia="Times New Roman"/>
          <w:vanish/>
        </w:rPr>
        <w:t>oncontrollingInterestMemberus-gaap:ForeignExchangeContractMember2022-01-012022-09-300000895728us-gaap:ForeignExchangeContractMember2022-01-012022-09-300000895728us-gaap:OtherContractMemberus-gaap:AccumulatedGainLossCashFlowHedgeIncludingNoncontrollingInter</w:t>
      </w:r>
      <w:r>
        <w:rPr>
          <w:rFonts w:eastAsia="Times New Roman"/>
          <w:vanish/>
        </w:rPr>
        <w:t>estMember2022-01-012022-09-300000895728us-gaap:OtherContractMember2022-01-012022-09-300000895728us-gaap:AccumulatedDefinedBenefitPlansAdjustmentIncludingPortionAttributableToNoncontrollingInterestMember2022-01-012022-09-300000895728us-gaap:AccumulatedGainL</w:t>
      </w:r>
      <w:r>
        <w:rPr>
          <w:rFonts w:eastAsia="Times New Roman"/>
          <w:vanish/>
        </w:rPr>
        <w:t>ossCashFlowHedgeIncludingNoncontrollingInterestMember2022-09-300000895728us-gaap:AccumulatedOtherComprehensiveIncomeLossDerivativeQualifyingAsHedgeExcludedComponentIncludingPortionAttributableToNoncontrollingInterestMember2022-09-300000895728enb:Accumulate</w:t>
      </w:r>
      <w:r>
        <w:rPr>
          <w:rFonts w:eastAsia="Times New Roman"/>
          <w:vanish/>
        </w:rPr>
        <w:t>dNetGainLossNetInvestmentHedgeIncludingNoncontollingInterestMemberMember2022-09-300000895728us-gaap:AccumulatedForeignCurrencyAdjustmentIncludingPortionAttributableToNoncontrollingInterestMember2022-09-300000895728us-gaap:AccumulatedNetInvestmentGainLossIn</w:t>
      </w:r>
      <w:r>
        <w:rPr>
          <w:rFonts w:eastAsia="Times New Roman"/>
          <w:vanish/>
        </w:rPr>
        <w:t>cludingPortionAttributableToNoncontrollingInterestMember2022-09-300000895728us-gaap:AccumulatedDefinedBenefitPlansAdjustmentIncludingPortionAttributableToNoncontrollingInterestMember2022-09-300000895728us-gaap:AociIncludingPortionAttributableToNoncontrolli</w:t>
      </w:r>
      <w:r>
        <w:rPr>
          <w:rFonts w:eastAsia="Times New Roman"/>
          <w:vanish/>
        </w:rPr>
        <w:t>ngInterestMember2022-09-300000895728us-gaap:AccumulatedGainLossCashFlowHedgeIncludingNoncontrollingInterestMember2020-12-310000895728us-gaap:AccumulatedOtherComprehensiveIncomeLossDerivativeQualifyingAsHedgeExcludedComponentIncludingPortionAttributableToNo</w:t>
      </w:r>
      <w:r>
        <w:rPr>
          <w:rFonts w:eastAsia="Times New Roman"/>
          <w:vanish/>
        </w:rPr>
        <w:t>ncontrollingInterestMember2020-12-310000895728enb:AccumulatedNetGainLossNetInvestmentHedgeIncludingNoncontollingInterestMemberMember2020-12-310000895728us-gaap:AccumulatedForeignCurrencyAdjustmentIncludingPortionAttributableToNoncontrollingInterestMember20</w:t>
      </w:r>
      <w:r>
        <w:rPr>
          <w:rFonts w:eastAsia="Times New Roman"/>
          <w:vanish/>
        </w:rPr>
        <w:t>20-12-310000895728us-gaap:AccumulatedNetInvestmentGainLossIncludingPortionAttributableToNoncontrollingInterestMember2020-12-310000895728us-gaap:AccumulatedDefinedBenefitPlansAdjustmentIncludingPortionAttributableToNoncontrollingInterestMember2020-12-310000</w:t>
      </w:r>
      <w:r>
        <w:rPr>
          <w:rFonts w:eastAsia="Times New Roman"/>
          <w:vanish/>
        </w:rPr>
        <w:t>895728us-gaap:AociIncludingPortionAttributableToNoncontrollingInterestMember2020-12-310000895728us-gaap:AccumulatedGainLossCashFlowHedgeIncludingNoncontrollingInterestMember2021-01-012021-09-300000895728us-gaap:AccumulatedOtherComprehensiveIncomeLossDeriva</w:t>
      </w:r>
      <w:r>
        <w:rPr>
          <w:rFonts w:eastAsia="Times New Roman"/>
          <w:vanish/>
        </w:rPr>
        <w:t>tiveQualifyingAsHedgeExcludedComponentIncludingPortionAttributableToNoncontrollingInterestMember2021-01-012021-09-300000895728enb:AccumulatedNetGainLossNetInvestmentHedgeIncludingNoncontollingInterestMemberMember2021-01-012021-09-300000895728us-gaap:Accumu</w:t>
      </w:r>
      <w:r>
        <w:rPr>
          <w:rFonts w:eastAsia="Times New Roman"/>
          <w:vanish/>
        </w:rPr>
        <w:t>latedForeignCurrencyAdjustmentIncludingPortionAttributableToNoncontrollingInterestMember2021-01-012021-09-300000895728us-gaap:AccumulatedNetInvestmentGainLossIncludingPortionAttributableToNoncontrollingInterestMember2021-01-012021-09-300000895728us-gaap:In</w:t>
      </w:r>
      <w:r>
        <w:rPr>
          <w:rFonts w:eastAsia="Times New Roman"/>
          <w:vanish/>
        </w:rPr>
        <w:t>terestRateContractMemberus-gaap:AccumulatedGainLossCashFlowHedgeIncludingNoncontrollingInterestMember2021-01-012021-09-300000895728us-gaap:InterestRateContractMember2021-01-012021-09-300000895728us-gaap:AccumulatedGainLossCashFlowHedgeIncludingNoncontrolli</w:t>
      </w:r>
      <w:r>
        <w:rPr>
          <w:rFonts w:eastAsia="Times New Roman"/>
          <w:vanish/>
        </w:rPr>
        <w:t>ngInterestMemberus-gaap:ForeignExchangeContractMember2021-01-012021-09-300000895728us-gaap:ForeignExchangeContractMember2021-01-012021-09-300000895728us-gaap:OtherContractMemberus-gaap:AccumulatedGainLossCashFlowHedgeIncludingNoncontrollingInterestMember20</w:t>
      </w:r>
      <w:r>
        <w:rPr>
          <w:rFonts w:eastAsia="Times New Roman"/>
          <w:vanish/>
        </w:rPr>
        <w:t>21-01-012021-09-300000895728us-gaap:OtherContractMember2021-01-012021-09-300000895728us-gaap:AccumulatedGainLossCashFlowHedgeIncludingNoncontrollingInterestMemberus-gaap:CommodityContractMember2021-01-012021-09-300000895728us-gaap:CommodityContractMember20</w:t>
      </w:r>
      <w:r>
        <w:rPr>
          <w:rFonts w:eastAsia="Times New Roman"/>
          <w:vanish/>
        </w:rPr>
        <w:t>21-01-012021-09-300000895728us-gaap:AccumulatedDefinedBenefitPlansAdjustmentIncludingPortionAttributableToNoncontrollingInterestMember2021-01-012021-09-300000895728us-gaap:AccumulatedGainLossCashFlowHedgeIncludingNoncontrollingInterestMember2021-09-3000008</w:t>
      </w:r>
      <w:r>
        <w:rPr>
          <w:rFonts w:eastAsia="Times New Roman"/>
          <w:vanish/>
        </w:rPr>
        <w:t>95728us-gaap:AccumulatedOtherComprehensiveIncomeLossDerivativeQualifyingAsHedgeExcludedComponentIncludingPortionAttributableToNoncontrollingInterestMember2021-09-300000895728enb:AccumulatedNetGainLossNetInvestmentHedgeIncludingNoncontollingInterestMemberMe</w:t>
      </w:r>
      <w:r>
        <w:rPr>
          <w:rFonts w:eastAsia="Times New Roman"/>
          <w:vanish/>
        </w:rPr>
        <w:t>mber2021-09-300000895728us-gaap:AccumulatedForeignCurrencyAdjustmentIncludingPortionAttributableToNoncontrollingInterestMember2021-09-300000895728us-gaap:AccumulatedNetInvestmentGainLossIncludingPortionAttributableToNoncontrollingInterestMember2021-09-3000</w:t>
      </w:r>
      <w:r>
        <w:rPr>
          <w:rFonts w:eastAsia="Times New Roman"/>
          <w:vanish/>
        </w:rPr>
        <w:t>00895728us-gaap:AccumulatedDefinedBenefitPlansAdjustmentIncludingPortionAttributableToNoncontrollingInterestMember2021-09-300000895728us-gaap:AociIncludingPortionAttributableToNoncontrollingInterestMember2021-09-300000895728enb:InterestRateContractForShort</w:t>
      </w:r>
      <w:r>
        <w:rPr>
          <w:rFonts w:eastAsia="Times New Roman"/>
          <w:vanish/>
        </w:rPr>
        <w:t>TermBorrowingsMember2022-09-300000895728us-gaap:EquityContractMember2022-01-012022-09-30enb:equity_type0000895728enb:AccountsReceivableAndOtherMemberus-gaap:ForeignExchangeContractMemberus-gaap:DesignatedAsHedgingInstrumentMemberus-gaap:CashFlowHedgingMemb</w:t>
      </w:r>
      <w:r>
        <w:rPr>
          <w:rFonts w:eastAsia="Times New Roman"/>
          <w:vanish/>
        </w:rPr>
        <w:t>er2022-09-300000895728enb:AccountsReceivableAndOtherMemberus-gaap:ForeignExchangeContractMemberus-gaap:DesignatedAsHedgingInstrumentMemberus-gaap:FairValueHedgingMember2022-09-300000895728enb:AccountsReceivableAndOtherMemberus-gaap:ForeignExchangeContractM</w:t>
      </w:r>
      <w:r>
        <w:rPr>
          <w:rFonts w:eastAsia="Times New Roman"/>
          <w:vanish/>
        </w:rPr>
        <w:t>emberus-gaap:NondesignatedMember2022-09-300000895728enb:AccountsReceivableAndOtherMemberus-gaap:ForeignExchangeContractMember2022-09-300000895728us-gaap:InterestRateContractMemberenb:AccountsReceivableAndOtherMemberus-gaap:DesignatedAsHedgingInstrumentMemb</w:t>
      </w:r>
      <w:r>
        <w:rPr>
          <w:rFonts w:eastAsia="Times New Roman"/>
          <w:vanish/>
        </w:rPr>
        <w:t>erus-gaap:CashFlowHedgingMember2022-09-300000895728us-gaap:InterestRateContractMemberenb:AccountsReceivableAndOtherMemberus-gaap:DesignatedAsHedgingInstrumentMemberus-gaap:FairValueHedgingMember2022-09-300000895728us-gaap:InterestRateContractMemberenb:Acco</w:t>
      </w:r>
      <w:r>
        <w:rPr>
          <w:rFonts w:eastAsia="Times New Roman"/>
          <w:vanish/>
        </w:rPr>
        <w:t>untsReceivableAndOtherMemberus-gaap:NondesignatedMember2022-09-300000895728us-gaap:InterestRateContractMemberenb:AccountsReceivableAndOtherMember2022-09-300000895728enb:AccountsReceivableAndOtherMemberus-gaap:CommodityContractMemberus-gaap:DesignatedAsHedg</w:t>
      </w:r>
      <w:r>
        <w:rPr>
          <w:rFonts w:eastAsia="Times New Roman"/>
          <w:vanish/>
        </w:rPr>
        <w:t>ingInstrumentMemberus-gaap:CashFlowHedgingMember2022-09-300000895728enb:AccountsReceivableAndOtherMemberus-gaap:CommodityContractMemberus-gaap:DesignatedAsHedgingInstrumentMemberus-gaap:FairValueHedgingMember2022-09-300000895728enb:AccountsReceivableAndOth</w:t>
      </w:r>
      <w:r>
        <w:rPr>
          <w:rFonts w:eastAsia="Times New Roman"/>
          <w:vanish/>
        </w:rPr>
        <w:t>erMemberus-gaap:CommodityContractMemberus-gaap:NondesignatedMember2022-09-300000895728enb:AccountsReceivableAndOtherMemberus-gaap:CommodityContractMember2022-09-300000895728enb:AccountsReceivableAndOtherMemberus-gaap:OtherContractMemberus-gaap:DesignatedAs</w:t>
      </w:r>
      <w:r>
        <w:rPr>
          <w:rFonts w:eastAsia="Times New Roman"/>
          <w:vanish/>
        </w:rPr>
        <w:t>HedgingInstrumentMemberus-gaap:CashFlowHedgingMember2022-09-300000895728enb:AccountsReceivableAndOtherMemberus-gaap:OtherContractMemberus-gaap:DesignatedAsHedgingInstrumentMemberus-gaap:FairValueHedgingMember2022-09-300000895728enb:AccountsReceivableAndOth</w:t>
      </w:r>
      <w:r>
        <w:rPr>
          <w:rFonts w:eastAsia="Times New Roman"/>
          <w:vanish/>
        </w:rPr>
        <w:t>erMemberus-gaap:OtherContractMemberus-gaap:NondesignatedMember2022-09-300000895728enb:AccountsReceivableAndOtherMemberus-gaap:OtherContractMember2022-09-300000895728enb:AccountsReceivableAndOtherMemberus-gaap:DesignatedAsHedgingInstrumentMemberus-gaap:Cash</w:t>
      </w:r>
      <w:r>
        <w:rPr>
          <w:rFonts w:eastAsia="Times New Roman"/>
          <w:vanish/>
        </w:rPr>
        <w:t>FlowHedgingMember2022-09-300000895728enb:AccountsReceivableAndOtherMemberus-gaap:DesignatedAsHedgingInstrumentMemberus-gaap:FairValueHedgingMember2022-09-300000895728enb:AccountsReceivableAndOtherMemberus-gaap:NondesignatedMember2022-09-300000895728enb:Acc</w:t>
      </w:r>
      <w:r>
        <w:rPr>
          <w:rFonts w:eastAsia="Times New Roman"/>
          <w:vanish/>
        </w:rPr>
        <w:t>ountsReceivableAndOtherMember2022-09-300000895728enb:DeferredAmountsAndOtherMemberus-gaap:ForeignExchangeContractMemberus-gaap:DesignatedAsHedgingInstrumentMemberus-gaap:CashFlowHedgingMember2022-09-300000895728enb:DeferredAmountsAndOtherMemberus-gaap:Fore</w:t>
      </w:r>
      <w:r>
        <w:rPr>
          <w:rFonts w:eastAsia="Times New Roman"/>
          <w:vanish/>
        </w:rPr>
        <w:t>ignExchangeContractMemberus-gaap:DesignatedAsHedgingInstrumentMemberus-gaap:FairValueHedgingMember2022-09-300000895728enb:DeferredAmountsAndOtherMemberus-gaap:ForeignExchangeContractMemberus-gaap:NondesignatedMember2022-09-300000895728enb:DeferredAmountsAn</w:t>
      </w:r>
      <w:r>
        <w:rPr>
          <w:rFonts w:eastAsia="Times New Roman"/>
          <w:vanish/>
        </w:rPr>
        <w:t>dOtherMemberus-gaap:ForeignExchangeContractMember2022-09-300000895728us-gaap:InterestRateContractMemberenb:DeferredAmountsAndOtherMemberus-gaap:DesignatedAsHedgingInstrumentMemberus-gaap:CashFlowHedgingMember2022-09-300000895728us-gaap:InterestRateContract</w:t>
      </w:r>
      <w:r>
        <w:rPr>
          <w:rFonts w:eastAsia="Times New Roman"/>
          <w:vanish/>
        </w:rPr>
        <w:t>Memberenb:DeferredAmountsAndOtherMemberus-gaap:DesignatedAsHedgingInstrumentMemberus-gaap:FairValueHedgingMember2022-09-300000895728us-gaap:InterestRateContractMemberenb:DeferredAmountsAndOtherMemberus-gaap:NondesignatedMember2022-09-300000895728us-gaap:In</w:t>
      </w:r>
      <w:r>
        <w:rPr>
          <w:rFonts w:eastAsia="Times New Roman"/>
          <w:vanish/>
        </w:rPr>
        <w:t>terestRateContractMemberenb:DeferredAmountsAndOtherMember2022-09-300000895728enb:DeferredAmountsAndOtherMemberus-gaap:CommodityContractMemberus-gaap:DesignatedAsHedgingInstrumentMemberus-gaap:CashFlowHedgingMember2022-09-300000895728enb:DeferredAmountsAndO</w:t>
      </w:r>
      <w:r>
        <w:rPr>
          <w:rFonts w:eastAsia="Times New Roman"/>
          <w:vanish/>
        </w:rPr>
        <w:t>therMemberus-gaap:CommodityContractMemberus-gaap:DesignatedAsHedgingInstrumentMemberus-gaap:FairValueHedgingMember2022-09-300000895728enb:DeferredAmountsAndOtherMemberus-gaap:CommodityContractMemberus-gaap:NondesignatedMember2022-09-300000895728enb:Deferre</w:t>
      </w:r>
      <w:r>
        <w:rPr>
          <w:rFonts w:eastAsia="Times New Roman"/>
          <w:vanish/>
        </w:rPr>
        <w:t>dAmountsAndOtherMemberus-gaap:CommodityContractMember2022-09-300000895728us-gaap:OtherContractMemberenb:DeferredAmountsAndOtherMemberus-gaap:DesignatedAsHedgingInstrumentMemberus-gaap:CashFlowHedgingMember2022-09-300000895728us-gaap:OtherContractMemberenb:</w:t>
      </w:r>
      <w:r>
        <w:rPr>
          <w:rFonts w:eastAsia="Times New Roman"/>
          <w:vanish/>
        </w:rPr>
        <w:t>DeferredAmountsAndOtherMemberus-gaap:DesignatedAsHedgingInstrumentMemberus-gaap:FairValueHedgingMember2022-09-300000895728us-gaap:OtherContractMemberenb:DeferredAmountsAndOtherMemberus-gaap:NondesignatedMember2022-09-300000895728us-gaap:OtherContractMember</w:t>
      </w:r>
      <w:r>
        <w:rPr>
          <w:rFonts w:eastAsia="Times New Roman"/>
          <w:vanish/>
        </w:rPr>
        <w:t>enb:DeferredAmountsAndOtherMember2022-09-300000895728enb:DeferredAmountsAndOtherMemberus-gaap:DesignatedAsHedgingInstrumentMemberus-gaap:CashFlowHedgingMember2022-09-300000895728enb:DeferredAmountsAndOtherMemberus-gaap:DesignatedAsHedgingInstrumentMemberus</w:t>
      </w:r>
      <w:r>
        <w:rPr>
          <w:rFonts w:eastAsia="Times New Roman"/>
          <w:vanish/>
        </w:rPr>
        <w:t>-gaap:FairValueHedgingMember2022-09-300000895728enb:DeferredAmountsAndOtherMemberus-gaap:NondesignatedMember2022-09-300000895728enb:DeferredAmountsAndOtherMember2022-09-300000895728us-gaap:ForeignExchangeContractMemberenb:AccountsPayableAndOtherMemberus-ga</w:t>
      </w:r>
      <w:r>
        <w:rPr>
          <w:rFonts w:eastAsia="Times New Roman"/>
          <w:vanish/>
        </w:rPr>
        <w:t>ap:DesignatedAsHedgingInstrumentMemberus-gaap:CashFlowHedgingMember2022-09-300000895728us-gaap:ForeignExchangeContractMemberenb:AccountsPayableAndOtherMemberus-gaap:DesignatedAsHedgingInstrumentMemberus-gaap:FairValueHedgingMember2022-09-300000895728us-gaa</w:t>
      </w:r>
      <w:r>
        <w:rPr>
          <w:rFonts w:eastAsia="Times New Roman"/>
          <w:vanish/>
        </w:rPr>
        <w:t>p:ForeignExchangeContractMemberenb:AccountsPayableAndOtherMemberus-gaap:NondesignatedMember2022-09-300000895728us-gaap:ForeignExchangeContractMemberenb:AccountsPayableAndOtherMember2022-09-300000895728us-gaap:InterestRateContractMemberenb:AccountsPayableAn</w:t>
      </w:r>
      <w:r>
        <w:rPr>
          <w:rFonts w:eastAsia="Times New Roman"/>
          <w:vanish/>
        </w:rPr>
        <w:t>dOtherMemberus-gaap:DesignatedAsHedgingInstrumentMemberus-gaap:CashFlowHedgingMember2022-09-300000895728us-gaap:InterestRateContractMemberenb:AccountsPayableAndOtherMemberus-gaap:DesignatedAsHedgingInstrumentMemberus-gaap:FairValueHedgingMember2022-09-3000</w:t>
      </w:r>
      <w:r>
        <w:rPr>
          <w:rFonts w:eastAsia="Times New Roman"/>
          <w:vanish/>
        </w:rPr>
        <w:t>00895728us-gaap:InterestRateContractMemberenb:AccountsPayableAndOtherMemberus-gaap:NondesignatedMember2022-09-300000895728us-gaap:InterestRateContractMemberenb:AccountsPayableAndOtherMember2022-09-300000895728enb:AccountsPayableAndOtherMemberus-gaap:Commod</w:t>
      </w:r>
      <w:r>
        <w:rPr>
          <w:rFonts w:eastAsia="Times New Roman"/>
          <w:vanish/>
        </w:rPr>
        <w:t>ityContractMemberus-gaap:DesignatedAsHedgingInstrumentMemberus-gaap:CashFlowHedgingMember2022-09-300000895728enb:AccountsPayableAndOtherMemberus-gaap:CommodityContractMemberus-gaap:DesignatedAsHedgingInstrumentMemberus-gaap:FairValueHedgingMember2022-09-30</w:t>
      </w:r>
      <w:r>
        <w:rPr>
          <w:rFonts w:eastAsia="Times New Roman"/>
          <w:vanish/>
        </w:rPr>
        <w:t>0000895728enb:AccountsPayableAndOtherMemberus-gaap:CommodityContractMemberus-gaap:NondesignatedMember2022-09-300000895728enb:AccountsPayableAndOtherMemberus-gaap:CommodityContractMember2022-09-300000895728us-gaap:OtherContractMemberenb:AccountsPayableAndOt</w:t>
      </w:r>
      <w:r>
        <w:rPr>
          <w:rFonts w:eastAsia="Times New Roman"/>
          <w:vanish/>
        </w:rPr>
        <w:t>herMemberus-gaap:DesignatedAsHedgingInstrumentMemberus-gaap:CashFlowHedgingMember2022-09-300000895728us-gaap:OtherContractMemberenb:AccountsPayableAndOtherMemberus-gaap:DesignatedAsHedgingInstrumentMemberus-gaap:FairValueHedgingMember2022-09-300000895728us</w:t>
      </w:r>
      <w:r>
        <w:rPr>
          <w:rFonts w:eastAsia="Times New Roman"/>
          <w:vanish/>
        </w:rPr>
        <w:t>-gaap:OtherContractMemberenb:AccountsPayableAndOtherMemberus-gaap:NondesignatedMember2022-09-300000895728us-gaap:OtherContractMemberenb:AccountsPayableAndOtherMember2022-09-300000895728enb:AccountsPayableAndOtherMemberus-gaap:DesignatedAsHedgingInstrumentM</w:t>
      </w:r>
      <w:r>
        <w:rPr>
          <w:rFonts w:eastAsia="Times New Roman"/>
          <w:vanish/>
        </w:rPr>
        <w:t>emberus-gaap:CashFlowHedgingMember2022-09-300000895728enb:AccountsPayableAndOtherMemberus-gaap:DesignatedAsHedgingInstrumentMemberus-gaap:FairValueHedgingMember2022-09-300000895728enb:AccountsPayableAndOtherMemberus-gaap:NondesignatedMember2022-09-30000089</w:t>
      </w:r>
      <w:r>
        <w:rPr>
          <w:rFonts w:eastAsia="Times New Roman"/>
          <w:vanish/>
        </w:rPr>
        <w:t>5728enb:AccountsPayableAndOtherMember2022-09-300000895728us-gaap:ForeignExchangeContractMemberus-gaap:OtherLiabilitiesMemberus-gaap:DesignatedAsHedgingInstrumentMemberus-gaap:CashFlowHedgingMember2022-09-300000895728us-gaap:ForeignExchangeContractMemberus-</w:t>
      </w:r>
      <w:r>
        <w:rPr>
          <w:rFonts w:eastAsia="Times New Roman"/>
          <w:vanish/>
        </w:rPr>
        <w:t>gaap:OtherLiabilitiesMemberus-gaap:DesignatedAsHedgingInstrumentMemberus-gaap:FairValueHedgingMember2022-09-300000895728us-gaap:ForeignExchangeContractMemberus-gaap:OtherLiabilitiesMemberus-gaap:NondesignatedMember2022-09-300000895728us-gaap:ForeignExchang</w:t>
      </w:r>
      <w:r>
        <w:rPr>
          <w:rFonts w:eastAsia="Times New Roman"/>
          <w:vanish/>
        </w:rPr>
        <w:t>eContractMemberus-gaap:OtherLiabilitiesMember2022-09-300000895728us-gaap:InterestRateContractMemberus-gaap:OtherLiabilitiesMemberus-gaap:DesignatedAsHedgingInstrumentMemberus-gaap:CashFlowHedgingMember2022-09-300000895728us-gaap:InterestRateContractMemberu</w:t>
      </w:r>
      <w:r>
        <w:rPr>
          <w:rFonts w:eastAsia="Times New Roman"/>
          <w:vanish/>
        </w:rPr>
        <w:t>s-gaap:OtherLiabilitiesMemberus-gaap:DesignatedAsHedgingInstrumentMemberus-gaap:FairValueHedgingMember2022-09-300000895728us-gaap:InterestRateContractMemberus-gaap:OtherLiabilitiesMemberus-gaap:NondesignatedMember2022-09-300000895728us-gaap:InterestRateCon</w:t>
      </w:r>
      <w:r>
        <w:rPr>
          <w:rFonts w:eastAsia="Times New Roman"/>
          <w:vanish/>
        </w:rPr>
        <w:t>tractMemberus-gaap:OtherLiabilitiesMember2022-09-300000895728us-gaap:OtherLiabilitiesMemberus-gaap:CommodityContractMemberus-gaap:DesignatedAsHedgingInstrumentMemberus-gaap:CashFlowHedgingMember2022-09-300000895728us-gaap:OtherLiabilitiesMemberus-gaap:Comm</w:t>
      </w:r>
      <w:r>
        <w:rPr>
          <w:rFonts w:eastAsia="Times New Roman"/>
          <w:vanish/>
        </w:rPr>
        <w:t>odityContractMemberus-gaap:DesignatedAsHedgingInstrumentMemberus-gaap:FairValueHedgingMember2022-09-300000895728us-gaap:OtherLiabilitiesMemberus-gaap:CommodityContractMemberus-gaap:NondesignatedMember2022-09-300000895728us-gaap:OtherLiabilitiesMemberus-gaa</w:t>
      </w:r>
      <w:r>
        <w:rPr>
          <w:rFonts w:eastAsia="Times New Roman"/>
          <w:vanish/>
        </w:rPr>
        <w:t>p:CommodityContractMember2022-09-300000895728us-gaap:OtherContractMemberus-gaap:OtherLiabilitiesMemberus-gaap:DesignatedAsHedgingInstrumentMemberus-gaap:CashFlowHedgingMember2022-09-300000895728us-gaap:OtherContractMemberus-gaap:OtherLiabilitiesMemberus-ga</w:t>
      </w:r>
      <w:r>
        <w:rPr>
          <w:rFonts w:eastAsia="Times New Roman"/>
          <w:vanish/>
        </w:rPr>
        <w:t>ap:DesignatedAsHedgingInstrumentMemberus-gaap:FairValueHedgingMember2022-09-300000895728us-gaap:OtherContractMemberus-gaap:OtherLiabilitiesMemberus-gaap:NondesignatedMember2022-09-300000895728us-gaap:OtherContractMemberus-gaap:OtherLiabilitiesMember2022-09</w:t>
      </w:r>
      <w:r>
        <w:rPr>
          <w:rFonts w:eastAsia="Times New Roman"/>
          <w:vanish/>
        </w:rPr>
        <w:t>-300000895728us-gaap:OtherLiabilitiesMemberus-gaap:DesignatedAsHedgingInstrumentMemberus-gaap:CashFlowHedgingMember2022-09-300000895728us-gaap:OtherLiabilitiesMemberus-gaap:DesignatedAsHedgingInstrumentMemberus-gaap:FairValueHedgingMember2022-09-3000008957</w:t>
      </w:r>
      <w:r>
        <w:rPr>
          <w:rFonts w:eastAsia="Times New Roman"/>
          <w:vanish/>
        </w:rPr>
        <w:t>28us-gaap:OtherLiabilitiesMemberus-gaap:NondesignatedMember2022-09-300000895728us-gaap:OtherLiabilitiesMember2022-09-300000895728us-gaap:ForeignExchangeContractMemberus-gaap:DesignatedAsHedgingInstrumentMemberus-gaap:CashFlowHedgingMember2022-09-3000008957</w:t>
      </w:r>
      <w:r>
        <w:rPr>
          <w:rFonts w:eastAsia="Times New Roman"/>
          <w:vanish/>
        </w:rPr>
        <w:t>28us-gaap:ForeignExchangeContractMemberus-gaap:DesignatedAsHedgingInstrumentMemberus-gaap:FairValueHedgingMember2022-09-300000895728us-gaap:ForeignExchangeContractMemberus-gaap:NondesignatedMember2022-09-300000895728us-gaap:ForeignExchangeContractMember202</w:t>
      </w:r>
      <w:r>
        <w:rPr>
          <w:rFonts w:eastAsia="Times New Roman"/>
          <w:vanish/>
        </w:rPr>
        <w:t>2-09-300000895728us-gaap:InterestRateContractMemberus-gaap:DesignatedAsHedgingInstrumentMemberus-gaap:CashFlowHedgingMember2022-09-300000895728us-gaap:InterestRateContractMemberus-gaap:DesignatedAsHedgingInstrumentMemberus-gaap:FairValueHedgingMember2022-0</w:t>
      </w:r>
      <w:r>
        <w:rPr>
          <w:rFonts w:eastAsia="Times New Roman"/>
          <w:vanish/>
        </w:rPr>
        <w:t>9-300000895728us-gaap:InterestRateContractMemberus-gaap:NondesignatedMember2022-09-300000895728us-gaap:InterestRateContractMember2022-09-300000895728us-gaap:CommodityContractMemberus-gaap:DesignatedAsHedgingInstrumentMemberus-gaap:CashFlowHedgingMember2022</w:t>
      </w:r>
      <w:r>
        <w:rPr>
          <w:rFonts w:eastAsia="Times New Roman"/>
          <w:vanish/>
        </w:rPr>
        <w:t>-09-300000895728us-gaap:CommodityContractMemberus-gaap:DesignatedAsHedgingInstrumentMemberus-gaap:FairValueHedgingMember2022-09-300000895728us-gaap:CommodityContractMemberus-gaap:NondesignatedMember2022-09-300000895728us-gaap:CommodityContractMember2022-09</w:t>
      </w:r>
      <w:r>
        <w:rPr>
          <w:rFonts w:eastAsia="Times New Roman"/>
          <w:vanish/>
        </w:rPr>
        <w:t>-300000895728us-gaap:OtherContractMemberus-gaap:DesignatedAsHedgingInstrumentMemberus-gaap:CashFlowHedgingMember2022-09-300000895728us-gaap:OtherContractMemberus-gaap:DesignatedAsHedgingInstrumentMemberus-gaap:FairValueHedgingMember2022-09-300000895728us-g</w:t>
      </w:r>
      <w:r>
        <w:rPr>
          <w:rFonts w:eastAsia="Times New Roman"/>
          <w:vanish/>
        </w:rPr>
        <w:t>aap:OtherContractMemberus-gaap:NondesignatedMember2022-09-300000895728us-gaap:OtherContractMember2022-09-300000895728us-gaap:CashFlowHedgingMemberus-gaap:DesignatedAsHedgingInstrumentMember2022-09-300000895728us-gaap:FairValueHedgingMemberus-gaap:Designate</w:t>
      </w:r>
      <w:r>
        <w:rPr>
          <w:rFonts w:eastAsia="Times New Roman"/>
          <w:vanish/>
        </w:rPr>
        <w:t>dAsHedgingInstrumentMember2022-09-300000895728us-gaap:NondesignatedMember2022-09-300000895728enb:AccountsReceivableAffiliatesMember2022-09-300000895728enb:AccountsPayableAffiliatesMember2022-09-300000895728enb:AccountsReceivableAndOtherMemberus-gaap:Foreig</w:t>
      </w:r>
      <w:r>
        <w:rPr>
          <w:rFonts w:eastAsia="Times New Roman"/>
          <w:vanish/>
        </w:rPr>
        <w:t>nExchangeContractMemberus-gaap:DesignatedAsHedgingInstrumentMemberus-gaap:CashFlowHedgingMember2021-12-310000895728enb:AccountsReceivableAndOtherMemberus-gaap:ForeignExchangeContractMemberus-gaap:DesignatedAsHedgingInstrumentMemberus-gaap:FairValueHedgingM</w:t>
      </w:r>
      <w:r>
        <w:rPr>
          <w:rFonts w:eastAsia="Times New Roman"/>
          <w:vanish/>
        </w:rPr>
        <w:t>ember2021-12-310000895728enb:AccountsReceivableAndOtherMemberus-gaap:ForeignExchangeContractMemberus-gaap:NondesignatedMember2021-12-310000895728enb:AccountsReceivableAndOtherMemberus-gaap:ForeignExchangeContractMember2021-12-310000895728us-gaap:InterestRa</w:t>
      </w:r>
      <w:r>
        <w:rPr>
          <w:rFonts w:eastAsia="Times New Roman"/>
          <w:vanish/>
        </w:rPr>
        <w:t>teContractMemberenb:AccountsReceivableAndOtherMemberus-gaap:DesignatedAsHedgingInstrumentMemberus-gaap:CashFlowHedgingMember2021-12-310000895728us-gaap:InterestRateContractMemberenb:AccountsReceivableAndOtherMemberus-gaap:DesignatedAsHedgingInstrumentMembe</w:t>
      </w:r>
      <w:r>
        <w:rPr>
          <w:rFonts w:eastAsia="Times New Roman"/>
          <w:vanish/>
        </w:rPr>
        <w:t>rus-gaap:FairValueHedgingMember2021-12-310000895728us-gaap:InterestRateContractMemberenb:AccountsReceivableAndOtherMemberus-gaap:NondesignatedMember2021-12-310000895728us-gaap:InterestRateContractMemberenb:AccountsReceivableAndOtherMember2021-12-3100008957</w:t>
      </w:r>
      <w:r>
        <w:rPr>
          <w:rFonts w:eastAsia="Times New Roman"/>
          <w:vanish/>
        </w:rPr>
        <w:t>28enb:AccountsReceivableAndOtherMemberus-gaap:CommodityContractMemberus-gaap:DesignatedAsHedgingInstrumentMemberus-gaap:CashFlowHedgingMember2021-12-310000895728enb:AccountsReceivableAndOtherMemberus-gaap:CommodityContractMemberus-gaap:DesignatedAsHedgingI</w:t>
      </w:r>
      <w:r>
        <w:rPr>
          <w:rFonts w:eastAsia="Times New Roman"/>
          <w:vanish/>
        </w:rPr>
        <w:t>nstrumentMemberus-gaap:FairValueHedgingMember2021-12-310000895728enb:AccountsReceivableAndOtherMemberus-gaap:CommodityContractMemberus-gaap:NondesignatedMember2021-12-310000895728enb:AccountsReceivableAndOtherMemberus-gaap:CommodityContractMember2021-12-31</w:t>
      </w:r>
      <w:r>
        <w:rPr>
          <w:rFonts w:eastAsia="Times New Roman"/>
          <w:vanish/>
        </w:rPr>
        <w:t>0000895728enb:AccountsReceivableAndOtherMemberus-gaap:OtherContractMemberus-gaap:DesignatedAsHedgingInstrumentMemberus-gaap:CashFlowHedgingMember2021-12-310000895728enb:AccountsReceivableAndOtherMemberus-gaap:OtherContractMemberus-gaap:DesignatedAsHedgingI</w:t>
      </w:r>
      <w:r>
        <w:rPr>
          <w:rFonts w:eastAsia="Times New Roman"/>
          <w:vanish/>
        </w:rPr>
        <w:t>nstrumentMemberus-gaap:FairValueHedgingMember2021-12-310000895728enb:AccountsReceivableAndOtherMemberus-gaap:OtherContractMemberus-gaap:NondesignatedMember2021-12-310000895728enb:AccountsReceivableAndOtherMemberus-gaap:OtherContractMember2021-12-3100008957</w:t>
      </w:r>
      <w:r>
        <w:rPr>
          <w:rFonts w:eastAsia="Times New Roman"/>
          <w:vanish/>
        </w:rPr>
        <w:t>28enb:AccountsReceivableAndOtherMemberus-gaap:DesignatedAsHedgingInstrumentMemberus-gaap:CashFlowHedgingMember2021-12-310000895728enb:AccountsReceivableAndOtherMemberus-gaap:DesignatedAsHedgingInstrumentMemberus-gaap:FairValueHedgingMember2021-12-310000895</w:t>
      </w:r>
      <w:r>
        <w:rPr>
          <w:rFonts w:eastAsia="Times New Roman"/>
          <w:vanish/>
        </w:rPr>
        <w:t>728enb:AccountsReceivableAndOtherMemberus-gaap:NondesignatedMember2021-12-310000895728enb:AccountsReceivableAndOtherMember2021-12-310000895728enb:DeferredAmountsAndOtherMemberus-gaap:ForeignExchangeContractMemberus-gaap:DesignatedAsHedgingInstrumentMemberu</w:t>
      </w:r>
      <w:r>
        <w:rPr>
          <w:rFonts w:eastAsia="Times New Roman"/>
          <w:vanish/>
        </w:rPr>
        <w:t>s-gaap:CashFlowHedgingMember2021-12-310000895728enb:DeferredAmountsAndOtherMemberus-gaap:ForeignExchangeContractMemberus-gaap:DesignatedAsHedgingInstrumentMemberus-gaap:FairValueHedgingMember2021-12-310000895728enb:DeferredAmountsAndOtherMemberus-gaap:Fore</w:t>
      </w:r>
      <w:r>
        <w:rPr>
          <w:rFonts w:eastAsia="Times New Roman"/>
          <w:vanish/>
        </w:rPr>
        <w:t>ignExchangeContractMemberus-gaap:NondesignatedMember2021-12-310000895728enb:DeferredAmountsAndOtherMemberus-gaap:ForeignExchangeContractMember2021-12-310000895728us-gaap:InterestRateContractMemberenb:DeferredAmountsAndOtherMemberus-gaap:DesignatedAsHedging</w:t>
      </w:r>
      <w:r>
        <w:rPr>
          <w:rFonts w:eastAsia="Times New Roman"/>
          <w:vanish/>
        </w:rPr>
        <w:t>InstrumentMemberus-gaap:CashFlowHedgingMember2021-12-310000895728us-gaap:InterestRateContractMemberenb:DeferredAmountsAndOtherMemberus-gaap:DesignatedAsHedgingInstrumentMemberus-gaap:FairValueHedgingMember2021-12-310000895728us-gaap:InterestRateContractMem</w:t>
      </w:r>
      <w:r>
        <w:rPr>
          <w:rFonts w:eastAsia="Times New Roman"/>
          <w:vanish/>
        </w:rPr>
        <w:t>berenb:DeferredAmountsAndOtherMemberus-gaap:NondesignatedMember2021-12-310000895728us-gaap:InterestRateContractMemberenb:DeferredAmountsAndOtherMember2021-12-310000895728enb:DeferredAmountsAndOtherMemberus-gaap:CommodityContractMemberus-gaap:DesignatedAsHe</w:t>
      </w:r>
      <w:r>
        <w:rPr>
          <w:rFonts w:eastAsia="Times New Roman"/>
          <w:vanish/>
        </w:rPr>
        <w:t>dgingInstrumentMemberus-gaap:CashFlowHedgingMember2021-12-310000895728enb:DeferredAmountsAndOtherMemberus-gaap:CommodityContractMemberus-gaap:DesignatedAsHedgingInstrumentMemberus-gaap:FairValueHedgingMember2021-12-310000895728enb:DeferredAmountsAndOtherMe</w:t>
      </w:r>
      <w:r>
        <w:rPr>
          <w:rFonts w:eastAsia="Times New Roman"/>
          <w:vanish/>
        </w:rPr>
        <w:t>mberus-gaap:CommodityContractMemberus-gaap:NondesignatedMember2021-12-310000895728enb:DeferredAmountsAndOtherMemberus-gaap:CommodityContractMember2021-12-310000895728us-gaap:OtherContractMemberenb:DeferredAmountsAndOtherMemberus-gaap:DesignatedAsHedgingIns</w:t>
      </w:r>
      <w:r>
        <w:rPr>
          <w:rFonts w:eastAsia="Times New Roman"/>
          <w:vanish/>
        </w:rPr>
        <w:t>trumentMemberus-gaap:CashFlowHedgingMember2021-12-310000895728us-gaap:OtherContractMemberenb:DeferredAmountsAndOtherMemberus-gaap:DesignatedAsHedgingInstrumentMemberus-gaap:FairValueHedgingMember2021-12-310000895728us-gaap:OtherContractMemberenb:DeferredAm</w:t>
      </w:r>
      <w:r>
        <w:rPr>
          <w:rFonts w:eastAsia="Times New Roman"/>
          <w:vanish/>
        </w:rPr>
        <w:t>ountsAndOtherMemberus-gaap:NondesignatedMember2021-12-310000895728us-gaap:OtherContractMemberenb:DeferredAmountsAndOtherMember2021-12-310000895728enb:DeferredAmountsAndOtherMemberus-gaap:DesignatedAsHedgingInstrumentMemberus-gaap:CashFlowHedgingMember2021-</w:t>
      </w:r>
      <w:r>
        <w:rPr>
          <w:rFonts w:eastAsia="Times New Roman"/>
          <w:vanish/>
        </w:rPr>
        <w:t>12-310000895728enb:DeferredAmountsAndOtherMemberus-gaap:DesignatedAsHedgingInstrumentMemberus-gaap:FairValueHedgingMember2021-12-310000895728enb:DeferredAmountsAndOtherMemberus-gaap:NondesignatedMember2021-12-310000895728enb:DeferredAmountsAndOtherMember20</w:t>
      </w:r>
      <w:r>
        <w:rPr>
          <w:rFonts w:eastAsia="Times New Roman"/>
          <w:vanish/>
        </w:rPr>
        <w:t>21-12-310000895728us-gaap:ForeignExchangeContractMemberenb:AccountsPayableAndOtherMemberus-gaap:DesignatedAsHedgingInstrumentMemberus-gaap:CashFlowHedgingMember2021-12-310000895728us-gaap:ForeignExchangeContractMemberenb:AccountsPayableAndOtherMemberus-gaa</w:t>
      </w:r>
      <w:r>
        <w:rPr>
          <w:rFonts w:eastAsia="Times New Roman"/>
          <w:vanish/>
        </w:rPr>
        <w:t>p:DesignatedAsHedgingInstrumentMemberus-gaap:FairValueHedgingMember2021-12-310000895728us-gaap:ForeignExchangeContractMemberenb:AccountsPayableAndOtherMemberus-gaap:NondesignatedMember2021-12-310000895728us-gaap:ForeignExchangeContractMemberenb:AccountsPay</w:t>
      </w:r>
      <w:r>
        <w:rPr>
          <w:rFonts w:eastAsia="Times New Roman"/>
          <w:vanish/>
        </w:rPr>
        <w:t>ableAndOtherMember2021-12-310000895728us-gaap:InterestRateContractMemberenb:AccountsPayableAndOtherMemberus-gaap:DesignatedAsHedgingInstrumentMemberus-gaap:CashFlowHedgingMember2021-12-310000895728us-gaap:InterestRateContractMemberenb:AccountsPayableAndOth</w:t>
      </w:r>
      <w:r>
        <w:rPr>
          <w:rFonts w:eastAsia="Times New Roman"/>
          <w:vanish/>
        </w:rPr>
        <w:t>erMemberus-gaap:DesignatedAsHedgingInstrumentMemberus-gaap:FairValueHedgingMember2021-12-310000895728us-gaap:InterestRateContractMemberenb:AccountsPayableAndOtherMemberus-gaap:NondesignatedMember2021-12-310000895728us-gaap:InterestRateContractMemberenb:Acc</w:t>
      </w:r>
      <w:r>
        <w:rPr>
          <w:rFonts w:eastAsia="Times New Roman"/>
          <w:vanish/>
        </w:rPr>
        <w:t>ountsPayableAndOtherMember2021-12-310000895728enb:AccountsPayableAndOtherMemberus-gaap:CommodityContractMemberus-gaap:DesignatedAsHedgingInstrumentMemberus-gaap:CashFlowHedgingMember2021-12-310000895728enb:AccountsPayableAndOtherMemberus-gaap:CommodityCont</w:t>
      </w:r>
      <w:r>
        <w:rPr>
          <w:rFonts w:eastAsia="Times New Roman"/>
          <w:vanish/>
        </w:rPr>
        <w:t>ractMemberus-gaap:DesignatedAsHedgingInstrumentMemberus-gaap:FairValueHedgingMember2021-12-310000895728enb:AccountsPayableAndOtherMemberus-gaap:CommodityContractMemberus-gaap:NondesignatedMember2021-12-310000895728enb:AccountsPayableAndOtherMemberus-gaap:C</w:t>
      </w:r>
      <w:r>
        <w:rPr>
          <w:rFonts w:eastAsia="Times New Roman"/>
          <w:vanish/>
        </w:rPr>
        <w:t>ommodityContractMember2021-12-310000895728enb:AccountsPayableAndOtherMemberus-gaap:DesignatedAsHedgingInstrumentMemberus-gaap:CashFlowHedgingMember2021-12-310000895728enb:AccountsPayableAndOtherMemberus-gaap:DesignatedAsHedgingInstrumentMemberus-gaap:FairV</w:t>
      </w:r>
      <w:r>
        <w:rPr>
          <w:rFonts w:eastAsia="Times New Roman"/>
          <w:vanish/>
        </w:rPr>
        <w:t>alueHedgingMember2021-12-310000895728enb:AccountsPayableAndOtherMemberus-gaap:NondesignatedMember2021-12-310000895728enb:AccountsPayableAndOtherMember2021-12-310000895728us-gaap:ForeignExchangeContractMemberus-gaap:OtherLiabilitiesMemberus-gaap:DesignatedA</w:t>
      </w:r>
      <w:r>
        <w:rPr>
          <w:rFonts w:eastAsia="Times New Roman"/>
          <w:vanish/>
        </w:rPr>
        <w:t>sHedgingInstrumentMemberus-gaap:CashFlowHedgingMember2021-12-310000895728us-gaap:ForeignExchangeContractMemberus-gaap:OtherLiabilitiesMemberus-gaap:DesignatedAsHedgingInstrumentMemberus-gaap:FairValueHedgingMember2021-12-310000895728us-gaap:ForeignExchange</w:t>
      </w:r>
      <w:r>
        <w:rPr>
          <w:rFonts w:eastAsia="Times New Roman"/>
          <w:vanish/>
        </w:rPr>
        <w:t>ContractMemberus-gaap:OtherLiabilitiesMemberus-gaap:NondesignatedMember2021-12-310000895728us-gaap:ForeignExchangeContractMemberus-gaap:OtherLiabilitiesMember2021-12-310000895728us-gaap:InterestRateContractMemberus-gaap:OtherLiabilitiesMemberus-gaap:Design</w:t>
      </w:r>
      <w:r>
        <w:rPr>
          <w:rFonts w:eastAsia="Times New Roman"/>
          <w:vanish/>
        </w:rPr>
        <w:t>atedAsHedgingInstrumentMemberus-gaap:CashFlowHedgingMember2021-12-310000895728us-gaap:InterestRateContractMemberus-gaap:OtherLiabilitiesMemberus-gaap:DesignatedAsHedgingInstrumentMemberus-gaap:FairValueHedgingMember2021-12-310000895728us-gaap:InterestRateC</w:t>
      </w:r>
      <w:r>
        <w:rPr>
          <w:rFonts w:eastAsia="Times New Roman"/>
          <w:vanish/>
        </w:rPr>
        <w:t>ontractMemberus-gaap:OtherLiabilitiesMemberus-gaap:NondesignatedMember2021-12-310000895728us-gaap:InterestRateContractMemberus-gaap:OtherLiabilitiesMember2021-12-310000895728us-gaap:OtherLiabilitiesMemberus-gaap:CommodityContractMemberus-gaap:DesignatedAsH</w:t>
      </w:r>
      <w:r>
        <w:rPr>
          <w:rFonts w:eastAsia="Times New Roman"/>
          <w:vanish/>
        </w:rPr>
        <w:t>edgingInstrumentMemberus-gaap:CashFlowHedgingMember2021-12-310000895728us-gaap:OtherLiabilitiesMemberus-gaap:CommodityContractMemberus-gaap:DesignatedAsHedgingInstrumentMemberus-gaap:FairValueHedgingMember2021-12-310000895728us-gaap:OtherLiabilitiesMemberu</w:t>
      </w:r>
      <w:r>
        <w:rPr>
          <w:rFonts w:eastAsia="Times New Roman"/>
          <w:vanish/>
        </w:rPr>
        <w:t>s-gaap:CommodityContractMemberus-gaap:NondesignatedMember2021-12-310000895728us-gaap:OtherLiabilitiesMemberus-gaap:CommodityContractMember2021-12-310000895728us-gaap:OtherLiabilitiesMemberus-gaap:DesignatedAsHedgingInstrumentMemberus-gaap:CashFlowHedgingMe</w:t>
      </w:r>
      <w:r>
        <w:rPr>
          <w:rFonts w:eastAsia="Times New Roman"/>
          <w:vanish/>
        </w:rPr>
        <w:t>mber2021-12-310000895728us-gaap:OtherLiabilitiesMemberus-gaap:DesignatedAsHedgingInstrumentMemberus-gaap:FairValueHedgingMember2021-12-310000895728us-gaap:OtherLiabilitiesMemberus-gaap:NondesignatedMember2021-12-310000895728us-gaap:OtherLiabilitiesMember20</w:t>
      </w:r>
      <w:r>
        <w:rPr>
          <w:rFonts w:eastAsia="Times New Roman"/>
          <w:vanish/>
        </w:rPr>
        <w:t>21-12-310000895728us-gaap:ForeignExchangeContractMemberus-gaap:DesignatedAsHedgingInstrumentMemberus-gaap:CashFlowHedgingMember2021-12-310000895728us-gaap:ForeignExchangeContractMemberus-gaap:DesignatedAsHedgingInstrumentMemberus-gaap:FairValueHedgingMembe</w:t>
      </w:r>
      <w:r>
        <w:rPr>
          <w:rFonts w:eastAsia="Times New Roman"/>
          <w:vanish/>
        </w:rPr>
        <w:t>r2021-12-310000895728us-gaap:ForeignExchangeContractMemberus-gaap:NondesignatedMember2021-12-310000895728us-gaap:ForeignExchangeContractMember2021-12-310000895728us-gaap:InterestRateContractMemberus-gaap:DesignatedAsHedgingInstrumentMemberus-gaap:CashFlowH</w:t>
      </w:r>
      <w:r>
        <w:rPr>
          <w:rFonts w:eastAsia="Times New Roman"/>
          <w:vanish/>
        </w:rPr>
        <w:t>edgingMember2021-12-310000895728us-gaap:InterestRateContractMemberus-gaap:DesignatedAsHedgingInstrumentMemberus-gaap:FairValueHedgingMember2021-12-310000895728us-gaap:InterestRateContractMemberus-gaap:NondesignatedMember2021-12-310000895728us-gaap:Interest</w:t>
      </w:r>
      <w:r>
        <w:rPr>
          <w:rFonts w:eastAsia="Times New Roman"/>
          <w:vanish/>
        </w:rPr>
        <w:t>RateContractMember2021-12-310000895728us-gaap:CommodityContractMemberus-gaap:DesignatedAsHedgingInstrumentMemberus-gaap:CashFlowHedgingMember2021-12-310000895728us-gaap:CommodityContractMemberus-gaap:DesignatedAsHedgingInstrumentMemberus-gaap:FairValueHedg</w:t>
      </w:r>
      <w:r>
        <w:rPr>
          <w:rFonts w:eastAsia="Times New Roman"/>
          <w:vanish/>
        </w:rPr>
        <w:t>ingMember2021-12-310000895728us-gaap:CommodityContractMemberus-gaap:NondesignatedMember2021-12-310000895728us-gaap:CommodityContractMember2021-12-310000895728us-gaap:OtherContractMemberus-gaap:DesignatedAsHedgingInstrumentMemberus-gaap:CashFlowHedgingMembe</w:t>
      </w:r>
      <w:r>
        <w:rPr>
          <w:rFonts w:eastAsia="Times New Roman"/>
          <w:vanish/>
        </w:rPr>
        <w:t>r2021-12-310000895728us-gaap:OtherContractMemberus-gaap:DesignatedAsHedgingInstrumentMemberus-gaap:FairValueHedgingMember2021-12-310000895728us-gaap:OtherContractMemberus-gaap:NondesignatedMember2021-12-310000895728us-gaap:OtherContractMember2021-12-310000</w:t>
      </w:r>
      <w:r>
        <w:rPr>
          <w:rFonts w:eastAsia="Times New Roman"/>
          <w:vanish/>
        </w:rPr>
        <w:t>895728us-gaap:CashFlowHedgingMemberus-gaap:DesignatedAsHedgingInstrumentMember2021-12-310000895728us-gaap:FairValueHedgingMemberus-gaap:DesignatedAsHedgingInstrumentMember2021-12-310000895728us-gaap:NondesignatedMember2021-12-310000895728currency:USDenb:Fo</w:t>
      </w:r>
      <w:r>
        <w:rPr>
          <w:rFonts w:eastAsia="Times New Roman"/>
          <w:vanish/>
        </w:rPr>
        <w:t>reignExchangeForwardPurchaseContractMember2022-09-300000895728enb:ForeignExchangeForwardPurchaseContractMember2022-09-300000895728currency:USDenb:ForeignExchangeForwardSellContractMember2022-09-300000895728enb:ForeignExchangeForwardSellContractMember2022-0</w:t>
      </w:r>
      <w:r>
        <w:rPr>
          <w:rFonts w:eastAsia="Times New Roman"/>
          <w:vanish/>
        </w:rPr>
        <w:t>9-300000895728currency:GBPenb:ForeignExchangeForwardSellContractMember2022-09-30iso4217:GBP0000895728currency:EURenb:ForeignExchangeForwardSellContractMember2022-09-30iso4217:EUR0000895728currency:JPYenb:ForeignExchangeForwardPurchaseContractMember2022-09-</w:t>
      </w:r>
      <w:r>
        <w:rPr>
          <w:rFonts w:eastAsia="Times New Roman"/>
          <w:vanish/>
        </w:rPr>
        <w:t>300000895728enb:InterestRateContractForLongTermBorrowingsPayFixedRateMember2022-09-300000895728us-gaap:EquityContractMember2022-09-300000895728srt:NaturalGasReservesMemberus-gaap:CommodityContractMember2022-09-30utr:Bcf0000895728srt:CrudeOilMemberus-gaap:C</w:t>
      </w:r>
      <w:r>
        <w:rPr>
          <w:rFonts w:eastAsia="Times New Roman"/>
          <w:vanish/>
        </w:rPr>
        <w:t>ommodityContractMember2022-09-30utr:MMBbls0000895728enb:PowerMemberus-gaap:CommodityContractMemberus-gaap:ShortMember2022-09-30utr:MWh0000895728us-gaap:InterestRateContractMemberus-gaap:FairValueHedgingMember2022-07-012022-09-300000895728us-gaap:InterestRa</w:t>
      </w:r>
      <w:r>
        <w:rPr>
          <w:rFonts w:eastAsia="Times New Roman"/>
          <w:vanish/>
        </w:rPr>
        <w:t>teContractMemberus-gaap:FairValueHedgingMember2021-07-012021-09-300000895728us-gaap:InterestRateContractMemberus-gaap:FairValueHedgingMember2022-01-012022-09-300000895728us-gaap:InterestRateContractMemberus-gaap:FairValueHedgingMember2021-01-012021-09-3000</w:t>
      </w:r>
      <w:r>
        <w:rPr>
          <w:rFonts w:eastAsia="Times New Roman"/>
          <w:vanish/>
        </w:rPr>
        <w:t>00895728us-gaap:ForeignExchangeContractMemberus-gaap:CashFlowHedgingMember2022-07-012022-09-300000895728us-gaap:ForeignExchangeContractMemberus-gaap:CashFlowHedgingMember2021-07-012021-09-300000895728us-gaap:ForeignExchangeContractMemberus-gaap:CashFlowHed</w:t>
      </w:r>
      <w:r>
        <w:rPr>
          <w:rFonts w:eastAsia="Times New Roman"/>
          <w:vanish/>
        </w:rPr>
        <w:t>gingMember2022-01-012022-09-300000895728us-gaap:ForeignExchangeContractMemberus-gaap:CashFlowHedgingMember2021-01-012021-09-300000895728us-gaap:InterestRateContractMemberus-gaap:CashFlowHedgingMember2022-07-012022-09-300000895728us-gaap:InterestRateContrac</w:t>
      </w:r>
      <w:r>
        <w:rPr>
          <w:rFonts w:eastAsia="Times New Roman"/>
          <w:vanish/>
        </w:rPr>
        <w:t>tMemberus-gaap:CashFlowHedgingMember2021-07-012021-09-300000895728us-gaap:InterestRateContractMemberus-gaap:CashFlowHedgingMember2022-01-012022-09-300000895728us-gaap:InterestRateContractMemberus-gaap:CashFlowHedgingMember2021-01-012021-09-300000895728us-g</w:t>
      </w:r>
      <w:r>
        <w:rPr>
          <w:rFonts w:eastAsia="Times New Roman"/>
          <w:vanish/>
        </w:rPr>
        <w:t>aap:CommodityContractMemberus-gaap:CashFlowHedgingMember2022-07-012022-09-300000895728us-gaap:CommodityContractMemberus-gaap:CashFlowHedgingMember2021-07-012021-09-300000895728us-gaap:CommodityContractMemberus-gaap:CashFlowHedgingMember2022-01-012022-09-30</w:t>
      </w:r>
      <w:r>
        <w:rPr>
          <w:rFonts w:eastAsia="Times New Roman"/>
          <w:vanish/>
        </w:rPr>
        <w:t>0000895728us-gaap:CommodityContractMemberus-gaap:CashFlowHedgingMember2021-01-012021-09-300000895728us-gaap:OtherContractMemberus-gaap:CashFlowHedgingMember2022-07-012022-09-300000895728us-gaap:OtherContractMemberus-gaap:CashFlowHedgingMember2021-07-012021</w:t>
      </w:r>
      <w:r>
        <w:rPr>
          <w:rFonts w:eastAsia="Times New Roman"/>
          <w:vanish/>
        </w:rPr>
        <w:t>-09-300000895728us-gaap:OtherContractMemberus-gaap:CashFlowHedgingMember2022-01-012022-09-300000895728us-gaap:OtherContractMemberus-gaap:CashFlowHedgingMember2021-01-012021-09-300000895728us-gaap:ForeignExchangeContractMemberus-gaap:FairValueHedgingMember2</w:t>
      </w:r>
      <w:r>
        <w:rPr>
          <w:rFonts w:eastAsia="Times New Roman"/>
          <w:vanish/>
        </w:rPr>
        <w:t>022-07-012022-09-300000895728us-gaap:ForeignExchangeContractMemberus-gaap:FairValueHedgingMember2021-07-012021-09-300000895728us-gaap:ForeignExchangeContractMemberus-gaap:FairValueHedgingMember2022-01-012022-09-300000895728us-gaap:ForeignExchangeContractMe</w:t>
      </w:r>
      <w:r>
        <w:rPr>
          <w:rFonts w:eastAsia="Times New Roman"/>
          <w:vanish/>
        </w:rPr>
        <w:t>mberus-gaap:FairValueHedgingMember2021-01-012021-09-300000895728us-gaap:ForeignExchangeContractMember2022-07-012022-09-300000895728us-gaap:ForeignExchangeContractMember2021-07-012021-09-300000895728us-gaap:InterestRateContractMember2022-07-012022-09-300000</w:t>
      </w:r>
      <w:r>
        <w:rPr>
          <w:rFonts w:eastAsia="Times New Roman"/>
          <w:vanish/>
        </w:rPr>
        <w:t>895728us-gaap:InterestRateContractMember2021-07-012021-09-300000895728us-gaap:CommodityContractMember2022-07-012022-09-300000895728us-gaap:CommodityContractMember2021-07-012021-09-300000895728us-gaap:CommodityContractMember2022-01-012022-09-300000895728us-</w:t>
      </w:r>
      <w:r>
        <w:rPr>
          <w:rFonts w:eastAsia="Times New Roman"/>
          <w:vanish/>
        </w:rPr>
        <w:t>gaap:OtherContractMember2022-07-012022-09-300000895728us-gaap:OtherContractMember2021-07-012021-09-300000895728us-gaap:ForeignExchangeContractMemberus-gaap:NondesignatedMember2022-07-012022-09-300000895728us-gaap:ForeignExchangeContractMemberus-gaap:Nondes</w:t>
      </w:r>
      <w:r>
        <w:rPr>
          <w:rFonts w:eastAsia="Times New Roman"/>
          <w:vanish/>
        </w:rPr>
        <w:t>ignatedMember2021-07-012021-09-300000895728us-gaap:ForeignExchangeContractMemberus-gaap:NondesignatedMember2022-01-012022-09-300000895728us-gaap:ForeignExchangeContractMemberus-gaap:NondesignatedMember2021-01-012021-09-300000895728us-gaap:InterestRateContr</w:t>
      </w:r>
      <w:r>
        <w:rPr>
          <w:rFonts w:eastAsia="Times New Roman"/>
          <w:vanish/>
        </w:rPr>
        <w:t>actMemberus-gaap:NondesignatedMember2022-07-012022-09-300000895728us-gaap:InterestRateContractMemberus-gaap:NondesignatedMember2021-07-012021-09-300000895728us-gaap:InterestRateContractMemberus-gaap:NondesignatedMember2022-01-012022-09-300000895728us-gaap:</w:t>
      </w:r>
      <w:r>
        <w:rPr>
          <w:rFonts w:eastAsia="Times New Roman"/>
          <w:vanish/>
        </w:rPr>
        <w:t>InterestRateContractMemberus-gaap:NondesignatedMember2021-01-012021-09-300000895728us-gaap:CommodityContractMemberus-gaap:NondesignatedMember2022-07-012022-09-300000895728us-gaap:CommodityContractMemberus-gaap:NondesignatedMember2021-07-012021-09-300000895</w:t>
      </w:r>
      <w:r>
        <w:rPr>
          <w:rFonts w:eastAsia="Times New Roman"/>
          <w:vanish/>
        </w:rPr>
        <w:t>728us-gaap:CommodityContractMemberus-gaap:NondesignatedMember2022-01-012022-09-300000895728us-gaap:CommodityContractMemberus-gaap:NondesignatedMember2021-01-012021-09-300000895728us-gaap:OtherContractMemberus-gaap:NondesignatedMember2022-07-012022-09-30000</w:t>
      </w:r>
      <w:r>
        <w:rPr>
          <w:rFonts w:eastAsia="Times New Roman"/>
          <w:vanish/>
        </w:rPr>
        <w:t>0895728us-gaap:OtherContractMemberus-gaap:NondesignatedMember2021-07-012021-09-300000895728us-gaap:OtherContractMemberus-gaap:NondesignatedMember2022-01-012022-09-300000895728us-gaap:OtherContractMemberus-gaap:NondesignatedMember2021-01-012021-09-300000895</w:t>
      </w:r>
      <w:r>
        <w:rPr>
          <w:rFonts w:eastAsia="Times New Roman"/>
          <w:vanish/>
        </w:rPr>
        <w:t>728us-gaap:NondesignatedMember2022-07-012022-09-300000895728us-gaap:NondesignatedMember2021-07-012021-09-300000895728us-gaap:NondesignatedMember2022-01-012022-09-300000895728us-gaap:NondesignatedMember2021-01-012021-09-300000895728us-gaap:ForeignExchangeCo</w:t>
      </w:r>
      <w:r>
        <w:rPr>
          <w:rFonts w:eastAsia="Times New Roman"/>
          <w:vanish/>
        </w:rPr>
        <w:t>ntractMemberenb:GasDistributionSalesRevenuesMemberus-gaap:NondesignatedMember2022-01-012022-09-300000895728us-gaap:ForeignExchangeContractMemberenb:GasDistributionSalesRevenuesMemberus-gaap:NondesignatedMember2021-01-012021-09-300000895728us-gaap:ForeignEx</w:t>
      </w:r>
      <w:r>
        <w:rPr>
          <w:rFonts w:eastAsia="Times New Roman"/>
          <w:vanish/>
        </w:rPr>
        <w:t>changeContractMemberenb:OtherIncomeExpenseMemberus-gaap:NondesignatedMember2022-01-012022-09-300000895728us-gaap:ForeignExchangeContractMemberenb:OtherIncomeExpenseMemberus-gaap:NondesignatedMember2021-01-012021-09-300000895728enb:GasDistributionSalesReven</w:t>
      </w:r>
      <w:r>
        <w:rPr>
          <w:rFonts w:eastAsia="Times New Roman"/>
          <w:vanish/>
        </w:rPr>
        <w:t>uesMemberus-gaap:CommodityContractMemberus-gaap:NondesignatedMember2022-01-012022-09-300000895728enb:GasDistributionSalesRevenuesMemberus-gaap:CommodityContractMemberus-gaap:NondesignatedMember2021-01-012021-09-300000895728enb:CommoditySalesRevenueMemberus</w:t>
      </w:r>
      <w:r>
        <w:rPr>
          <w:rFonts w:eastAsia="Times New Roman"/>
          <w:vanish/>
        </w:rPr>
        <w:t>-gaap:CommodityContractMemberus-gaap:NondesignatedMember2022-01-012022-09-300000895728enb:CommoditySalesRevenueMemberus-gaap:CommodityContractMemberus-gaap:NondesignatedMember2021-01-012021-09-300000895728us-gaap:CommodityContractMemberus-gaap:Nondesignate</w:t>
      </w:r>
      <w:r>
        <w:rPr>
          <w:rFonts w:eastAsia="Times New Roman"/>
          <w:vanish/>
        </w:rPr>
        <w:t>dMemberenb:CommodityCostsMember2022-01-012022-09-300000895728us-gaap:CommodityContractMemberus-gaap:NondesignatedMemberenb:CommodityCostsMember2021-01-012021-09-300000895728enb:OperatingAndAdministrativeExpenseMemberus-gaap:CommodityContractMemberus-gaap:N</w:t>
      </w:r>
      <w:r>
        <w:rPr>
          <w:rFonts w:eastAsia="Times New Roman"/>
          <w:vanish/>
        </w:rPr>
        <w:t>ondesignatedMember2022-01-012022-09-300000895728enb:OperatingAndAdministrativeExpenseMemberus-gaap:CommodityContractMemberus-gaap:NondesignatedMember2021-01-012021-09-300000895728enb:CanadianFinancialInstitutionsMemberus-gaap:DerivativeMember2022-01-012022</w:t>
      </w:r>
      <w:r>
        <w:rPr>
          <w:rFonts w:eastAsia="Times New Roman"/>
          <w:vanish/>
        </w:rPr>
        <w:t>-09-300000895728enb:CanadianFinancialInstitutionsMemberus-gaap:DerivativeMember2021-01-012021-12-310000895728enb:USFinancialInstitutionsMemberus-gaap:DerivativeMember2022-01-012022-09-300000895728enb:USFinancialInstitutionsMemberus-gaap:DerivativeMember202</w:t>
      </w:r>
      <w:r>
        <w:rPr>
          <w:rFonts w:eastAsia="Times New Roman"/>
          <w:vanish/>
        </w:rPr>
        <w:t>1-01-012021-12-310000895728enb:EuropeanFinancialInstitutionsMemberus-gaap:DerivativeMember2022-01-012022-09-300000895728enb:EuropeanFinancialInstitutionsMemberus-gaap:DerivativeMember2021-01-012021-12-310000895728enb:AsianFinancialInstitutionsMemberus-gaap</w:t>
      </w:r>
      <w:r>
        <w:rPr>
          <w:rFonts w:eastAsia="Times New Roman"/>
          <w:vanish/>
        </w:rPr>
        <w:t>:DerivativeMember2022-01-012022-09-300000895728enb:AsianFinancialInstitutionsMemberus-gaap:DerivativeMember2021-01-012021-12-310000895728enb:OtherCounterpartiesMemberus-gaap:DerivativeMember2022-01-012022-09-300000895728enb:OtherCounterpartiesMemberus-gaap</w:t>
      </w:r>
      <w:r>
        <w:rPr>
          <w:rFonts w:eastAsia="Times New Roman"/>
          <w:vanish/>
        </w:rPr>
        <w:t>:DerivativeMember2021-01-012021-12-310000895728us-gaap:DerivativeMember2022-01-012022-09-300000895728us-gaap:DerivativeMember2021-01-012021-12-310000895728us-gaap:DerivativeMember2021-12-310000895728us-gaap:DerivativeMember2022-09-300000895728us-gaap:Forei</w:t>
      </w:r>
      <w:r>
        <w:rPr>
          <w:rFonts w:eastAsia="Times New Roman"/>
          <w:vanish/>
        </w:rPr>
        <w:t>gnExchangeContractMemberus-gaap:FairValueInputsLevel1Memberus-gaap:EstimateOfFairValueFairValueDisclosureMember2022-09-300000895728us-gaap:FairValueInputsLevel2Memberus-gaap:ForeignExchangeContractMemberus-gaap:EstimateOfFairValueFairValueDisclosureMember2</w:t>
      </w:r>
      <w:r>
        <w:rPr>
          <w:rFonts w:eastAsia="Times New Roman"/>
          <w:vanish/>
        </w:rPr>
        <w:t>022-09-300000895728us-gaap:ForeignExchangeContractMemberus-gaap:EstimateOfFairValueFairValueDisclosureMemberus-gaap:FairValueInputsLevel3Member2022-09-300000895728us-gaap:ForeignExchangeContractMemberus-gaap:EstimateOfFairValueFairValueDisclosureMember2022</w:t>
      </w:r>
      <w:r>
        <w:rPr>
          <w:rFonts w:eastAsia="Times New Roman"/>
          <w:vanish/>
        </w:rPr>
        <w:t>-09-300000895728us-gaap:InterestRateContractMemberus-gaap:FairValueInputsLevel1Memberus-gaap:EstimateOfFairValueFairValueDisclosureMember2022-09-300000895728us-gaap:FairValueInputsLevel2Memberus-gaap:InterestRateContractMemberus-gaap:EstimateOfFairValueFai</w:t>
      </w:r>
      <w:r>
        <w:rPr>
          <w:rFonts w:eastAsia="Times New Roman"/>
          <w:vanish/>
        </w:rPr>
        <w:t>rValueDisclosureMember2022-09-300000895728us-gaap:InterestRateContractMemberus-gaap:EstimateOfFairValueFairValueDisclosureMemberus-gaap:FairValueInputsLevel3Member2022-09-300000895728us-gaap:InterestRateContractMemberus-gaap:EstimateOfFairValueFairValueDis</w:t>
      </w:r>
      <w:r>
        <w:rPr>
          <w:rFonts w:eastAsia="Times New Roman"/>
          <w:vanish/>
        </w:rPr>
        <w:t>closureMember2022-09-300000895728us-gaap:FairValueInputsLevel1Memberus-gaap:CommodityContractMemberus-gaap:EstimateOfFairValueFairValueDisclosureMember2022-09-300000895728us-gaap:FairValueInputsLevel2Memberus-gaap:CommodityContractMemberus-gaap:EstimateOfF</w:t>
      </w:r>
      <w:r>
        <w:rPr>
          <w:rFonts w:eastAsia="Times New Roman"/>
          <w:vanish/>
        </w:rPr>
        <w:t>airValueFairValueDisclosureMember2022-09-300000895728us-gaap:CommodityContractMemberus-gaap:EstimateOfFairValueFairValueDisclosureMemberus-gaap:FairValueInputsLevel3Member2022-09-300000895728us-gaap:CommodityContractMemberus-gaap:EstimateOfFairValueFairVal</w:t>
      </w:r>
      <w:r>
        <w:rPr>
          <w:rFonts w:eastAsia="Times New Roman"/>
          <w:vanish/>
        </w:rPr>
        <w:t>ueDisclosureMember2022-09-300000895728us-gaap:OtherContractMemberus-gaap:FairValueInputsLevel1Memberus-gaap:EstimateOfFairValueFairValueDisclosureMember2022-09-300000895728us-gaap:FairValueInputsLevel2Memberus-gaap:OtherContractMemberus-gaap:EstimateOfFair</w:t>
      </w:r>
      <w:r>
        <w:rPr>
          <w:rFonts w:eastAsia="Times New Roman"/>
          <w:vanish/>
        </w:rPr>
        <w:t>ValueFairValueDisclosureMember2022-09-300000895728us-gaap:OtherContractMemberus-gaap:EstimateOfFairValueFairValueDisclosureMemberus-gaap:FairValueInputsLevel3Member2022-09-300000895728us-gaap:OtherContractMemberus-gaap:EstimateOfFairValueFairValueDisclosur</w:t>
      </w:r>
      <w:r>
        <w:rPr>
          <w:rFonts w:eastAsia="Times New Roman"/>
          <w:vanish/>
        </w:rPr>
        <w:t>eMember2022-09-300000895728us-gaap:FairValueInputsLevel1Memberus-gaap:EstimateOfFairValueFairValueDisclosureMember2022-09-300000895728us-gaap:FairValueInputsLevel2Memberus-gaap:EstimateOfFairValueFairValueDisclosureMember2022-09-300000895728us-gaap:Estimat</w:t>
      </w:r>
      <w:r>
        <w:rPr>
          <w:rFonts w:eastAsia="Times New Roman"/>
          <w:vanish/>
        </w:rPr>
        <w:t>eOfFairValueFairValueDisclosureMemberus-gaap:FairValueInputsLevel3Member2022-09-300000895728us-gaap:EstimateOfFairValueFairValueDisclosureMember2022-09-300000895728us-gaap:ForeignExchangeContractMemberus-gaap:FairValueInputsLevel1Memberus-gaap:EstimateOfFa</w:t>
      </w:r>
      <w:r>
        <w:rPr>
          <w:rFonts w:eastAsia="Times New Roman"/>
          <w:vanish/>
        </w:rPr>
        <w:t>irValueFairValueDisclosureMember2021-12-310000895728us-gaap:FairValueInputsLevel2Memberus-gaap:ForeignExchangeContractMemberus-gaap:EstimateOfFairValueFairValueDisclosureMember2021-12-310000895728us-gaap:ForeignExchangeContractMemberus-gaap:EstimateOfFairV</w:t>
      </w:r>
      <w:r>
        <w:rPr>
          <w:rFonts w:eastAsia="Times New Roman"/>
          <w:vanish/>
        </w:rPr>
        <w:t>alueFairValueDisclosureMemberus-gaap:FairValueInputsLevel3Member2021-12-310000895728us-gaap:ForeignExchangeContractMemberus-gaap:EstimateOfFairValueFairValueDisclosureMember2021-12-310000895728us-gaap:InterestRateContractMemberus-gaap:FairValueInputsLevel1</w:t>
      </w:r>
      <w:r>
        <w:rPr>
          <w:rFonts w:eastAsia="Times New Roman"/>
          <w:vanish/>
        </w:rPr>
        <w:t>Memberus-gaap:EstimateOfFairValueFairValueDisclosureMember2021-12-310000895728us-gaap:FairValueInputsLevel2Memberus-gaap:InterestRateContractMemberus-gaap:EstimateOfFairValueFairValueDisclosureMember2021-12-310000895728us-gaap:InterestRateContractMemberus-</w:t>
      </w:r>
      <w:r>
        <w:rPr>
          <w:rFonts w:eastAsia="Times New Roman"/>
          <w:vanish/>
        </w:rPr>
        <w:t>gaap:EstimateOfFairValueFairValueDisclosureMemberus-gaap:FairValueInputsLevel3Member2021-12-310000895728us-gaap:InterestRateContractMemberus-gaap:EstimateOfFairValueFairValueDisclosureMember2021-12-310000895728us-gaap:FairValueInputsLevel1Memberus-gaap:Com</w:t>
      </w:r>
      <w:r>
        <w:rPr>
          <w:rFonts w:eastAsia="Times New Roman"/>
          <w:vanish/>
        </w:rPr>
        <w:t>modityContractMemberus-gaap:EstimateOfFairValueFairValueDisclosureMember2021-12-310000895728us-gaap:FairValueInputsLevel2Memberus-gaap:CommodityContractMemberus-gaap:EstimateOfFairValueFairValueDisclosureMember2021-12-310000895728us-gaap:CommodityContractM</w:t>
      </w:r>
      <w:r>
        <w:rPr>
          <w:rFonts w:eastAsia="Times New Roman"/>
          <w:vanish/>
        </w:rPr>
        <w:t>emberus-gaap:EstimateOfFairValueFairValueDisclosureMemberus-gaap:FairValueInputsLevel3Member2021-12-310000895728us-gaap:CommodityContractMemberus-gaap:EstimateOfFairValueFairValueDisclosureMember2021-12-310000895728us-gaap:OtherContractMemberus-gaap:FairVa</w:t>
      </w:r>
      <w:r>
        <w:rPr>
          <w:rFonts w:eastAsia="Times New Roman"/>
          <w:vanish/>
        </w:rPr>
        <w:t>lueInputsLevel1Memberus-gaap:EstimateOfFairValueFairValueDisclosureMember2021-12-310000895728us-gaap:FairValueInputsLevel2Memberus-gaap:OtherContractMemberus-gaap:EstimateOfFairValueFairValueDisclosureMember2021-12-310000895728us-gaap:OtherContractMemberus</w:t>
      </w:r>
      <w:r>
        <w:rPr>
          <w:rFonts w:eastAsia="Times New Roman"/>
          <w:vanish/>
        </w:rPr>
        <w:t>-gaap:EstimateOfFairValueFairValueDisclosureMemberus-gaap:FairValueInputsLevel3Member2021-12-310000895728us-gaap:OtherContractMemberus-gaap:EstimateOfFairValueFairValueDisclosureMember2021-12-310000895728us-gaap:FairValueInputsLevel1Memberus-gaap:EstimateO</w:t>
      </w:r>
      <w:r>
        <w:rPr>
          <w:rFonts w:eastAsia="Times New Roman"/>
          <w:vanish/>
        </w:rPr>
        <w:t>fFairValueFairValueDisclosureMember2021-12-310000895728us-gaap:FairValueInputsLevel2Memberus-gaap:EstimateOfFairValueFairValueDisclosureMember2021-12-310000895728us-gaap:EstimateOfFairValueFairValueDisclosureMemberus-gaap:FairValueInputsLevel3Member2021-12</w:t>
      </w:r>
      <w:r>
        <w:rPr>
          <w:rFonts w:eastAsia="Times New Roman"/>
          <w:vanish/>
        </w:rPr>
        <w:t>-310000895728us-gaap:EstimateOfFairValueFairValueDisclosureMember2021-12-310000895728srt:NaturalGasReservesMemberus-gaap:MarketApproachValuationTechniqueMemberenb:FinancialForwardCommodityContractMemberus-gaap:EstimateOfFairValueFairValueDisclosureMemberus</w:t>
      </w:r>
      <w:r>
        <w:rPr>
          <w:rFonts w:eastAsia="Times New Roman"/>
          <w:vanish/>
        </w:rPr>
        <w:t>-gaap:FairValueInputsLevel3Member2022-09-300000895728srt:NaturalGasReservesMembersrt:MinimumMemberus-gaap:MarketApproachValuationTechniqueMemberenb:FinancialForwardCommodityContractMemberus-gaap:FairValueInputsLevel3Member2022-09-30iso4217:CADenb:Millionso</w:t>
      </w:r>
      <w:r>
        <w:rPr>
          <w:rFonts w:eastAsia="Times New Roman"/>
          <w:vanish/>
        </w:rPr>
        <w:t>fBTU-MMBTU0000895728srt:NaturalGasReservesMembersrt:MaximumMemberus-gaap:MarketApproachValuationTechniqueMemberenb:FinancialForwardCommodityContractMemberus-gaap:FairValueInputsLevel3Member2022-09-300000895728srt:NaturalGasReservesMemberus-gaap:MarketAppro</w:t>
      </w:r>
      <w:r>
        <w:rPr>
          <w:rFonts w:eastAsia="Times New Roman"/>
          <w:vanish/>
        </w:rPr>
        <w:t>achValuationTechniqueMemberenb:FinancialForwardCommodityContractMembersrt:WeightedAverageMemberus-gaap:FairValueInputsLevel3Member2022-09-300000895728us-gaap:MarketApproachValuationTechniqueMemberenb:FinancialForwardCommodityContractMembersrt:CrudeOilMembe</w:t>
      </w:r>
      <w:r>
        <w:rPr>
          <w:rFonts w:eastAsia="Times New Roman"/>
          <w:vanish/>
        </w:rPr>
        <w:t>rus-gaap:EstimateOfFairValueFairValueDisclosureMemberus-gaap:FairValueInputsLevel3Member2022-09-300000895728srt:MinimumMemberus-gaap:MarketApproachValuationTechniqueMemberenb:FinancialForwardCommodityContractMembersrt:CrudeOilMemberus-gaap:FairValueInputsL</w:t>
      </w:r>
      <w:r>
        <w:rPr>
          <w:rFonts w:eastAsia="Times New Roman"/>
          <w:vanish/>
        </w:rPr>
        <w:t>evel3Member2022-09-30iso4217:CADutr:bbl0000895728srt:MaximumMemberus-gaap:MarketApproachValuationTechniqueMemberenb:FinancialForwardCommodityContractMembersrt:CrudeOilMemberus-gaap:FairValueInputsLevel3Member2022-09-300000895728us-gaap:MarketApproachValuat</w:t>
      </w:r>
      <w:r>
        <w:rPr>
          <w:rFonts w:eastAsia="Times New Roman"/>
          <w:vanish/>
        </w:rPr>
        <w:t>ionTechniqueMemberenb:FinancialForwardCommodityContractMembersrt:CrudeOilMembersrt:WeightedAverageMemberus-gaap:FairValueInputsLevel3Member2022-09-300000895728us-gaap:MarketApproachValuationTechniqueMemberenb:FinancialForwardCommodityContractMemberenb:Powe</w:t>
      </w:r>
      <w:r>
        <w:rPr>
          <w:rFonts w:eastAsia="Times New Roman"/>
          <w:vanish/>
        </w:rPr>
        <w:t>rMemberus-gaap:EstimateOfFairValueFairValueDisclosureMemberus-gaap:FairValueInputsLevel3Member2022-09-300000895728srt:MinimumMemberus-gaap:MarketApproachValuationTechniqueMemberenb:FinancialForwardCommodityContractMemberenb:PowerMemberus-gaap:FairValueInpu</w:t>
      </w:r>
      <w:r>
        <w:rPr>
          <w:rFonts w:eastAsia="Times New Roman"/>
          <w:vanish/>
        </w:rPr>
        <w:t>tsLevel3Member2022-09-30iso4217:CADutr:MWh0000895728srt:MaximumMemberus-gaap:MarketApproachValuationTechniqueMemberenb:FinancialForwardCommodityContractMemberenb:PowerMemberus-gaap:FairValueInputsLevel3Member2022-09-300000895728us-gaap:MarketApproachValuat</w:t>
      </w:r>
      <w:r>
        <w:rPr>
          <w:rFonts w:eastAsia="Times New Roman"/>
          <w:vanish/>
        </w:rPr>
        <w:t>ionTechniqueMemberenb:FinancialForwardCommodityContractMemberenb:PowerMembersrt:WeightedAverageMemberus-gaap:FairValueInputsLevel3Member2022-09-300000895728srt:NaturalGasReservesMemberus-gaap:MarketApproachValuationTechniqueMemberenb:PhysicalForwardCommodi</w:t>
      </w:r>
      <w:r>
        <w:rPr>
          <w:rFonts w:eastAsia="Times New Roman"/>
          <w:vanish/>
        </w:rPr>
        <w:t>tyContractMemberus-gaap:EstimateOfFairValueFairValueDisclosureMemberus-gaap:FairValueInputsLevel3Member2022-09-300000895728srt:NaturalGasReservesMembersrt:MinimumMemberus-gaap:MarketApproachValuationTechniqueMemberenb:PhysicalForwardCommodityContractMember</w:t>
      </w:r>
      <w:r>
        <w:rPr>
          <w:rFonts w:eastAsia="Times New Roman"/>
          <w:vanish/>
        </w:rPr>
        <w:t>us-gaap:FairValueInputsLevel3Member2022-09-300000895728srt:NaturalGasReservesMembersrt:MaximumMemberus-gaap:MarketApproachValuationTechniqueMemberenb:PhysicalForwardCommodityContractMemberus-gaap:FairValueInputsLevel3Member2022-09-300000895728srt:NaturalGa</w:t>
      </w:r>
      <w:r>
        <w:rPr>
          <w:rFonts w:eastAsia="Times New Roman"/>
          <w:vanish/>
        </w:rPr>
        <w:t>sReservesMemberus-gaap:MarketApproachValuationTechniqueMemberenb:PhysicalForwardCommodityContractMembersrt:WeightedAverageMemberus-gaap:FairValueInputsLevel3Member2022-09-300000895728us-gaap:MarketApproachValuationTechniqueMemberenb:PhysicalForwardCommodit</w:t>
      </w:r>
      <w:r>
        <w:rPr>
          <w:rFonts w:eastAsia="Times New Roman"/>
          <w:vanish/>
        </w:rPr>
        <w:t>yContractMembersrt:CrudeOilMemberus-gaap:EstimateOfFairValueFairValueDisclosureMemberus-gaap:FairValueInputsLevel3Member2022-09-300000895728srt:MinimumMemberus-gaap:MarketApproachValuationTechniqueMemberenb:PhysicalForwardCommodityContractMembersrt:CrudeOi</w:t>
      </w:r>
      <w:r>
        <w:rPr>
          <w:rFonts w:eastAsia="Times New Roman"/>
          <w:vanish/>
        </w:rPr>
        <w:t>lMemberus-gaap:FairValueInputsLevel3Member2022-09-300000895728srt:MaximumMemberus-gaap:MarketApproachValuationTechniqueMemberenb:PhysicalForwardCommodityContractMembersrt:CrudeOilMemberus-gaap:FairValueInputsLevel3Member2022-09-300000895728us-gaap:MarketAp</w:t>
      </w:r>
      <w:r>
        <w:rPr>
          <w:rFonts w:eastAsia="Times New Roman"/>
          <w:vanish/>
        </w:rPr>
        <w:t>proachValuationTechniqueMemberenb:PhysicalForwardCommodityContractMembersrt:CrudeOilMembersrt:WeightedAverageMemberus-gaap:FairValueInputsLevel3Member2022-09-300000895728us-gaap:MarketApproachValuationTechniqueMemberenb:PhysicalForwardCommodityContractMemb</w:t>
      </w:r>
      <w:r>
        <w:rPr>
          <w:rFonts w:eastAsia="Times New Roman"/>
          <w:vanish/>
        </w:rPr>
        <w:t>erenb:PowerMemberus-gaap:EstimateOfFairValueFairValueDisclosureMemberus-gaap:FairValueInputsLevel3Member2022-09-300000895728srt:MinimumMemberus-gaap:MarketApproachValuationTechniqueMemberenb:PhysicalForwardCommodityContractMemberenb:PowerMemberus-gaap:Fair</w:t>
      </w:r>
      <w:r>
        <w:rPr>
          <w:rFonts w:eastAsia="Times New Roman"/>
          <w:vanish/>
        </w:rPr>
        <w:t>ValueInputsLevel3Member2022-09-300000895728srt:MaximumMemberus-gaap:MarketApproachValuationTechniqueMemberenb:PhysicalForwardCommodityContractMemberenb:PowerMemberus-gaap:FairValueInputsLevel3Member2022-09-300000895728us-gaap:MarketApproachValuationTechniq</w:t>
      </w:r>
      <w:r>
        <w:rPr>
          <w:rFonts w:eastAsia="Times New Roman"/>
          <w:vanish/>
        </w:rPr>
        <w:t>ueMemberenb:PhysicalForwardCommodityContractMemberenb:PowerMembersrt:WeightedAverageMemberus-gaap:FairValueInputsLevel3Member2022-09-300000895728us-gaap:FairValueInputsLevel3Member2022-09-300000895728us-gaap:NetInvestmentHedgingMember2022-01-012022-09-3000</w:t>
      </w:r>
      <w:r>
        <w:rPr>
          <w:rFonts w:eastAsia="Times New Roman"/>
          <w:vanish/>
        </w:rPr>
        <w:t>00895728us-gaap:NetInvestmentHedgingMember2021-01-012021-09-300000895728us-gaap:FairValueInputsLevel1Member2022-09-300000895728us-gaap:FairValueInputsLevel1Member2021-12-310000895728us-gaap:FairValueInputsLevel2Member2022-09-300000895728us-gaap:FairValueIn</w:t>
      </w:r>
      <w:r>
        <w:rPr>
          <w:rFonts w:eastAsia="Times New Roman"/>
          <w:vanish/>
        </w:rPr>
        <w:t>putsLevel2Member2021-12-310000895728us-gaap:EstimateOfFairValueFairValueDisclosureMember2022-07-012022-09-300000895728us-gaap:EstimateOfFairValueFairValueDisclosureMember2022-01-012022-09-300000895728us-gaap:EstimateOfFairValueFairValueDisclosureMember2021</w:t>
      </w:r>
      <w:r>
        <w:rPr>
          <w:rFonts w:eastAsia="Times New Roman"/>
          <w:vanish/>
        </w:rPr>
        <w:t>-07-012021-09-300000895728us-gaap:EstimateOfFairValueFairValueDisclosureMember2021-01-012021-09-300000895728us-gaap:DebtSecuritiesMemberus-gaap:FairValueInputsLevel1Member2022-09-300000895728us-gaap:DebtSecuritiesMemberus-gaap:FairValueInputsLevel2Member20</w:t>
      </w:r>
      <w:r>
        <w:rPr>
          <w:rFonts w:eastAsia="Times New Roman"/>
          <w:vanish/>
        </w:rPr>
        <w:t>22-09-300000895728us-gaap:DebtSecuritiesMemberus-gaap:FairValueInputsLevel1Member2021-12-310000895728us-gaap:DebtSecuritiesMemberus-gaap:FairValueInputsLevel2Member2021-12-310000895728enb:EquityFundsAndDebtSecuritiesMember2022-07-012022-09-300000895728enb:</w:t>
      </w:r>
      <w:r>
        <w:rPr>
          <w:rFonts w:eastAsia="Times New Roman"/>
          <w:vanish/>
        </w:rPr>
        <w:t>EquityFundsAndDebtSecuritiesMember2022-01-012022-09-300000895728enb:EquityFundsAndDebtSecuritiesMember2021-07-012021-09-300000895728enb:EquityFundsAndDebtSecuritiesMember2021-01-012021-09-300000895728us-gaap:CarryingReportedAmountFairValueDisclosureMember2</w:t>
      </w:r>
      <w:r>
        <w:rPr>
          <w:rFonts w:eastAsia="Times New Roman"/>
          <w:vanish/>
        </w:rPr>
        <w:t>022-09-300000895728us-gaap:CarryingReportedAmountFairValueDisclosureMember2021-12-31</w:t>
      </w:r>
    </w:p>
    <w:p w:rsidR="00000000" w:rsidRDefault="00131F06">
      <w:pPr>
        <w:jc w:val="center"/>
        <w:divId w:val="4071581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131F06">
            <w:pPr>
              <w:jc w:val="center"/>
              <w:rPr>
                <w:rFonts w:eastAsia="Times New Roman"/>
              </w:rPr>
            </w:pPr>
          </w:p>
        </w:tc>
        <w:tc>
          <w:tcPr>
            <w:tcW w:w="49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bl>
    <w:p w:rsidR="00000000" w:rsidRDefault="00131F06">
      <w:pPr>
        <w:jc w:val="center"/>
        <w:rPr>
          <w:rFonts w:eastAsia="Times New Roman"/>
        </w:rPr>
      </w:pPr>
    </w:p>
    <w:p w:rsidR="00000000" w:rsidRDefault="00131F06">
      <w:pPr>
        <w:jc w:val="center"/>
        <w:rPr>
          <w:rFonts w:eastAsia="Times New Roman"/>
        </w:rPr>
      </w:pPr>
      <w:r>
        <w:rPr>
          <w:rFonts w:ascii="Arial" w:eastAsia="Times New Roman" w:hAnsi="Arial" w:cs="Arial"/>
          <w:b/>
          <w:bCs/>
          <w:color w:val="000000"/>
          <w:sz w:val="26"/>
          <w:szCs w:val="26"/>
        </w:rPr>
        <w:t>UNITED STATES</w:t>
      </w:r>
    </w:p>
    <w:p w:rsidR="00000000" w:rsidRDefault="00131F06">
      <w:pPr>
        <w:jc w:val="center"/>
        <w:rPr>
          <w:rFonts w:eastAsia="Times New Roman"/>
        </w:rPr>
      </w:pPr>
      <w:r>
        <w:rPr>
          <w:rFonts w:ascii="Arial" w:eastAsia="Times New Roman" w:hAnsi="Arial" w:cs="Arial"/>
          <w:b/>
          <w:bCs/>
          <w:color w:val="000000"/>
          <w:sz w:val="26"/>
          <w:szCs w:val="26"/>
        </w:rPr>
        <w:t>SECURITIES AND EXCHANGE COMMISSION</w:t>
      </w:r>
    </w:p>
    <w:p w:rsidR="00000000" w:rsidRDefault="00131F06">
      <w:pPr>
        <w:jc w:val="center"/>
        <w:rPr>
          <w:rFonts w:eastAsia="Times New Roman"/>
        </w:rPr>
      </w:pPr>
      <w:r>
        <w:rPr>
          <w:rFonts w:ascii="Arial" w:eastAsia="Times New Roman" w:hAnsi="Arial" w:cs="Arial"/>
          <w:b/>
          <w:bCs/>
          <w:color w:val="000000"/>
        </w:rPr>
        <w:t>Washington, D.C. 20549</w:t>
      </w:r>
    </w:p>
    <w:tbl>
      <w:tblPr>
        <w:tblW w:w="1500" w:type="dxa"/>
        <w:jc w:val="center"/>
        <w:tblCellMar>
          <w:top w:w="15" w:type="dxa"/>
          <w:left w:w="15" w:type="dxa"/>
          <w:bottom w:w="15" w:type="dxa"/>
          <w:right w:w="15" w:type="dxa"/>
        </w:tblCellMar>
        <w:tblLook w:val="04A0" w:firstRow="1" w:lastRow="0" w:firstColumn="1" w:lastColumn="0" w:noHBand="0" w:noVBand="1"/>
      </w:tblPr>
      <w:tblGrid>
        <w:gridCol w:w="36"/>
        <w:gridCol w:w="781"/>
        <w:gridCol w:w="36"/>
        <w:gridCol w:w="36"/>
        <w:gridCol w:w="575"/>
        <w:gridCol w:w="36"/>
      </w:tblGrid>
      <w:tr w:rsidR="00000000">
        <w:trPr>
          <w:divId w:val="1295330567"/>
          <w:jc w:val="center"/>
        </w:trPr>
        <w:tc>
          <w:tcPr>
            <w:tcW w:w="20" w:type="dxa"/>
            <w:vAlign w:val="center"/>
            <w:hideMark/>
          </w:tcPr>
          <w:p w:rsidR="00000000" w:rsidRDefault="00131F06">
            <w:pPr>
              <w:jc w:val="center"/>
              <w:rPr>
                <w:rFonts w:eastAsia="Times New Roman"/>
              </w:rPr>
            </w:pPr>
          </w:p>
        </w:tc>
        <w:tc>
          <w:tcPr>
            <w:tcW w:w="80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6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r>
      <w:tr w:rsidR="00000000">
        <w:trPr>
          <w:divId w:val="1295330567"/>
          <w:trHeight w:val="240"/>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131F06">
            <w:pPr>
              <w:spacing w:after="100"/>
              <w:jc w:val="right"/>
              <w:divId w:val="2070415429"/>
              <w:rPr>
                <w:rFonts w:eastAsia="Times New Roman"/>
              </w:rPr>
            </w:pPr>
            <w:r>
              <w:rPr>
                <w:rFonts w:ascii="Arial" w:eastAsia="Times New Roman" w:hAnsi="Arial" w:cs="Arial"/>
                <w:b/>
                <w:bCs/>
                <w:color w:val="000000"/>
              </w:rPr>
              <w:t>FORM</w:t>
            </w: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131F06">
            <w:pPr>
              <w:spacing w:after="100"/>
              <w:divId w:val="1159223828"/>
              <w:rPr>
                <w:rFonts w:eastAsia="Times New Roman"/>
              </w:rPr>
            </w:pPr>
            <w:r>
              <w:rPr>
                <w:rFonts w:ascii="Arial" w:eastAsia="Times New Roman" w:hAnsi="Arial" w:cs="Arial"/>
                <w:b/>
                <w:bCs/>
                <w:color w:val="000000"/>
              </w:rPr>
              <w:t>10-Q</w:t>
            </w:r>
          </w:p>
        </w:tc>
      </w:tr>
    </w:tbl>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555"/>
        <w:gridCol w:w="36"/>
        <w:gridCol w:w="38"/>
        <w:gridCol w:w="38"/>
        <w:gridCol w:w="38"/>
        <w:gridCol w:w="36"/>
        <w:gridCol w:w="9417"/>
        <w:gridCol w:w="36"/>
      </w:tblGrid>
      <w:tr w:rsidR="00000000">
        <w:trPr>
          <w:jc w:val="center"/>
        </w:trPr>
        <w:tc>
          <w:tcPr>
            <w:tcW w:w="20" w:type="dxa"/>
            <w:vAlign w:val="center"/>
            <w:hideMark/>
          </w:tcPr>
          <w:p w:rsidR="00000000" w:rsidRDefault="00131F06">
            <w:pPr>
              <w:jc w:val="center"/>
              <w:rPr>
                <w:rFonts w:eastAsia="Times New Roman"/>
              </w:rPr>
            </w:pPr>
          </w:p>
        </w:tc>
        <w:tc>
          <w:tcPr>
            <w:tcW w:w="56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35"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9515"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r>
      <w:tr w:rsidR="00000000">
        <w:trPr>
          <w:trHeight w:val="480"/>
          <w:jc w:val="center"/>
        </w:trPr>
        <w:tc>
          <w:tcPr>
            <w:tcW w:w="0" w:type="auto"/>
            <w:gridSpan w:val="3"/>
            <w:tcMar>
              <w:top w:w="30" w:type="dxa"/>
              <w:left w:w="20" w:type="dxa"/>
              <w:bottom w:w="30" w:type="dxa"/>
              <w:right w:w="20" w:type="dxa"/>
            </w:tcMar>
            <w:hideMark/>
          </w:tcPr>
          <w:p w:rsidR="00000000" w:rsidRDefault="00131F06">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131F06">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sz w:val="20"/>
                <w:szCs w:val="20"/>
              </w:rPr>
              <w:t>QUARTERLY REPORT PURSUANT TO SECTION 13 OR 15(d) OF THE</w:t>
            </w:r>
          </w:p>
          <w:p w:rsidR="00000000" w:rsidRDefault="00131F06">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131F06">
      <w:pPr>
        <w:jc w:val="center"/>
        <w:rPr>
          <w:rFonts w:eastAsia="Times New Roman"/>
        </w:rPr>
      </w:pPr>
      <w:r>
        <w:rPr>
          <w:rFonts w:ascii="Arial" w:eastAsia="Times New Roman" w:hAnsi="Arial" w:cs="Arial"/>
          <w:b/>
          <w:bCs/>
          <w:color w:val="000000"/>
          <w:sz w:val="20"/>
          <w:szCs w:val="20"/>
        </w:rPr>
        <w:t>For the quarterly period ended September 30, 2022</w:t>
      </w:r>
      <w:r>
        <w:rPr>
          <w:rFonts w:ascii="Arial" w:eastAsia="Times New Roman" w:hAnsi="Arial" w:cs="Arial"/>
          <w:color w:val="000000"/>
          <w:sz w:val="20"/>
          <w:szCs w:val="20"/>
        </w:rPr>
        <w:t xml:space="preserve"> </w:t>
      </w:r>
    </w:p>
    <w:p w:rsidR="00000000" w:rsidRDefault="00131F06">
      <w:pPr>
        <w:jc w:val="center"/>
        <w:divId w:val="943267553"/>
        <w:rPr>
          <w:rFonts w:eastAsia="Times New Roman"/>
        </w:rPr>
      </w:pPr>
      <w:r>
        <w:rPr>
          <w:rFonts w:ascii="Arial" w:eastAsia="Times New Roman" w:hAnsi="Arial" w:cs="Arial"/>
          <w:b/>
          <w:bCs/>
          <w:color w:val="000000"/>
          <w:sz w:val="20"/>
          <w:szCs w:val="20"/>
        </w:rPr>
        <w:t>OR</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540"/>
        <w:gridCol w:w="36"/>
        <w:gridCol w:w="38"/>
        <w:gridCol w:w="38"/>
        <w:gridCol w:w="38"/>
        <w:gridCol w:w="36"/>
        <w:gridCol w:w="9447"/>
        <w:gridCol w:w="36"/>
      </w:tblGrid>
      <w:tr w:rsidR="00000000">
        <w:trPr>
          <w:divId w:val="962929193"/>
          <w:jc w:val="center"/>
        </w:trPr>
        <w:tc>
          <w:tcPr>
            <w:tcW w:w="20" w:type="dxa"/>
            <w:vAlign w:val="center"/>
            <w:hideMark/>
          </w:tcPr>
          <w:p w:rsidR="00000000" w:rsidRDefault="00131F06">
            <w:pPr>
              <w:jc w:val="center"/>
              <w:rPr>
                <w:rFonts w:eastAsia="Times New Roman"/>
              </w:rPr>
            </w:pPr>
          </w:p>
        </w:tc>
        <w:tc>
          <w:tcPr>
            <w:tcW w:w="545"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35"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9545"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r>
      <w:tr w:rsidR="00000000">
        <w:trPr>
          <w:divId w:val="962929193"/>
          <w:trHeight w:val="480"/>
          <w:jc w:val="center"/>
        </w:trPr>
        <w:tc>
          <w:tcPr>
            <w:tcW w:w="0" w:type="auto"/>
            <w:gridSpan w:val="3"/>
            <w:tcMar>
              <w:top w:w="30" w:type="dxa"/>
              <w:left w:w="20" w:type="dxa"/>
              <w:bottom w:w="30" w:type="dxa"/>
              <w:right w:w="20" w:type="dxa"/>
            </w:tcMar>
            <w:hideMark/>
          </w:tcPr>
          <w:p w:rsidR="00000000" w:rsidRDefault="00131F06">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131F06">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sz w:val="20"/>
                <w:szCs w:val="20"/>
              </w:rPr>
              <w:t>TRANSITION REPORT PURSUANT TO SECTION 13 OR 15(d) OF THE</w:t>
            </w:r>
          </w:p>
          <w:p w:rsidR="00000000" w:rsidRDefault="00131F06">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131F06">
      <w:pPr>
        <w:jc w:val="center"/>
        <w:rPr>
          <w:rFonts w:eastAsia="Times New Roman"/>
        </w:rPr>
      </w:pPr>
      <w:r>
        <w:rPr>
          <w:rFonts w:ascii="Arial" w:eastAsia="Times New Roman" w:hAnsi="Arial" w:cs="Arial"/>
          <w:b/>
          <w:bCs/>
          <w:color w:val="000000"/>
          <w:sz w:val="20"/>
          <w:szCs w:val="20"/>
        </w:rPr>
        <w:t>For the transition period from            to           </w:t>
      </w:r>
    </w:p>
    <w:p w:rsidR="00000000" w:rsidRDefault="00131F06">
      <w:pPr>
        <w:jc w:val="center"/>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color w:val="000000"/>
          <w:sz w:val="20"/>
          <w:szCs w:val="20"/>
        </w:rPr>
        <w:t>1-10934</w:t>
      </w:r>
      <w:r>
        <w:rPr>
          <w:rFonts w:ascii="Arial" w:eastAsia="Times New Roman" w:hAnsi="Arial" w:cs="Arial"/>
          <w:b/>
          <w:bCs/>
          <w:color w:val="000000"/>
          <w:sz w:val="20"/>
          <w:szCs w:val="20"/>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3347"/>
        <w:gridCol w:w="36"/>
        <w:gridCol w:w="36"/>
        <w:gridCol w:w="3351"/>
        <w:gridCol w:w="36"/>
        <w:gridCol w:w="36"/>
        <w:gridCol w:w="3346"/>
        <w:gridCol w:w="36"/>
      </w:tblGrid>
      <w:tr w:rsidR="00000000">
        <w:trPr>
          <w:divId w:val="1599675489"/>
          <w:jc w:val="center"/>
        </w:trPr>
        <w:tc>
          <w:tcPr>
            <w:tcW w:w="20" w:type="dxa"/>
            <w:vAlign w:val="center"/>
            <w:hideMark/>
          </w:tcPr>
          <w:p w:rsidR="00000000" w:rsidRDefault="00131F06">
            <w:pPr>
              <w:jc w:val="center"/>
              <w:rPr>
                <w:rFonts w:eastAsia="Times New Roman"/>
              </w:rPr>
            </w:pPr>
          </w:p>
        </w:tc>
        <w:tc>
          <w:tcPr>
            <w:tcW w:w="338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338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338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r>
      <w:tr w:rsidR="00000000">
        <w:trPr>
          <w:divId w:val="1599675489"/>
          <w:trHeight w:val="880"/>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31F06">
            <w:pPr>
              <w:spacing w:after="10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r>
      <w:tr w:rsidR="00000000">
        <w:trPr>
          <w:divId w:val="1599675489"/>
          <w:trHeight w:val="300"/>
          <w:jc w:val="center"/>
        </w:trPr>
        <w:tc>
          <w:tcPr>
            <w:tcW w:w="0" w:type="auto"/>
            <w:gridSpan w:val="9"/>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rPr>
              <w:t>ENBRIDGE INC.</w:t>
            </w:r>
          </w:p>
        </w:tc>
      </w:tr>
      <w:tr w:rsidR="00000000">
        <w:trPr>
          <w:divId w:val="1599675489"/>
          <w:trHeight w:val="240"/>
          <w:jc w:val="center"/>
        </w:trPr>
        <w:tc>
          <w:tcPr>
            <w:tcW w:w="0" w:type="auto"/>
            <w:gridSpan w:val="9"/>
            <w:tcMar>
              <w:top w:w="30" w:type="dxa"/>
              <w:left w:w="20" w:type="dxa"/>
              <w:bottom w:w="30" w:type="dxa"/>
              <w:right w:w="20" w:type="dxa"/>
            </w:tcMar>
            <w:vAlign w:val="center"/>
            <w:hideMark/>
          </w:tcPr>
          <w:p w:rsidR="00000000" w:rsidRDefault="00131F06">
            <w:pPr>
              <w:spacing w:after="100"/>
              <w:ind w:firstLine="45"/>
              <w:jc w:val="center"/>
              <w:rPr>
                <w:rFonts w:eastAsia="Times New Roman"/>
              </w:rPr>
            </w:pPr>
            <w:r>
              <w:rPr>
                <w:rFonts w:ascii="Arial" w:eastAsia="Times New Roman" w:hAnsi="Arial" w:cs="Arial"/>
                <w:color w:val="000000"/>
                <w:sz w:val="16"/>
                <w:szCs w:val="16"/>
              </w:rPr>
              <w:t>(Exact Name of Registrant as Specified in Its Charter)</w:t>
            </w:r>
          </w:p>
        </w:tc>
      </w:tr>
    </w:tbl>
    <w:tbl>
      <w:tblPr>
        <w:tblW w:w="4992" w:type="pct"/>
        <w:tblCellMar>
          <w:top w:w="15" w:type="dxa"/>
          <w:left w:w="15" w:type="dxa"/>
          <w:bottom w:w="15" w:type="dxa"/>
          <w:right w:w="15" w:type="dxa"/>
        </w:tblCellMar>
        <w:tblLook w:val="04A0" w:firstRow="1" w:lastRow="0" w:firstColumn="1" w:lastColumn="0" w:noHBand="0" w:noVBand="1"/>
      </w:tblPr>
      <w:tblGrid>
        <w:gridCol w:w="69"/>
        <w:gridCol w:w="3865"/>
        <w:gridCol w:w="36"/>
        <w:gridCol w:w="69"/>
        <w:gridCol w:w="246"/>
        <w:gridCol w:w="36"/>
        <w:gridCol w:w="70"/>
        <w:gridCol w:w="3866"/>
        <w:gridCol w:w="36"/>
      </w:tblGrid>
      <w:tr w:rsidR="00000000">
        <w:tc>
          <w:tcPr>
            <w:tcW w:w="50" w:type="pct"/>
            <w:vAlign w:val="center"/>
            <w:hideMark/>
          </w:tcPr>
          <w:p w:rsidR="00000000" w:rsidRDefault="00131F06">
            <w:pPr>
              <w:jc w:val="center"/>
              <w:rPr>
                <w:rFonts w:eastAsia="Times New Roman"/>
              </w:rPr>
            </w:pPr>
          </w:p>
        </w:tc>
        <w:tc>
          <w:tcPr>
            <w:tcW w:w="233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15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33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sz w:val="20"/>
                <w:szCs w:val="20"/>
              </w:rPr>
              <w:t>Canada</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sz w:val="20"/>
                <w:szCs w:val="20"/>
              </w:rPr>
              <w:t>98-0377957</w:t>
            </w:r>
          </w:p>
        </w:tc>
      </w:tr>
      <w:tr w:rsidR="00000000">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(State or Other Jurisdiction of</w:t>
            </w:r>
          </w:p>
          <w:p w:rsidR="00000000" w:rsidRDefault="00131F06">
            <w:pPr>
              <w:spacing w:after="100"/>
              <w:jc w:val="center"/>
              <w:rPr>
                <w:rFonts w:eastAsia="Times New Roman"/>
              </w:rPr>
            </w:pPr>
            <w:r>
              <w:rPr>
                <w:rFonts w:ascii="Arial" w:eastAsia="Times New Roman" w:hAnsi="Arial" w:cs="Arial"/>
                <w:color w:val="000000"/>
                <w:sz w:val="20"/>
                <w:szCs w:val="20"/>
              </w:rPr>
              <w:t>Incorporation or Organization)</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(I.R.S. Employer</w:t>
            </w:r>
          </w:p>
          <w:p w:rsidR="00000000" w:rsidRDefault="00131F06">
            <w:pPr>
              <w:spacing w:after="100"/>
              <w:jc w:val="center"/>
              <w:rPr>
                <w:rFonts w:eastAsia="Times New Roman"/>
              </w:rPr>
            </w:pPr>
            <w:r>
              <w:rPr>
                <w:rFonts w:ascii="Arial" w:eastAsia="Times New Roman" w:hAnsi="Arial" w:cs="Arial"/>
                <w:color w:val="000000"/>
                <w:sz w:val="20"/>
                <w:szCs w:val="20"/>
              </w:rPr>
              <w:t>Identification No.)</w:t>
            </w:r>
          </w:p>
        </w:tc>
      </w:tr>
    </w:tbl>
    <w:p w:rsidR="00000000" w:rsidRDefault="00131F06">
      <w:pPr>
        <w:jc w:val="center"/>
        <w:rPr>
          <w:rFonts w:eastAsia="Times New Roman"/>
        </w:rPr>
      </w:pPr>
      <w:r>
        <w:rPr>
          <w:rFonts w:ascii="Arial" w:eastAsia="Times New Roman" w:hAnsi="Arial" w:cs="Arial"/>
          <w:color w:val="000000"/>
          <w:sz w:val="20"/>
          <w:szCs w:val="20"/>
        </w:rPr>
        <w:t>200, 425 - 1st Street S.W.</w:t>
      </w:r>
      <w:r>
        <w:rPr>
          <w:rFonts w:ascii="Arial" w:eastAsia="Times New Roman" w:hAnsi="Arial" w:cs="Arial"/>
          <w:b/>
          <w:bCs/>
          <w:color w:val="000000"/>
          <w:sz w:val="20"/>
          <w:szCs w:val="20"/>
        </w:rPr>
        <w:t xml:space="preserve"> </w:t>
      </w:r>
    </w:p>
    <w:p w:rsidR="00000000" w:rsidRDefault="00131F06">
      <w:pPr>
        <w:jc w:val="center"/>
        <w:rPr>
          <w:rFonts w:eastAsia="Times New Roman"/>
        </w:rPr>
      </w:pPr>
      <w:r>
        <w:rPr>
          <w:rFonts w:ascii="Arial" w:eastAsia="Times New Roman" w:hAnsi="Arial" w:cs="Arial"/>
          <w:color w:val="000000"/>
          <w:sz w:val="20"/>
          <w:szCs w:val="20"/>
        </w:rPr>
        <w:t>Calgary</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Alberta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Canada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T2P 3L8</w:t>
      </w:r>
      <w:r>
        <w:rPr>
          <w:rFonts w:ascii="Arial" w:eastAsia="Times New Roman" w:hAnsi="Arial" w:cs="Arial"/>
          <w:b/>
          <w:bCs/>
          <w:color w:val="000000"/>
          <w:sz w:val="20"/>
          <w:szCs w:val="20"/>
        </w:rPr>
        <w:t xml:space="preserve"> </w:t>
      </w:r>
    </w:p>
    <w:p w:rsidR="00000000" w:rsidRDefault="00131F06">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131F06">
      <w:pPr>
        <w:ind w:firstLine="45"/>
        <w:jc w:val="center"/>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403</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231-3900</w:t>
      </w:r>
      <w:r>
        <w:rPr>
          <w:rFonts w:ascii="Arial" w:eastAsia="Times New Roman" w:hAnsi="Arial" w:cs="Arial"/>
          <w:b/>
          <w:bCs/>
          <w:color w:val="000000"/>
          <w:sz w:val="20"/>
          <w:szCs w:val="20"/>
        </w:rPr>
        <w:t xml:space="preserve"> </w:t>
      </w:r>
    </w:p>
    <w:p w:rsidR="00000000" w:rsidRDefault="00131F06">
      <w:pPr>
        <w:ind w:firstLine="45"/>
        <w:jc w:val="center"/>
        <w:rPr>
          <w:rFonts w:eastAsia="Times New Roman"/>
        </w:rPr>
      </w:pPr>
      <w:r>
        <w:rPr>
          <w:rFonts w:ascii="Arial" w:eastAsia="Times New Roman" w:hAnsi="Arial" w:cs="Arial"/>
          <w:color w:val="000000"/>
          <w:sz w:val="16"/>
          <w:szCs w:val="16"/>
        </w:rPr>
        <w:t>(Registrant’s Telephone Number, Including Area Code)</w:t>
      </w:r>
    </w:p>
    <w:p w:rsidR="00000000" w:rsidRDefault="00131F06">
      <w:pPr>
        <w:jc w:val="center"/>
        <w:rPr>
          <w:rFonts w:eastAsia="Times New Roman"/>
        </w:rPr>
      </w:pPr>
      <w:r>
        <w:rPr>
          <w:rFonts w:ascii="Arial" w:eastAsia="Times New Roman" w:hAnsi="Arial" w:cs="Arial"/>
          <w:color w:val="000000"/>
          <w:sz w:val="12"/>
          <w:szCs w:val="12"/>
        </w:rPr>
        <w:t>_______________________________</w:t>
      </w:r>
    </w:p>
    <w:p w:rsidR="00000000" w:rsidRDefault="00131F06">
      <w:pPr>
        <w:ind w:firstLine="45"/>
        <w:jc w:val="center"/>
        <w:rPr>
          <w:rFonts w:eastAsia="Times New Roman"/>
        </w:rPr>
      </w:pPr>
      <w:r>
        <w:rPr>
          <w:rFonts w:ascii="Arial" w:eastAsia="Times New Roman" w:hAnsi="Arial" w:cs="Arial"/>
          <w:color w:val="000000"/>
          <w:sz w:val="18"/>
          <w:szCs w:val="18"/>
        </w:rPr>
        <w:t>Securities registered pursuant to Section 12(b) of the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57"/>
        <w:gridCol w:w="2363"/>
        <w:gridCol w:w="38"/>
        <w:gridCol w:w="36"/>
        <w:gridCol w:w="36"/>
        <w:gridCol w:w="36"/>
        <w:gridCol w:w="42"/>
        <w:gridCol w:w="1875"/>
        <w:gridCol w:w="36"/>
        <w:gridCol w:w="36"/>
        <w:gridCol w:w="36"/>
        <w:gridCol w:w="36"/>
        <w:gridCol w:w="41"/>
        <w:gridCol w:w="3541"/>
        <w:gridCol w:w="36"/>
      </w:tblGrid>
      <w:tr w:rsidR="00000000">
        <w:trPr>
          <w:jc w:val="center"/>
        </w:trPr>
        <w:tc>
          <w:tcPr>
            <w:tcW w:w="50" w:type="pct"/>
            <w:vAlign w:val="center"/>
            <w:hideMark/>
          </w:tcPr>
          <w:p w:rsidR="00000000" w:rsidRDefault="00131F06">
            <w:pPr>
              <w:ind w:firstLine="45"/>
              <w:jc w:val="center"/>
              <w:rPr>
                <w:rFonts w:eastAsia="Times New Roman"/>
              </w:rPr>
            </w:pPr>
          </w:p>
        </w:tc>
        <w:tc>
          <w:tcPr>
            <w:tcW w:w="144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2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115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2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1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sz w:val="20"/>
                <w:szCs w:val="20"/>
                <w:u w:val="single"/>
              </w:rPr>
              <w:t>Title of each class</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sz w:val="20"/>
                <w:szCs w:val="20"/>
                <w:u w:val="single"/>
              </w:rPr>
              <w:t>Name of each exchange on which registered</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Common Shares</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ENB</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New York Stock Exchange</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6.375% Fixed-to-Floating Rate Subordinated Notes Series 2018-B due 2078</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ENBA</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New York Stock Exchange</w:t>
            </w:r>
          </w:p>
        </w:tc>
      </w:tr>
    </w:tbl>
    <w:p w:rsidR="00000000" w:rsidRDefault="00131F06">
      <w:pPr>
        <w:ind w:firstLine="45"/>
        <w:jc w:val="center"/>
        <w:rPr>
          <w:rFonts w:eastAsia="Times New Roman"/>
        </w:rPr>
      </w:pPr>
      <w:r>
        <w:rPr>
          <w:rFonts w:ascii="Arial" w:eastAsia="Times New Roman" w:hAnsi="Arial" w:cs="Arial"/>
          <w:color w:val="000000"/>
          <w:sz w:val="18"/>
          <w:szCs w:val="18"/>
        </w:rPr>
        <w:t xml:space="preserve">Securities registered pursuant to Section 12(g) of the Act: </w:t>
      </w:r>
      <w:r>
        <w:rPr>
          <w:rFonts w:ascii="Arial" w:eastAsia="Times New Roman" w:hAnsi="Arial" w:cs="Arial"/>
          <w:b/>
          <w:bCs/>
          <w:color w:val="000000"/>
          <w:sz w:val="18"/>
          <w:szCs w:val="18"/>
        </w:rPr>
        <w:t>None</w:t>
      </w:r>
    </w:p>
    <w:p w:rsidR="00000000" w:rsidRDefault="00131F06">
      <w:pPr>
        <w:jc w:val="both"/>
        <w:divId w:val="1127159791"/>
        <w:rPr>
          <w:rFonts w:eastAsia="Times New Roman"/>
        </w:rPr>
      </w:pPr>
      <w:r>
        <w:rPr>
          <w:rFonts w:ascii="Arial" w:eastAsia="Times New Roman" w:hAnsi="Arial" w:cs="Arial"/>
          <w:color w:val="000000"/>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Arial" w:eastAsia="Times New Roman" w:hAnsi="Arial" w:cs="Arial"/>
          <w:color w:val="000000"/>
          <w:sz w:val="16"/>
          <w:szCs w:val="16"/>
        </w:rPr>
        <w:t>such reports), and (2) has been subject to such filing requirements for the past 90 days.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131F06">
      <w:pPr>
        <w:jc w:val="both"/>
        <w:divId w:val="969284478"/>
        <w:rPr>
          <w:rFonts w:eastAsia="Times New Roman"/>
        </w:rPr>
      </w:pPr>
      <w:r>
        <w:rPr>
          <w:rFonts w:ascii="Arial" w:eastAsia="Times New Roman" w:hAnsi="Arial" w:cs="Arial"/>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eastAsia="Times New Roman" w:hAnsi="Arial" w:cs="Arial"/>
          <w:color w:val="000000"/>
          <w:sz w:val="16"/>
          <w:szCs w:val="16"/>
        </w:rPr>
        <w:t>t the registrant was required to submit such files).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131F06">
      <w:pPr>
        <w:jc w:val="both"/>
        <w:rPr>
          <w:rFonts w:eastAsia="Times New Roman"/>
        </w:rPr>
      </w:pPr>
      <w:r>
        <w:rPr>
          <w:rFonts w:ascii="Arial" w:eastAsia="Times New Roman" w:hAnsi="Arial" w:cs="Arial"/>
          <w:color w:val="000000"/>
          <w:sz w:val="16"/>
          <w:szCs w:val="16"/>
        </w:rPr>
        <w:t>Indicate by check mark whether the registrant is a large accelerated filer, an accelerated filer, a non-accelerated filer, a smaller reporting company, or an emerging growth company. See the d</w:t>
      </w:r>
      <w:r>
        <w:rPr>
          <w:rFonts w:ascii="Arial" w:eastAsia="Times New Roman" w:hAnsi="Arial" w:cs="Arial"/>
          <w:color w:val="000000"/>
          <w:sz w:val="16"/>
          <w:szCs w:val="16"/>
        </w:rPr>
        <w:t>efinitions of “large accelerated filer,” “accelerated filer,” “smaller reporting company,” and “emerging growth company” in Rule 12b-2 of the Exchange Act.</w:t>
      </w:r>
    </w:p>
    <w:tbl>
      <w:tblPr>
        <w:tblW w:w="10260" w:type="dxa"/>
        <w:tblCellMar>
          <w:top w:w="15" w:type="dxa"/>
          <w:left w:w="15" w:type="dxa"/>
          <w:bottom w:w="15" w:type="dxa"/>
          <w:right w:w="15" w:type="dxa"/>
        </w:tblCellMar>
        <w:tblLook w:val="04A0" w:firstRow="1" w:lastRow="0" w:firstColumn="1" w:lastColumn="0" w:noHBand="0" w:noVBand="1"/>
      </w:tblPr>
      <w:tblGrid>
        <w:gridCol w:w="36"/>
        <w:gridCol w:w="1975"/>
        <w:gridCol w:w="36"/>
        <w:gridCol w:w="36"/>
        <w:gridCol w:w="303"/>
        <w:gridCol w:w="36"/>
        <w:gridCol w:w="36"/>
        <w:gridCol w:w="5387"/>
        <w:gridCol w:w="36"/>
        <w:gridCol w:w="36"/>
        <w:gridCol w:w="1977"/>
        <w:gridCol w:w="36"/>
        <w:gridCol w:w="36"/>
        <w:gridCol w:w="258"/>
        <w:gridCol w:w="36"/>
      </w:tblGrid>
      <w:tr w:rsidR="00000000">
        <w:tc>
          <w:tcPr>
            <w:tcW w:w="20" w:type="dxa"/>
            <w:vAlign w:val="center"/>
            <w:hideMark/>
          </w:tcPr>
          <w:p w:rsidR="00000000" w:rsidRDefault="00131F06">
            <w:pPr>
              <w:jc w:val="both"/>
              <w:rPr>
                <w:rFonts w:eastAsia="Times New Roman"/>
              </w:rPr>
            </w:pPr>
          </w:p>
        </w:tc>
        <w:tc>
          <w:tcPr>
            <w:tcW w:w="200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305"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5495"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0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c>
          <w:tcPr>
            <w:tcW w:w="260" w:type="dxa"/>
            <w:vAlign w:val="center"/>
            <w:hideMark/>
          </w:tcPr>
          <w:p w:rsidR="00000000" w:rsidRDefault="00131F06">
            <w:pPr>
              <w:spacing w:after="100"/>
              <w:rPr>
                <w:rFonts w:eastAsia="Times New Roman"/>
                <w:sz w:val="20"/>
                <w:szCs w:val="20"/>
              </w:rPr>
            </w:pPr>
          </w:p>
        </w:tc>
        <w:tc>
          <w:tcPr>
            <w:tcW w:w="20" w:type="dxa"/>
            <w:vAlign w:val="center"/>
            <w:hideMark/>
          </w:tcPr>
          <w:p w:rsidR="00000000" w:rsidRDefault="00131F06">
            <w:pPr>
              <w:spacing w:after="100"/>
              <w:rPr>
                <w:rFonts w:eastAsia="Times New Roman"/>
                <w:sz w:val="20"/>
                <w:szCs w:val="20"/>
              </w:rPr>
            </w:pPr>
          </w:p>
        </w:tc>
      </w:tr>
      <w:tr w:rsidR="00000000">
        <w:trPr>
          <w:trHeight w:val="240"/>
        </w:trPr>
        <w:tc>
          <w:tcPr>
            <w:tcW w:w="0" w:type="auto"/>
            <w:gridSpan w:val="3"/>
            <w:tcMar>
              <w:top w:w="30" w:type="dxa"/>
              <w:left w:w="20" w:type="dxa"/>
              <w:bottom w:w="30" w:type="dxa"/>
              <w:right w:w="20" w:type="dxa"/>
            </w:tcMar>
            <w:vAlign w:val="bottom"/>
            <w:hideMark/>
          </w:tcPr>
          <w:p w:rsidR="00000000" w:rsidRDefault="00131F06">
            <w:pPr>
              <w:spacing w:after="100"/>
              <w:divId w:val="907496563"/>
              <w:rPr>
                <w:rFonts w:eastAsia="Times New Roman"/>
              </w:rPr>
            </w:pPr>
            <w:r>
              <w:rPr>
                <w:rFonts w:ascii="Arial" w:eastAsia="Times New Roman" w:hAnsi="Arial" w:cs="Arial"/>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131F06">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131F06">
            <w:pPr>
              <w:spacing w:after="100"/>
              <w:divId w:val="142082388"/>
              <w:rPr>
                <w:rFonts w:eastAsia="Times New Roman"/>
              </w:rPr>
            </w:pPr>
            <w:r>
              <w:rPr>
                <w:rFonts w:ascii="Arial" w:eastAsia="Times New Roman" w:hAnsi="Arial" w:cs="Arial"/>
                <w:color w:val="000000"/>
                <w:sz w:val="16"/>
                <w:szCs w:val="16"/>
              </w:rPr>
              <w:lastRenderedPageBreak/>
              <w:t>Non-accelerated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Smaller reporting company </w:t>
            </w:r>
          </w:p>
        </w:tc>
        <w:tc>
          <w:tcPr>
            <w:tcW w:w="0" w:type="auto"/>
            <w:gridSpan w:val="3"/>
            <w:tcMar>
              <w:top w:w="30" w:type="dxa"/>
              <w:left w:w="20" w:type="dxa"/>
              <w:bottom w:w="30" w:type="dxa"/>
              <w:right w:w="20" w:type="dxa"/>
            </w:tcMar>
            <w:hideMark/>
          </w:tcPr>
          <w:p w:rsidR="00000000" w:rsidRDefault="00131F06">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131F06">
            <w:pPr>
              <w:spacing w:after="100"/>
              <w:divId w:val="1895045014"/>
              <w:rPr>
                <w:rFonts w:eastAsia="Times New Roman"/>
              </w:rPr>
            </w:pPr>
            <w:r>
              <w:rPr>
                <w:rFonts w:ascii="Arial" w:eastAsia="Times New Roman" w:hAnsi="Arial" w:cs="Arial"/>
                <w:color w:val="000000"/>
                <w:sz w:val="16"/>
                <w:szCs w:val="16"/>
              </w:rPr>
              <w:t>Emerging growth company</w:t>
            </w:r>
            <w:r>
              <w:rPr>
                <w:rFonts w:ascii="Arial" w:eastAsia="Times New Roman" w:hAnsi="Arial" w:cs="Arial"/>
                <w:color w:val="000000"/>
                <w:sz w:val="18"/>
                <w:szCs w:val="18"/>
              </w:rPr>
              <w:t xml:space="preserve"> </w:t>
            </w:r>
          </w:p>
        </w:tc>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r>
    </w:tbl>
    <w:p w:rsidR="00000000" w:rsidRDefault="00131F06">
      <w:pPr>
        <w:jc w:val="both"/>
        <w:divId w:val="743796257"/>
        <w:rPr>
          <w:rFonts w:eastAsia="Times New Roman"/>
        </w:rPr>
      </w:pPr>
      <w:r>
        <w:rPr>
          <w:rFonts w:ascii="Arial" w:eastAsia="Times New Roman" w:hAnsi="Arial" w:cs="Arial"/>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131F06">
      <w:pPr>
        <w:jc w:val="both"/>
        <w:divId w:val="475991066"/>
        <w:rPr>
          <w:rFonts w:eastAsia="Times New Roman"/>
        </w:rPr>
      </w:pPr>
      <w:r>
        <w:rPr>
          <w:rFonts w:ascii="Arial" w:eastAsia="Times New Roman" w:hAnsi="Arial" w:cs="Arial"/>
          <w:color w:val="000000"/>
          <w:sz w:val="16"/>
          <w:szCs w:val="16"/>
        </w:rPr>
        <w:t>Indicate by check mark whether the registrant is a shell company (as defined in Rule 12b-2 of the Exchange Act). Yes</w:t>
      </w:r>
      <w:r>
        <w:rPr>
          <w:rFonts w:ascii="Arial" w:eastAsia="Times New Roman" w:hAnsi="Arial" w:cs="Arial"/>
          <w:color w:val="000000"/>
          <w:sz w:val="20"/>
          <w:szCs w:val="20"/>
        </w:rPr>
        <w:t xml:space="preserve">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p>
    <w:p w:rsidR="00000000" w:rsidRDefault="00131F06">
      <w:pPr>
        <w:divId w:val="1406762881"/>
        <w:rPr>
          <w:rFonts w:eastAsia="Times New Roman"/>
        </w:rPr>
      </w:pPr>
      <w:r>
        <w:rPr>
          <w:rFonts w:ascii="Arial" w:eastAsia="Times New Roman" w:hAnsi="Arial" w:cs="Arial"/>
          <w:color w:val="000000"/>
          <w:sz w:val="16"/>
          <w:szCs w:val="16"/>
        </w:rPr>
        <w:t>The registrant had 2,024,819,303 common shares outstanding as at October 28, 2022.</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665352919"/>
        </w:trPr>
        <w:tc>
          <w:tcPr>
            <w:tcW w:w="50" w:type="pct"/>
            <w:vAlign w:val="center"/>
            <w:hideMark/>
          </w:tcPr>
          <w:p w:rsidR="00000000" w:rsidRDefault="00131F06">
            <w:pPr>
              <w:rPr>
                <w:rFonts w:eastAsia="Times New Roman"/>
              </w:rPr>
            </w:pPr>
          </w:p>
        </w:tc>
        <w:tc>
          <w:tcPr>
            <w:tcW w:w="49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665352919"/>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bl>
    <w:p w:rsidR="00000000" w:rsidRDefault="00131F06">
      <w:pPr>
        <w:jc w:val="center"/>
        <w:divId w:val="2045909012"/>
        <w:rPr>
          <w:rFonts w:eastAsia="Times New Roman"/>
        </w:rPr>
      </w:pPr>
      <w:r>
        <w:rPr>
          <w:rFonts w:ascii="Arial" w:eastAsia="Times New Roman" w:hAnsi="Arial" w:cs="Arial"/>
          <w:color w:val="000000"/>
          <w:sz w:val="20"/>
          <w:szCs w:val="20"/>
        </w:rPr>
        <w:t>1</w:t>
      </w:r>
    </w:p>
    <w:p w:rsidR="00000000" w:rsidRDefault="00131F06">
      <w:pPr>
        <w:rPr>
          <w:rFonts w:eastAsia="Times New Roman"/>
        </w:rPr>
      </w:pPr>
      <w:r>
        <w:rPr>
          <w:rFonts w:eastAsia="Times New Roman"/>
        </w:rPr>
        <w:pict>
          <v:rect id="_x0000_i1026" style="width:0;height:1.5pt" o:hralign="center" o:hrstd="t" o:hr="t" fillcolor="#a0a0a0" stroked="f"/>
        </w:pict>
      </w:r>
    </w:p>
    <w:p w:rsidR="00000000" w:rsidRDefault="00131F06">
      <w:pPr>
        <w:jc w:val="center"/>
        <w:divId w:val="1656377171"/>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9"/>
        <w:gridCol w:w="732"/>
        <w:gridCol w:w="36"/>
        <w:gridCol w:w="69"/>
        <w:gridCol w:w="6458"/>
        <w:gridCol w:w="37"/>
        <w:gridCol w:w="69"/>
        <w:gridCol w:w="785"/>
        <w:gridCol w:w="36"/>
      </w:tblGrid>
      <w:tr w:rsidR="00000000">
        <w:trPr>
          <w:jc w:val="center"/>
        </w:trPr>
        <w:tc>
          <w:tcPr>
            <w:tcW w:w="50" w:type="pct"/>
            <w:vAlign w:val="center"/>
            <w:hideMark/>
          </w:tcPr>
          <w:p w:rsidR="00000000" w:rsidRDefault="00131F06">
            <w:pPr>
              <w:jc w:val="center"/>
              <w:rPr>
                <w:rFonts w:eastAsia="Times New Roman"/>
              </w:rPr>
            </w:pPr>
          </w:p>
        </w:tc>
        <w:tc>
          <w:tcPr>
            <w:tcW w:w="45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90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20"/>
                <w:szCs w:val="20"/>
              </w:rPr>
              <w:t>PART I</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PAGE</w:t>
            </w:r>
          </w:p>
        </w:tc>
      </w:tr>
      <w:tr w:rsidR="00000000">
        <w:trPr>
          <w:jc w:val="center"/>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131F06">
            <w:pPr>
              <w:spacing w:after="100"/>
              <w:divId w:val="1166703798"/>
              <w:rPr>
                <w:rFonts w:eastAsia="Times New Roman"/>
              </w:rPr>
            </w:pPr>
            <w:hyperlink w:anchor="i4d856d20c8904aa884957f248fcc7a2c_25" w:history="1">
              <w:r>
                <w:rPr>
                  <w:rStyle w:val="a3"/>
                  <w:rFonts w:ascii="Arial" w:eastAsia="Times New Roman" w:hAnsi="Arial" w:cs="Arial"/>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5" w:history="1">
              <w:r>
                <w:rPr>
                  <w:rStyle w:val="a3"/>
                  <w:rFonts w:ascii="Arial" w:eastAsia="Times New Roman" w:hAnsi="Arial" w:cs="Arial"/>
                  <w:sz w:val="20"/>
                  <w:szCs w:val="20"/>
                </w:rPr>
                <w:t>6</w:t>
              </w:r>
            </w:hyperlink>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131F06">
            <w:pPr>
              <w:spacing w:after="100"/>
              <w:divId w:val="96095728"/>
              <w:rPr>
                <w:rFonts w:eastAsia="Times New Roman"/>
              </w:rPr>
            </w:pPr>
            <w:hyperlink w:anchor="i4d856d20c8904aa884957f248fcc7a2c_127" w:history="1">
              <w:r>
                <w:rPr>
                  <w:rStyle w:val="a3"/>
                  <w:rFonts w:ascii="Arial" w:eastAsia="Times New Roman" w:hAnsi="Arial" w:cs="Arial"/>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127" w:history="1">
              <w:r>
                <w:rPr>
                  <w:rStyle w:val="a3"/>
                  <w:rFonts w:ascii="Arial" w:eastAsia="Times New Roman" w:hAnsi="Arial" w:cs="Arial"/>
                  <w:sz w:val="20"/>
                  <w:szCs w:val="20"/>
                </w:rPr>
                <w:t>38</w:t>
              </w:r>
            </w:hyperlink>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131F06">
            <w:pPr>
              <w:spacing w:after="100"/>
              <w:divId w:val="141195204"/>
              <w:rPr>
                <w:rFonts w:eastAsia="Times New Roman"/>
              </w:rPr>
            </w:pPr>
            <w:hyperlink w:anchor="i4d856d20c8904aa884957f248fcc7a2c_202"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02" w:history="1">
              <w:r>
                <w:rPr>
                  <w:rStyle w:val="a3"/>
                  <w:rFonts w:ascii="Arial" w:eastAsia="Times New Roman" w:hAnsi="Arial" w:cs="Arial"/>
                  <w:sz w:val="20"/>
                  <w:szCs w:val="20"/>
                </w:rPr>
                <w:t>60</w:t>
              </w:r>
            </w:hyperlink>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131F06">
            <w:pPr>
              <w:spacing w:after="100"/>
              <w:divId w:val="1255936708"/>
              <w:rPr>
                <w:rFonts w:eastAsia="Times New Roman"/>
              </w:rPr>
            </w:pPr>
            <w:hyperlink w:anchor="i4d856d20c8904aa884957f248fcc7a2c_205"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05" w:history="1">
              <w:r>
                <w:rPr>
                  <w:rStyle w:val="a3"/>
                  <w:rFonts w:ascii="Arial" w:eastAsia="Times New Roman" w:hAnsi="Arial" w:cs="Arial"/>
                  <w:sz w:val="20"/>
                  <w:szCs w:val="20"/>
                </w:rPr>
                <w:t>60</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131F06">
            <w:pPr>
              <w:spacing w:after="100"/>
              <w:divId w:val="1844272290"/>
              <w:rPr>
                <w:rFonts w:eastAsia="Times New Roman"/>
              </w:rPr>
            </w:pPr>
            <w:hyperlink w:anchor="i4d856d20c8904aa884957f248fcc7a2c_211"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11" w:history="1">
              <w:r>
                <w:rPr>
                  <w:rStyle w:val="a3"/>
                  <w:rFonts w:ascii="Arial" w:eastAsia="Times New Roman" w:hAnsi="Arial" w:cs="Arial"/>
                  <w:sz w:val="20"/>
                  <w:szCs w:val="20"/>
                </w:rPr>
                <w:t>62</w:t>
              </w:r>
            </w:hyperlink>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hideMark/>
          </w:tcPr>
          <w:p w:rsidR="00000000" w:rsidRDefault="00131F06">
            <w:pPr>
              <w:spacing w:after="100"/>
              <w:divId w:val="1233351204"/>
              <w:rPr>
                <w:rFonts w:eastAsia="Times New Roman"/>
              </w:rPr>
            </w:pPr>
            <w:hyperlink w:anchor="i4d856d20c8904aa884957f248fcc7a2c_214"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14" w:history="1">
              <w:r>
                <w:rPr>
                  <w:rStyle w:val="a3"/>
                  <w:rFonts w:ascii="Arial" w:eastAsia="Times New Roman" w:hAnsi="Arial" w:cs="Arial"/>
                  <w:sz w:val="20"/>
                  <w:szCs w:val="20"/>
                </w:rPr>
                <w:t>62</w:t>
              </w:r>
            </w:hyperlink>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131F06">
            <w:pPr>
              <w:spacing w:after="100"/>
              <w:divId w:val="1908882179"/>
              <w:rPr>
                <w:rFonts w:eastAsia="Times New Roman"/>
              </w:rPr>
            </w:pPr>
            <w:hyperlink w:anchor="i4d856d20c8904aa884957f248fcc7a2c_217" w:history="1">
              <w:r>
                <w:rPr>
                  <w:rStyle w:val="a3"/>
                  <w:rFonts w:ascii="Arial" w:eastAsia="Times New Roman" w:hAnsi="Arial" w:cs="Arial"/>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17" w:history="1">
              <w:r>
                <w:rPr>
                  <w:rStyle w:val="a3"/>
                  <w:rFonts w:ascii="Arial" w:eastAsia="Times New Roman" w:hAnsi="Arial" w:cs="Arial"/>
                  <w:sz w:val="20"/>
                  <w:szCs w:val="20"/>
                </w:rPr>
                <w:t>63</w:t>
              </w:r>
            </w:hyperlink>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131F06">
            <w:pPr>
              <w:spacing w:after="100"/>
              <w:divId w:val="1909533363"/>
              <w:rPr>
                <w:rFonts w:eastAsia="Times New Roman"/>
              </w:rPr>
            </w:pPr>
            <w:hyperlink w:anchor="i4d856d20c8904aa884957f248fcc7a2c_220" w:history="1">
              <w:r>
                <w:rPr>
                  <w:rStyle w:val="a3"/>
                  <w:rFonts w:ascii="Arial" w:eastAsia="Times New Roman" w:hAnsi="Arial" w:cs="Arial"/>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20" w:history="1">
              <w:r>
                <w:rPr>
                  <w:rStyle w:val="a3"/>
                  <w:rFonts w:ascii="Arial" w:eastAsia="Times New Roman" w:hAnsi="Arial" w:cs="Arial"/>
                  <w:sz w:val="20"/>
                  <w:szCs w:val="20"/>
                </w:rPr>
                <w:t>63</w:t>
              </w:r>
            </w:hyperlink>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131F06">
            <w:pPr>
              <w:spacing w:after="100"/>
              <w:divId w:val="537090346"/>
              <w:rPr>
                <w:rFonts w:eastAsia="Times New Roman"/>
              </w:rPr>
            </w:pPr>
            <w:hyperlink w:anchor="i4d856d20c8904aa884957f248fcc7a2c_223"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23" w:history="1">
              <w:r>
                <w:rPr>
                  <w:rStyle w:val="a3"/>
                  <w:rFonts w:ascii="Arial" w:eastAsia="Times New Roman" w:hAnsi="Arial" w:cs="Arial"/>
                  <w:sz w:val="20"/>
                  <w:szCs w:val="20"/>
                </w:rPr>
                <w:t>63</w:t>
              </w:r>
            </w:hyperlink>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5.</w:t>
            </w:r>
          </w:p>
        </w:tc>
        <w:tc>
          <w:tcPr>
            <w:tcW w:w="0" w:type="auto"/>
            <w:gridSpan w:val="3"/>
            <w:tcMar>
              <w:top w:w="30" w:type="dxa"/>
              <w:left w:w="20" w:type="dxa"/>
              <w:bottom w:w="30" w:type="dxa"/>
              <w:right w:w="20" w:type="dxa"/>
            </w:tcMar>
            <w:hideMark/>
          </w:tcPr>
          <w:p w:rsidR="00000000" w:rsidRDefault="00131F06">
            <w:pPr>
              <w:spacing w:after="100"/>
              <w:divId w:val="1442872452"/>
              <w:rPr>
                <w:rFonts w:eastAsia="Times New Roman"/>
              </w:rPr>
            </w:pPr>
            <w:hyperlink w:anchor="i4d856d20c8904aa884957f248fcc7a2c_226"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26" w:history="1">
              <w:r>
                <w:rPr>
                  <w:rStyle w:val="a3"/>
                  <w:rFonts w:ascii="Arial" w:eastAsia="Times New Roman" w:hAnsi="Arial" w:cs="Arial"/>
                  <w:sz w:val="20"/>
                  <w:szCs w:val="20"/>
                </w:rPr>
                <w:t>63</w:t>
              </w:r>
            </w:hyperlink>
          </w:p>
        </w:tc>
      </w:tr>
      <w:tr w:rsidR="00000000">
        <w:trPr>
          <w:jc w:val="center"/>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hideMark/>
          </w:tcPr>
          <w:p w:rsidR="00000000" w:rsidRDefault="00131F06">
            <w:pPr>
              <w:spacing w:after="100"/>
              <w:divId w:val="1888836802"/>
              <w:rPr>
                <w:rFonts w:eastAsia="Times New Roman"/>
              </w:rPr>
            </w:pPr>
            <w:hyperlink w:anchor="i4d856d20c8904aa884957f248fcc7a2c_229" w:history="1">
              <w:r>
                <w:rPr>
                  <w:rStyle w:val="a3"/>
                  <w:rFonts w:ascii="Arial" w:eastAsia="Times New Roman" w:hAnsi="Arial" w:cs="Arial"/>
                  <w:sz w:val="20"/>
                  <w:szCs w:val="20"/>
                </w:rPr>
                <w:t>Exhibits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29" w:history="1">
              <w:r>
                <w:rPr>
                  <w:rStyle w:val="a3"/>
                  <w:rFonts w:ascii="Arial" w:eastAsia="Times New Roman" w:hAnsi="Arial" w:cs="Arial"/>
                  <w:sz w:val="20"/>
                  <w:szCs w:val="20"/>
                </w:rPr>
                <w:t>64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131F06">
            <w:pPr>
              <w:spacing w:after="100"/>
              <w:divId w:val="454374461"/>
              <w:rPr>
                <w:rFonts w:eastAsia="Times New Roman"/>
              </w:rPr>
            </w:pPr>
            <w:hyperlink w:anchor="i4d856d20c8904aa884957f248fcc7a2c_232" w:history="1">
              <w:r>
                <w:rPr>
                  <w:rStyle w:val="a3"/>
                  <w:rFonts w:ascii="Arial" w:eastAsia="Times New Roman" w:hAnsi="Arial" w:cs="Arial"/>
                  <w:sz w:val="20"/>
                  <w:szCs w:val="20"/>
                </w:rPr>
                <w:t>Signatures</w:t>
              </w:r>
            </w:hyperlink>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hyperlink w:anchor="i4d856d20c8904aa884957f248fcc7a2c_232" w:history="1">
              <w:r>
                <w:rPr>
                  <w:rStyle w:val="a3"/>
                  <w:rFonts w:ascii="Arial" w:eastAsia="Times New Roman" w:hAnsi="Arial" w:cs="Arial"/>
                  <w:sz w:val="20"/>
                  <w:szCs w:val="20"/>
                </w:rPr>
                <w:t>65</w:t>
              </w:r>
            </w:hyperlink>
          </w:p>
        </w:tc>
      </w:tr>
    </w:tbl>
    <w:p w:rsidR="00000000" w:rsidRDefault="00131F06">
      <w:pPr>
        <w:divId w:val="693651354"/>
        <w:rPr>
          <w:rFonts w:eastAsia="Times New Roman"/>
        </w:rPr>
      </w:pPr>
    </w:p>
    <w:p w:rsidR="00000000" w:rsidRDefault="00131F06">
      <w:pPr>
        <w:jc w:val="center"/>
        <w:divId w:val="26873440"/>
        <w:rPr>
          <w:rFonts w:eastAsia="Times New Roman"/>
        </w:rPr>
      </w:pPr>
      <w:r>
        <w:rPr>
          <w:rFonts w:ascii="Arial" w:eastAsia="Times New Roman" w:hAnsi="Arial" w:cs="Arial"/>
          <w:color w:val="000000"/>
          <w:sz w:val="20"/>
          <w:szCs w:val="20"/>
        </w:rPr>
        <w:t>2</w:t>
      </w:r>
    </w:p>
    <w:p w:rsidR="00000000" w:rsidRDefault="00131F06">
      <w:pPr>
        <w:rPr>
          <w:rFonts w:eastAsia="Times New Roman"/>
        </w:rPr>
      </w:pPr>
      <w:r>
        <w:rPr>
          <w:rFonts w:eastAsia="Times New Roman"/>
        </w:rPr>
        <w:pict>
          <v:rect id="_x0000_i1027" style="width:0;height:1.5pt" o:hralign="center" o:hrstd="t" o:hr="t" fillcolor="#a0a0a0" stroked="f"/>
        </w:pict>
      </w:r>
    </w:p>
    <w:p w:rsidR="00000000" w:rsidRDefault="00131F06">
      <w:pPr>
        <w:jc w:val="center"/>
        <w:divId w:val="1080756819"/>
        <w:rPr>
          <w:rFonts w:eastAsia="Times New Roman"/>
        </w:rPr>
      </w:pPr>
    </w:p>
    <w:p w:rsidR="00000000" w:rsidRDefault="00131F06">
      <w:pPr>
        <w:divId w:val="190849863"/>
        <w:rPr>
          <w:rFonts w:eastAsia="Times New Roman"/>
        </w:rPr>
      </w:pPr>
      <w:r>
        <w:rPr>
          <w:rFonts w:ascii="Arial" w:eastAsia="Times New Roman" w:hAnsi="Arial" w:cs="Arial"/>
          <w:b/>
          <w:bCs/>
          <w:color w:val="000000"/>
          <w:sz w:val="26"/>
          <w:szCs w:val="26"/>
        </w:rPr>
        <w:t>GLOSSARY</w:t>
      </w:r>
    </w:p>
    <w:p w:rsidR="00000000" w:rsidRDefault="00131F06">
      <w:pPr>
        <w:divId w:val="214233580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1955"/>
        <w:gridCol w:w="41"/>
        <w:gridCol w:w="68"/>
        <w:gridCol w:w="6138"/>
        <w:gridCol w:w="36"/>
      </w:tblGrid>
      <w:tr w:rsidR="00000000">
        <w:trPr>
          <w:divId w:val="717701299"/>
        </w:trPr>
        <w:tc>
          <w:tcPr>
            <w:tcW w:w="50" w:type="pct"/>
            <w:vAlign w:val="center"/>
            <w:hideMark/>
          </w:tcPr>
          <w:p w:rsidR="00000000" w:rsidRDefault="00131F06">
            <w:pPr>
              <w:rPr>
                <w:rFonts w:eastAsia="Times New Roman"/>
              </w:rPr>
            </w:pPr>
          </w:p>
        </w:tc>
        <w:tc>
          <w:tcPr>
            <w:tcW w:w="11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70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AOCI</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Accumulated other comprehensive income/(loss)</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ASU</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Accounting Standards Update</w:t>
            </w: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Aux Sable</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Aux Sable Midstream LLC</w:t>
            </w:r>
          </w:p>
        </w:tc>
      </w:tr>
      <w:tr w:rsidR="00000000">
        <w:trPr>
          <w:divId w:val="717701299"/>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CER</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Canada Energy Regulator</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lastRenderedPageBreak/>
              <w:t>DCP</w:t>
            </w:r>
          </w:p>
        </w:tc>
        <w:tc>
          <w:tcPr>
            <w:tcW w:w="0" w:type="auto"/>
            <w:gridSpan w:val="3"/>
            <w:tcMar>
              <w:top w:w="30" w:type="dxa"/>
              <w:left w:w="20" w:type="dxa"/>
              <w:bottom w:w="30" w:type="dxa"/>
              <w:right w:w="20" w:type="dxa"/>
            </w:tcMar>
            <w:vAlign w:val="center"/>
            <w:hideMark/>
          </w:tcPr>
          <w:p w:rsidR="00000000" w:rsidRDefault="00131F06">
            <w:pPr>
              <w:spacing w:after="100"/>
              <w:divId w:val="704018986"/>
              <w:rPr>
                <w:rFonts w:eastAsia="Times New Roman"/>
              </w:rPr>
            </w:pPr>
            <w:r>
              <w:rPr>
                <w:rFonts w:ascii="Arial" w:eastAsia="Times New Roman" w:hAnsi="Arial" w:cs="Arial"/>
                <w:color w:val="000000"/>
                <w:sz w:val="20"/>
                <w:szCs w:val="20"/>
              </w:rPr>
              <w:t>DCP Midstream, LP</w:t>
            </w: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EBITDA</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Energy Partners, L.P.</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Inc.</w:t>
            </w: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Gas</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Gas Inc.</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Exchange Act</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United States Securities Exchange Act of 1934, as amended</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Gray Oak</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Gray Oak Pipeline, LLC</w:t>
            </w:r>
          </w:p>
        </w:tc>
      </w:tr>
      <w:tr w:rsidR="00000000">
        <w:trPr>
          <w:divId w:val="717701299"/>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Guaranteed Enbridge Notes</w:t>
            </w:r>
          </w:p>
        </w:tc>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Guaranteed notes of Enbridge</w:t>
            </w: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L3R</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Line 3 Replacement</w:t>
            </w:r>
          </w:p>
        </w:tc>
      </w:tr>
      <w:tr w:rsidR="00000000">
        <w:trPr>
          <w:divId w:val="717701299"/>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LNG</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Liquified natural gas</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NCIB</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xml:space="preserve">Normal course issuer bid </w:t>
            </w:r>
          </w:p>
        </w:tc>
      </w:tr>
      <w:tr w:rsidR="00000000">
        <w:trPr>
          <w:divId w:val="717701299"/>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NGL</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Natural gas liquids</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OCI</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comprehensive income/(loss)</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OEB</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Ontario Energy Board</w:t>
            </w: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OPEB</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postretirement benefits</w:t>
            </w: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P66</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Phillips 66</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SEP</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Spectra Energy Partners, LP</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Texas Eastern</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Texas Eastern Transmission, LP</w:t>
            </w:r>
          </w:p>
        </w:tc>
      </w:tr>
      <w:tr w:rsidR="00000000">
        <w:trPr>
          <w:divId w:val="717701299"/>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the Partnerships</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Spectra Energy Partners, LP (SEP) and Enbridge Energy Partners, L.P. (EEP)</w:t>
            </w: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US</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United States of America</w:t>
            </w:r>
          </w:p>
        </w:tc>
      </w:tr>
      <w:tr w:rsidR="00000000">
        <w:trPr>
          <w:divId w:val="71770129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US$</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United States dollars</w:t>
            </w:r>
          </w:p>
        </w:tc>
      </w:tr>
      <w:tr w:rsidR="00000000">
        <w:trPr>
          <w:divId w:val="717701299"/>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1770129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bl>
    <w:p w:rsidR="00000000" w:rsidRDefault="00131F06">
      <w:pPr>
        <w:jc w:val="center"/>
        <w:divId w:val="1082601573"/>
        <w:rPr>
          <w:rFonts w:eastAsia="Times New Roman"/>
        </w:rPr>
      </w:pPr>
      <w:r>
        <w:rPr>
          <w:rFonts w:ascii="Arial" w:eastAsia="Times New Roman" w:hAnsi="Arial" w:cs="Arial"/>
          <w:color w:val="000000"/>
          <w:sz w:val="20"/>
          <w:szCs w:val="20"/>
        </w:rPr>
        <w:t>3</w:t>
      </w:r>
    </w:p>
    <w:p w:rsidR="00000000" w:rsidRDefault="00131F06">
      <w:pPr>
        <w:rPr>
          <w:rFonts w:eastAsia="Times New Roman"/>
        </w:rPr>
      </w:pPr>
      <w:r>
        <w:rPr>
          <w:rFonts w:eastAsia="Times New Roman"/>
        </w:rPr>
        <w:pict>
          <v:rect id="_x0000_i1028" style="width:0;height:1.5pt" o:hralign="center" o:hrstd="t" o:hr="t" fillcolor="#a0a0a0" stroked="f"/>
        </w:pict>
      </w:r>
    </w:p>
    <w:p w:rsidR="00000000" w:rsidRDefault="00131F06">
      <w:pPr>
        <w:jc w:val="center"/>
        <w:divId w:val="696859110"/>
        <w:rPr>
          <w:rFonts w:eastAsia="Times New Roman"/>
        </w:rPr>
      </w:pPr>
    </w:p>
    <w:p w:rsidR="00000000" w:rsidRDefault="00131F06">
      <w:pPr>
        <w:divId w:val="1257861632"/>
        <w:rPr>
          <w:rFonts w:eastAsia="Times New Roman"/>
        </w:rPr>
      </w:pPr>
      <w:r>
        <w:rPr>
          <w:rFonts w:ascii="Arial" w:eastAsia="Times New Roman" w:hAnsi="Arial" w:cs="Arial"/>
          <w:b/>
          <w:bCs/>
          <w:color w:val="000000"/>
          <w:sz w:val="26"/>
          <w:szCs w:val="26"/>
        </w:rPr>
        <w:t>CONVENTIONS</w:t>
      </w:r>
    </w:p>
    <w:p w:rsidR="00000000" w:rsidRDefault="00131F06">
      <w:pPr>
        <w:divId w:val="430978022"/>
        <w:rPr>
          <w:rFonts w:eastAsia="Times New Roman"/>
        </w:rPr>
      </w:pPr>
    </w:p>
    <w:p w:rsidR="00000000" w:rsidRDefault="00131F06">
      <w:pPr>
        <w:divId w:val="229779943"/>
        <w:rPr>
          <w:rFonts w:eastAsia="Times New Roman"/>
        </w:rPr>
      </w:pPr>
      <w:r>
        <w:rPr>
          <w:rFonts w:ascii="Arial" w:eastAsia="Times New Roman" w:hAnsi="Arial" w:cs="Arial"/>
          <w:color w:val="000000"/>
          <w:sz w:val="20"/>
          <w:szCs w:val="20"/>
        </w:rPr>
        <w:t xml:space="preserve">The terms "we", "our", "us" and "Enbridge" as used in this report refer collectively to Enbridge Inc. and its subsidiaries unless the context suggests otherwise. These terms are used for convenience only </w:t>
      </w:r>
      <w:r>
        <w:rPr>
          <w:rFonts w:ascii="Arial" w:eastAsia="Times New Roman" w:hAnsi="Arial" w:cs="Arial"/>
          <w:color w:val="000000"/>
          <w:sz w:val="20"/>
          <w:szCs w:val="20"/>
        </w:rPr>
        <w:t>and are not intended as a precise description of any separate legal entity within Enbridge.</w:t>
      </w:r>
    </w:p>
    <w:p w:rsidR="00000000" w:rsidRDefault="00131F06">
      <w:pPr>
        <w:divId w:val="467089355"/>
        <w:rPr>
          <w:rFonts w:eastAsia="Times New Roman"/>
        </w:rPr>
      </w:pPr>
    </w:p>
    <w:p w:rsidR="00000000" w:rsidRDefault="00131F06">
      <w:pPr>
        <w:divId w:val="1972859292"/>
        <w:rPr>
          <w:rFonts w:eastAsia="Times New Roman"/>
        </w:rPr>
      </w:pPr>
      <w:r>
        <w:rPr>
          <w:rFonts w:ascii="Arial" w:eastAsia="Times New Roman" w:hAnsi="Arial" w:cs="Arial"/>
          <w:color w:val="000000"/>
          <w:sz w:val="20"/>
          <w:szCs w:val="20"/>
        </w:rPr>
        <w:t>Unless otherwise specified, all dollar amounts are expressed in Canadian dollars, all references to “dollars”, “$” are to Canadian dollars and all references to “</w:t>
      </w:r>
      <w:r>
        <w:rPr>
          <w:rFonts w:ascii="Arial" w:eastAsia="Times New Roman" w:hAnsi="Arial" w:cs="Arial"/>
          <w:color w:val="000000"/>
          <w:sz w:val="20"/>
          <w:szCs w:val="20"/>
        </w:rPr>
        <w:t>US$” are to United States (US) dollars. All amounts are provided on a before-tax basis, unless otherwise stated.</w:t>
      </w:r>
    </w:p>
    <w:p w:rsidR="00000000" w:rsidRDefault="00131F06">
      <w:pPr>
        <w:divId w:val="212040110"/>
        <w:rPr>
          <w:rFonts w:eastAsia="Times New Roman"/>
        </w:rPr>
      </w:pPr>
    </w:p>
    <w:p w:rsidR="00000000" w:rsidRDefault="00131F06">
      <w:pPr>
        <w:divId w:val="560947768"/>
        <w:rPr>
          <w:rFonts w:eastAsia="Times New Roman"/>
        </w:rPr>
      </w:pPr>
      <w:r>
        <w:rPr>
          <w:rFonts w:ascii="Arial" w:eastAsia="Times New Roman" w:hAnsi="Arial" w:cs="Arial"/>
          <w:b/>
          <w:bCs/>
          <w:color w:val="000000"/>
          <w:sz w:val="26"/>
          <w:szCs w:val="26"/>
        </w:rPr>
        <w:t>FORWARD-LOOKING INFORMATION</w:t>
      </w:r>
    </w:p>
    <w:p w:rsidR="00000000" w:rsidRDefault="00131F06">
      <w:pPr>
        <w:divId w:val="722752211"/>
        <w:rPr>
          <w:rFonts w:eastAsia="Times New Roman"/>
        </w:rPr>
      </w:pPr>
    </w:p>
    <w:p w:rsidR="00000000" w:rsidRDefault="00131F06">
      <w:pPr>
        <w:divId w:val="389962942"/>
        <w:rPr>
          <w:rFonts w:eastAsia="Times New Roman"/>
        </w:rPr>
      </w:pPr>
      <w:r>
        <w:rPr>
          <w:rFonts w:ascii="Arial" w:eastAsia="Times New Roman" w:hAnsi="Arial" w:cs="Arial"/>
          <w:i/>
          <w:iCs/>
          <w:color w:val="000000"/>
          <w:sz w:val="17"/>
          <w:szCs w:val="17"/>
        </w:rPr>
        <w:t>Forward-looking information, or forward-looking statements, have been included in this quarterly report on Form</w:t>
      </w:r>
      <w:r>
        <w:rPr>
          <w:rFonts w:ascii="Arial" w:eastAsia="Times New Roman" w:hAnsi="Arial" w:cs="Arial"/>
          <w:i/>
          <w:iCs/>
          <w:color w:val="000000"/>
          <w:sz w:val="17"/>
          <w:szCs w:val="17"/>
        </w:rPr>
        <w:t xml:space="preserve"> 10-Q to provide information about us and our subsidiaries and affiliates, including management’s assessment of our and our subsidiaries’ future plans and operations. This information may not be appropriate for other purposes. Forward-looking statements ar</w:t>
      </w:r>
      <w:r>
        <w:rPr>
          <w:rFonts w:ascii="Arial" w:eastAsia="Times New Roman" w:hAnsi="Arial" w:cs="Arial"/>
          <w:i/>
          <w:iCs/>
          <w:color w:val="000000"/>
          <w:sz w:val="17"/>
          <w:szCs w:val="17"/>
        </w:rPr>
        <w:t>e typically identified by words such as ‘‘anticipate”, “believe”, “estimate”, “expect”, “forecast”, “intend”, “likely”, “plan”, “project”, “target” and similar words suggesting future outcomes or statements regarding an outlook. Forward-looking information</w:t>
      </w:r>
      <w:r>
        <w:rPr>
          <w:rFonts w:ascii="Arial" w:eastAsia="Times New Roman" w:hAnsi="Arial" w:cs="Arial"/>
          <w:i/>
          <w:iCs/>
          <w:color w:val="000000"/>
          <w:sz w:val="17"/>
          <w:szCs w:val="17"/>
        </w:rPr>
        <w:t xml:space="preserve"> or statements included or incorporated by reference in this document include, but are not limited to, statements with respect to the following: our corporate vision and strategy, including strategic priorities and enablers; expected supply of, demand for </w:t>
      </w:r>
      <w:r>
        <w:rPr>
          <w:rFonts w:ascii="Arial" w:eastAsia="Times New Roman" w:hAnsi="Arial" w:cs="Arial"/>
          <w:i/>
          <w:iCs/>
          <w:color w:val="000000"/>
          <w:sz w:val="17"/>
          <w:szCs w:val="17"/>
        </w:rPr>
        <w:t>and prices of crude oil, natural gas, natural gas liquids (NGL), liquified natural gas (LNG) and renewable energy; energy transition; expected earnings before interest, income taxes and depreciation and amortization (EBITDA); expected earnings/(loss); expe</w:t>
      </w:r>
      <w:r>
        <w:rPr>
          <w:rFonts w:ascii="Arial" w:eastAsia="Times New Roman" w:hAnsi="Arial" w:cs="Arial"/>
          <w:i/>
          <w:iCs/>
          <w:color w:val="000000"/>
          <w:sz w:val="17"/>
          <w:szCs w:val="17"/>
        </w:rPr>
        <w:t>cted future cash flows and distributable cash flow; dividend growth and payout policy; financial strength and flexibility; expectations on sources of liquidity and sufficiency of financial resources; expected strategic priorities and performance of the Liq</w:t>
      </w:r>
      <w:r>
        <w:rPr>
          <w:rFonts w:ascii="Arial" w:eastAsia="Times New Roman" w:hAnsi="Arial" w:cs="Arial"/>
          <w:i/>
          <w:iCs/>
          <w:color w:val="000000"/>
          <w:sz w:val="17"/>
          <w:szCs w:val="17"/>
        </w:rPr>
        <w:t>uids Pipelines, Gas Transmission and Midstream, Gas Distribution and Storage, Renewable Power Generation and Energy Services businesses; expected costs and benefits related to announced projects and projects under construction; expected in-service dates fo</w:t>
      </w:r>
      <w:r>
        <w:rPr>
          <w:rFonts w:ascii="Arial" w:eastAsia="Times New Roman" w:hAnsi="Arial" w:cs="Arial"/>
          <w:i/>
          <w:iCs/>
          <w:color w:val="000000"/>
          <w:sz w:val="17"/>
          <w:szCs w:val="17"/>
        </w:rPr>
        <w:t>r announced projects and projects under construction and for maintenance; expected capital expenditures; expected equity funding requirements for our commercially secured growth program; expected future growth and expansion opportunities; expectations abou</w:t>
      </w:r>
      <w:r>
        <w:rPr>
          <w:rFonts w:ascii="Arial" w:eastAsia="Times New Roman" w:hAnsi="Arial" w:cs="Arial"/>
          <w:i/>
          <w:iCs/>
          <w:color w:val="000000"/>
          <w:sz w:val="17"/>
          <w:szCs w:val="17"/>
        </w:rPr>
        <w:t>t our joint venture partners’ ability to complete and finance projects under construction; expected future actions of regulators and courts; and toll and rate cases discussions and filings, including those relating to Gas Transmission and Midstream and Gas</w:t>
      </w:r>
      <w:r>
        <w:rPr>
          <w:rFonts w:ascii="Arial" w:eastAsia="Times New Roman" w:hAnsi="Arial" w:cs="Arial"/>
          <w:i/>
          <w:iCs/>
          <w:color w:val="000000"/>
          <w:sz w:val="17"/>
          <w:szCs w:val="17"/>
        </w:rPr>
        <w:t xml:space="preserve"> Distribution and Storage.</w:t>
      </w:r>
    </w:p>
    <w:p w:rsidR="00000000" w:rsidRDefault="00131F06">
      <w:pPr>
        <w:divId w:val="189147393"/>
        <w:rPr>
          <w:rFonts w:eastAsia="Times New Roman"/>
        </w:rPr>
      </w:pPr>
    </w:p>
    <w:p w:rsidR="00000000" w:rsidRDefault="00131F06">
      <w:pPr>
        <w:divId w:val="336157152"/>
        <w:rPr>
          <w:rFonts w:eastAsia="Times New Roman"/>
        </w:rPr>
      </w:pPr>
      <w:r>
        <w:rPr>
          <w:rFonts w:ascii="Arial" w:eastAsia="Times New Roman" w:hAnsi="Arial" w:cs="Arial"/>
          <w:i/>
          <w:iCs/>
          <w:color w:val="000000"/>
          <w:sz w:val="17"/>
          <w:szCs w:val="17"/>
        </w:rPr>
        <w:t>Although we believe these forward-looking statements are reasonable based on the information available on the date such statements are made and processes used to prepare the information, such statements are not guarantees of fu</w:t>
      </w:r>
      <w:r>
        <w:rPr>
          <w:rFonts w:ascii="Arial" w:eastAsia="Times New Roman" w:hAnsi="Arial" w:cs="Arial"/>
          <w:i/>
          <w:iCs/>
          <w:color w:val="000000"/>
          <w:sz w:val="17"/>
          <w:szCs w:val="17"/>
        </w:rPr>
        <w:t>ture performance and readers are cautioned against placing undue reliance on forward-looking statements. By their nature, these statements involve a variety of assumptions, known and unknown risks and uncertainties and other factors, which may cause actual</w:t>
      </w:r>
      <w:r>
        <w:rPr>
          <w:rFonts w:ascii="Arial" w:eastAsia="Times New Roman" w:hAnsi="Arial" w:cs="Arial"/>
          <w:i/>
          <w:iCs/>
          <w:color w:val="000000"/>
          <w:sz w:val="17"/>
          <w:szCs w:val="17"/>
        </w:rPr>
        <w:t xml:space="preserve"> results, levels of activity and achievements to differ materially from those expressed or implied by such statements. Material assumptions include assumptions about the following: the expected supply of and demand for crude oil, natural gas, NGL and renew</w:t>
      </w:r>
      <w:r>
        <w:rPr>
          <w:rFonts w:ascii="Arial" w:eastAsia="Times New Roman" w:hAnsi="Arial" w:cs="Arial"/>
          <w:i/>
          <w:iCs/>
          <w:color w:val="000000"/>
          <w:sz w:val="17"/>
          <w:szCs w:val="17"/>
        </w:rPr>
        <w:t>able energy; prices of crude oil, natural gas, NGL and renewable energy; energy transition; anticipated utilization of assets; exchange rates; inflation; interest rates; the COVID-19 pandemic and the duration and impact thereof; availability and price of l</w:t>
      </w:r>
      <w:r>
        <w:rPr>
          <w:rFonts w:ascii="Arial" w:eastAsia="Times New Roman" w:hAnsi="Arial" w:cs="Arial"/>
          <w:i/>
          <w:iCs/>
          <w:color w:val="000000"/>
          <w:sz w:val="17"/>
          <w:szCs w:val="17"/>
        </w:rPr>
        <w:t>abor and construction materials; operational reliability; customer and regulatory approvals; maintenance of support and regulatory approvals for our projects; anticipated in-service dates; weather; the timing and closing of acquisitions and dispositions; t</w:t>
      </w:r>
      <w:r>
        <w:rPr>
          <w:rFonts w:ascii="Arial" w:eastAsia="Times New Roman" w:hAnsi="Arial" w:cs="Arial"/>
          <w:i/>
          <w:iCs/>
          <w:color w:val="000000"/>
          <w:sz w:val="17"/>
          <w:szCs w:val="17"/>
        </w:rPr>
        <w:t>he realization of anticipated benefits and synergies of transactions; governmental legislation; litigation; estimated future dividends and impact of our dividend policy on our future cash flows; our credit ratings; capital project funding; hedging program;</w:t>
      </w:r>
      <w:r>
        <w:rPr>
          <w:rFonts w:ascii="Arial" w:eastAsia="Times New Roman" w:hAnsi="Arial" w:cs="Arial"/>
          <w:i/>
          <w:iCs/>
          <w:color w:val="000000"/>
          <w:sz w:val="17"/>
          <w:szCs w:val="17"/>
        </w:rPr>
        <w:t xml:space="preserve"> expected EBITDA; expected earnings/(loss); expected future cash flows; and expected distributable cash flow. Assumptions regarding the expected supply of and demand for crude oil, natural gas, NGL and renewable energy, and the prices of these commodities,</w:t>
      </w:r>
      <w:r>
        <w:rPr>
          <w:rFonts w:ascii="Arial" w:eastAsia="Times New Roman" w:hAnsi="Arial" w:cs="Arial"/>
          <w:i/>
          <w:iCs/>
          <w:color w:val="000000"/>
          <w:sz w:val="17"/>
          <w:szCs w:val="17"/>
        </w:rPr>
        <w:t xml:space="preserve"> are material to and underlie all forward-looking statements, as they may impact current and future levels of demand for our services. Similarly, exchange rates, inflation and interest rates and the COVID-19 pandemic impact the economies and business envir</w:t>
      </w:r>
      <w:r>
        <w:rPr>
          <w:rFonts w:ascii="Arial" w:eastAsia="Times New Roman" w:hAnsi="Arial" w:cs="Arial"/>
          <w:i/>
          <w:iCs/>
          <w:color w:val="000000"/>
          <w:sz w:val="17"/>
          <w:szCs w:val="17"/>
        </w:rPr>
        <w:t>onments in which we operate and may impact levels of demand for our services and cost of inputs, and are therefore inherent in all forward-looking statements. Due to the interdependencies and correlation of these macroeconomic factors, the impact of any on</w:t>
      </w:r>
      <w:r>
        <w:rPr>
          <w:rFonts w:ascii="Arial" w:eastAsia="Times New Roman" w:hAnsi="Arial" w:cs="Arial"/>
          <w:i/>
          <w:iCs/>
          <w:color w:val="000000"/>
          <w:sz w:val="17"/>
          <w:szCs w:val="17"/>
        </w:rPr>
        <w:t>e assumption on a forward-looking statement cannot be determined with certainty, particularly with respect to expected EBITDA, expected earnings/(loss), expected future cash flows, expected distributable cash flow or estimated future dividends. The most re</w:t>
      </w:r>
      <w:r>
        <w:rPr>
          <w:rFonts w:ascii="Arial" w:eastAsia="Times New Roman" w:hAnsi="Arial" w:cs="Arial"/>
          <w:i/>
          <w:iCs/>
          <w:color w:val="000000"/>
          <w:sz w:val="17"/>
          <w:szCs w:val="17"/>
        </w:rPr>
        <w:t>levant assumptions associated with forward-looking statements regarding announced projects and projects under construction, including estimated completion dates and expected capital expenditures, include the following: the availability and price of labor a</w:t>
      </w:r>
      <w:r>
        <w:rPr>
          <w:rFonts w:ascii="Arial" w:eastAsia="Times New Roman" w:hAnsi="Arial" w:cs="Arial"/>
          <w:i/>
          <w:iCs/>
          <w:color w:val="000000"/>
          <w:sz w:val="17"/>
          <w:szCs w:val="17"/>
        </w:rPr>
        <w:t>nd construction materials; the stability of our supply chain; the effects of inflation and foreign exchange rates on labor and material costs; the effects of interest rates on borrowing costs; the impact of weather and customer, government, court and regul</w:t>
      </w:r>
      <w:r>
        <w:rPr>
          <w:rFonts w:ascii="Arial" w:eastAsia="Times New Roman" w:hAnsi="Arial" w:cs="Arial"/>
          <w:i/>
          <w:iCs/>
          <w:color w:val="000000"/>
          <w:sz w:val="17"/>
          <w:szCs w:val="17"/>
        </w:rPr>
        <w:t>atory approvals on construction and in-service schedules and cost recovery regimes; and the COVID-19 pandemic and the duration and impact thereof.</w:t>
      </w:r>
    </w:p>
    <w:p w:rsidR="00000000" w:rsidRDefault="00131F06">
      <w:pPr>
        <w:divId w:val="2033726701"/>
        <w:rPr>
          <w:rFonts w:eastAsia="Times New Roman"/>
        </w:rPr>
      </w:pPr>
    </w:p>
    <w:p w:rsidR="00000000" w:rsidRDefault="00131F06">
      <w:pPr>
        <w:jc w:val="center"/>
        <w:divId w:val="1975481824"/>
        <w:rPr>
          <w:rFonts w:eastAsia="Times New Roman"/>
        </w:rPr>
      </w:pPr>
      <w:r>
        <w:rPr>
          <w:rFonts w:ascii="Arial" w:eastAsia="Times New Roman" w:hAnsi="Arial" w:cs="Arial"/>
          <w:color w:val="000000"/>
          <w:sz w:val="20"/>
          <w:szCs w:val="20"/>
        </w:rPr>
        <w:t>4</w:t>
      </w:r>
    </w:p>
    <w:p w:rsidR="00000000" w:rsidRDefault="00131F06">
      <w:pPr>
        <w:rPr>
          <w:rFonts w:eastAsia="Times New Roman"/>
        </w:rPr>
      </w:pPr>
      <w:r>
        <w:rPr>
          <w:rFonts w:eastAsia="Times New Roman"/>
        </w:rPr>
        <w:pict>
          <v:rect id="_x0000_i1029" style="width:0;height:1.5pt" o:hralign="center" o:hrstd="t" o:hr="t" fillcolor="#a0a0a0" stroked="f"/>
        </w:pict>
      </w:r>
    </w:p>
    <w:p w:rsidR="00000000" w:rsidRDefault="00131F06">
      <w:pPr>
        <w:jc w:val="center"/>
        <w:divId w:val="1911890326"/>
        <w:rPr>
          <w:rFonts w:eastAsia="Times New Roman"/>
        </w:rPr>
      </w:pPr>
    </w:p>
    <w:p w:rsidR="00000000" w:rsidRDefault="00131F06">
      <w:pPr>
        <w:divId w:val="354695147"/>
        <w:rPr>
          <w:rFonts w:eastAsia="Times New Roman"/>
        </w:rPr>
      </w:pPr>
      <w:r>
        <w:rPr>
          <w:rFonts w:ascii="Arial" w:eastAsia="Times New Roman" w:hAnsi="Arial" w:cs="Arial"/>
          <w:i/>
          <w:iCs/>
          <w:color w:val="000000"/>
          <w:sz w:val="17"/>
          <w:szCs w:val="17"/>
        </w:rPr>
        <w:t>Our forward-looking statements are subject to risks and uncertaint</w:t>
      </w:r>
      <w:r>
        <w:rPr>
          <w:rFonts w:ascii="Arial" w:eastAsia="Times New Roman" w:hAnsi="Arial" w:cs="Arial"/>
          <w:i/>
          <w:iCs/>
          <w:color w:val="000000"/>
          <w:sz w:val="17"/>
          <w:szCs w:val="17"/>
        </w:rPr>
        <w:t>ies pertaining to the successful execution of our strategic priorities; operating performance; legislative and regulatory parameters; litigation; acquisitions, dispositions and other transactions and the realization of anticipated benefits therefrom; divid</w:t>
      </w:r>
      <w:r>
        <w:rPr>
          <w:rFonts w:ascii="Arial" w:eastAsia="Times New Roman" w:hAnsi="Arial" w:cs="Arial"/>
          <w:i/>
          <w:iCs/>
          <w:color w:val="000000"/>
          <w:sz w:val="17"/>
          <w:szCs w:val="17"/>
        </w:rPr>
        <w:t>end policy; project approval and support; renewals of rights-of-way; weather; economic and competitive conditions; public opinion; changes in tax laws and tax rates; exchange rates; inflation; interest rates; commodity prices; political decisions; the supp</w:t>
      </w:r>
      <w:r>
        <w:rPr>
          <w:rFonts w:ascii="Arial" w:eastAsia="Times New Roman" w:hAnsi="Arial" w:cs="Arial"/>
          <w:i/>
          <w:iCs/>
          <w:color w:val="000000"/>
          <w:sz w:val="17"/>
          <w:szCs w:val="17"/>
        </w:rPr>
        <w:t>ly of, demand for and prices of commodities; and the COVID-19 pandemic, including but not limited to those risks and uncertainties discussed in this quarterly report on Form 10-Q and in our other filings with Canadian and US securities regulators. The impa</w:t>
      </w:r>
      <w:r>
        <w:rPr>
          <w:rFonts w:ascii="Arial" w:eastAsia="Times New Roman" w:hAnsi="Arial" w:cs="Arial"/>
          <w:i/>
          <w:iCs/>
          <w:color w:val="000000"/>
          <w:sz w:val="17"/>
          <w:szCs w:val="17"/>
        </w:rPr>
        <w:t>ct of any one risk, uncertainty or factor on a particular forward-looking statement is not determinable with certainty as these are interdependent and our future course of action depends on management’s assessment of all information available at the releva</w:t>
      </w:r>
      <w:r>
        <w:rPr>
          <w:rFonts w:ascii="Arial" w:eastAsia="Times New Roman" w:hAnsi="Arial" w:cs="Arial"/>
          <w:i/>
          <w:iCs/>
          <w:color w:val="000000"/>
          <w:sz w:val="17"/>
          <w:szCs w:val="17"/>
        </w:rPr>
        <w:t xml:space="preserve">nt time. Except to the extent required by applicable law, Enbridge assumes no obligation to publicly update or revise any forward-looking statement made in this quarterly report on Form 10-Q or otherwise, whether as a result of </w:t>
      </w:r>
      <w:r>
        <w:rPr>
          <w:rFonts w:ascii="Arial" w:eastAsia="Times New Roman" w:hAnsi="Arial" w:cs="Arial"/>
          <w:i/>
          <w:iCs/>
          <w:color w:val="000000"/>
          <w:sz w:val="17"/>
          <w:szCs w:val="17"/>
        </w:rPr>
        <w:lastRenderedPageBreak/>
        <w:t>new information, future even</w:t>
      </w:r>
      <w:r>
        <w:rPr>
          <w:rFonts w:ascii="Arial" w:eastAsia="Times New Roman" w:hAnsi="Arial" w:cs="Arial"/>
          <w:i/>
          <w:iCs/>
          <w:color w:val="000000"/>
          <w:sz w:val="17"/>
          <w:szCs w:val="17"/>
        </w:rPr>
        <w:t>ts or otherwise. All forward-looking statements, whether written or oral, attributable to us or persons acting on our behalf, are expressly qualified in their entirety by these cautionary statements.</w:t>
      </w:r>
    </w:p>
    <w:p w:rsidR="00000000" w:rsidRDefault="00131F06">
      <w:pPr>
        <w:divId w:val="1009722432"/>
        <w:rPr>
          <w:rFonts w:eastAsia="Times New Roman"/>
        </w:rPr>
      </w:pPr>
    </w:p>
    <w:p w:rsidR="00000000" w:rsidRDefault="00131F06">
      <w:pPr>
        <w:divId w:val="970288724"/>
        <w:rPr>
          <w:rFonts w:eastAsia="Times New Roman"/>
        </w:rPr>
      </w:pPr>
      <w:r>
        <w:rPr>
          <w:rFonts w:ascii="Arial" w:eastAsia="Times New Roman" w:hAnsi="Arial" w:cs="Arial"/>
          <w:b/>
          <w:bCs/>
          <w:color w:val="000000"/>
          <w:sz w:val="26"/>
          <w:szCs w:val="26"/>
        </w:rPr>
        <w:t>NON-GAAP AND OTHER FINANCIAL MEASURES</w:t>
      </w:r>
    </w:p>
    <w:p w:rsidR="00000000" w:rsidRDefault="00131F06">
      <w:pPr>
        <w:divId w:val="631596749"/>
        <w:rPr>
          <w:rFonts w:eastAsia="Times New Roman"/>
        </w:rPr>
      </w:pPr>
    </w:p>
    <w:p w:rsidR="00000000" w:rsidRDefault="00131F06">
      <w:pPr>
        <w:divId w:val="1846431030"/>
        <w:rPr>
          <w:rFonts w:eastAsia="Times New Roman"/>
        </w:rPr>
      </w:pPr>
      <w:r>
        <w:rPr>
          <w:rFonts w:ascii="Arial" w:eastAsia="Times New Roman" w:hAnsi="Arial" w:cs="Arial"/>
          <w:color w:val="000000"/>
          <w:sz w:val="17"/>
          <w:szCs w:val="17"/>
        </w:rPr>
        <w:t>Part I. Item 2. Management’s Discussion and Analysis of Financial Condition and Results of Operations</w:t>
      </w:r>
      <w:r>
        <w:rPr>
          <w:rFonts w:ascii="Arial" w:eastAsia="Times New Roman" w:hAnsi="Arial" w:cs="Arial"/>
          <w:i/>
          <w:iCs/>
          <w:color w:val="000000"/>
          <w:sz w:val="17"/>
          <w:szCs w:val="17"/>
        </w:rPr>
        <w:t xml:space="preserve"> (MD&amp;A) in this quarterly report on Form 10-Q makes reference to non-GAAP and other financial measures, including EBITDA. EBITDA is defined as earnings bef</w:t>
      </w:r>
      <w:r>
        <w:rPr>
          <w:rFonts w:ascii="Arial" w:eastAsia="Times New Roman" w:hAnsi="Arial" w:cs="Arial"/>
          <w:i/>
          <w:iCs/>
          <w:color w:val="000000"/>
          <w:sz w:val="17"/>
          <w:szCs w:val="17"/>
        </w:rPr>
        <w:t>ore interest, income taxes and depreciation and amortization. Management uses EBITDA to assess performance of Enbridge and to set targets. Management believes the presentation of EBITDA gives useful information to investors as it provides increased transpa</w:t>
      </w:r>
      <w:r>
        <w:rPr>
          <w:rFonts w:ascii="Arial" w:eastAsia="Times New Roman" w:hAnsi="Arial" w:cs="Arial"/>
          <w:i/>
          <w:iCs/>
          <w:color w:val="000000"/>
          <w:sz w:val="17"/>
          <w:szCs w:val="17"/>
        </w:rPr>
        <w:t>rency and insight into the performance of Enbridge.</w:t>
      </w:r>
    </w:p>
    <w:p w:rsidR="00000000" w:rsidRDefault="00131F06">
      <w:pPr>
        <w:divId w:val="840004183"/>
        <w:rPr>
          <w:rFonts w:eastAsia="Times New Roman"/>
        </w:rPr>
      </w:pPr>
    </w:p>
    <w:p w:rsidR="00000000" w:rsidRDefault="00131F06">
      <w:pPr>
        <w:divId w:val="691684725"/>
        <w:rPr>
          <w:rFonts w:eastAsia="Times New Roman"/>
        </w:rPr>
      </w:pPr>
      <w:r>
        <w:rPr>
          <w:rFonts w:ascii="Arial" w:eastAsia="Times New Roman" w:hAnsi="Arial" w:cs="Arial"/>
          <w:i/>
          <w:iCs/>
          <w:color w:val="000000"/>
          <w:sz w:val="17"/>
          <w:szCs w:val="17"/>
        </w:rPr>
        <w:t>The non-GAAP and other financial measures are not measures that have a standardized meaning prescribed by generally accepted accounting principles in the United States of America (US GAAP) and are not U</w:t>
      </w:r>
      <w:r>
        <w:rPr>
          <w:rFonts w:ascii="Arial" w:eastAsia="Times New Roman" w:hAnsi="Arial" w:cs="Arial"/>
          <w:i/>
          <w:iCs/>
          <w:color w:val="000000"/>
          <w:sz w:val="17"/>
          <w:szCs w:val="17"/>
        </w:rPr>
        <w:t>S GAAP measures. Therefore, these measures may not be comparable with similar measures presented by other issuers. A reconciliation of historical non-GAAP and other financial measures to the most directly comparable GAAP measures is set out in this MD&amp;A an</w:t>
      </w:r>
      <w:r>
        <w:rPr>
          <w:rFonts w:ascii="Arial" w:eastAsia="Times New Roman" w:hAnsi="Arial" w:cs="Arial"/>
          <w:i/>
          <w:iCs/>
          <w:color w:val="000000"/>
          <w:sz w:val="17"/>
          <w:szCs w:val="17"/>
        </w:rPr>
        <w:t>d is available on our website. Additional information on non-GAAP and other financial measures may be found on our website, www.sedar.com or www.sec.gov.</w:t>
      </w:r>
    </w:p>
    <w:p w:rsidR="00000000" w:rsidRDefault="00131F06">
      <w:pPr>
        <w:jc w:val="center"/>
        <w:divId w:val="867570457"/>
        <w:rPr>
          <w:rFonts w:eastAsia="Times New Roman"/>
        </w:rPr>
      </w:pPr>
      <w:r>
        <w:rPr>
          <w:rFonts w:ascii="Arial" w:eastAsia="Times New Roman" w:hAnsi="Arial" w:cs="Arial"/>
          <w:color w:val="000000"/>
          <w:sz w:val="20"/>
          <w:szCs w:val="20"/>
        </w:rPr>
        <w:t>5</w:t>
      </w:r>
    </w:p>
    <w:p w:rsidR="00000000" w:rsidRDefault="00131F06">
      <w:pPr>
        <w:rPr>
          <w:rFonts w:eastAsia="Times New Roman"/>
        </w:rPr>
      </w:pPr>
      <w:r>
        <w:rPr>
          <w:rFonts w:eastAsia="Times New Roman"/>
        </w:rPr>
        <w:pict>
          <v:rect id="_x0000_i1030" style="width:0;height:1.5pt" o:hralign="center" o:hrstd="t" o:hr="t" fillcolor="#a0a0a0" stroked="f"/>
        </w:pict>
      </w:r>
    </w:p>
    <w:p w:rsidR="00000000" w:rsidRDefault="00131F06">
      <w:pPr>
        <w:jc w:val="center"/>
        <w:divId w:val="1527523310"/>
        <w:rPr>
          <w:rFonts w:eastAsia="Times New Roman"/>
        </w:rPr>
      </w:pPr>
    </w:p>
    <w:p w:rsidR="00000000" w:rsidRDefault="00131F06">
      <w:pPr>
        <w:jc w:val="center"/>
        <w:rPr>
          <w:rFonts w:eastAsia="Times New Roman"/>
        </w:rPr>
      </w:pPr>
      <w:r>
        <w:rPr>
          <w:rFonts w:ascii="Arial" w:eastAsia="Times New Roman" w:hAnsi="Arial" w:cs="Arial"/>
          <w:b/>
          <w:bCs/>
          <w:color w:val="000000"/>
          <w:sz w:val="30"/>
          <w:szCs w:val="30"/>
        </w:rPr>
        <w:t>PART I - FINANCIAL INFORMATION</w:t>
      </w:r>
    </w:p>
    <w:p w:rsidR="00000000" w:rsidRDefault="00131F06">
      <w:pPr>
        <w:jc w:val="center"/>
        <w:rPr>
          <w:rFonts w:eastAsia="Times New Roman"/>
        </w:rPr>
      </w:pPr>
    </w:p>
    <w:p w:rsidR="00000000" w:rsidRDefault="00131F06">
      <w:pPr>
        <w:divId w:val="1822387059"/>
        <w:rPr>
          <w:rFonts w:eastAsia="Times New Roman"/>
        </w:rPr>
      </w:pPr>
      <w:r>
        <w:rPr>
          <w:rFonts w:ascii="Arial" w:eastAsia="Times New Roman" w:hAnsi="Arial" w:cs="Arial"/>
          <w:b/>
          <w:bCs/>
          <w:color w:val="000000"/>
          <w:sz w:val="28"/>
          <w:szCs w:val="28"/>
        </w:rPr>
        <w:t>ITEM 1. FINANCIAL STATEMENTS</w:t>
      </w:r>
    </w:p>
    <w:p w:rsidR="00000000" w:rsidRDefault="00131F06">
      <w:pPr>
        <w:divId w:val="1093628033"/>
        <w:rPr>
          <w:rFonts w:eastAsia="Times New Roman"/>
        </w:rPr>
      </w:pPr>
    </w:p>
    <w:p w:rsidR="00000000" w:rsidRDefault="00131F06">
      <w:pPr>
        <w:jc w:val="center"/>
        <w:rPr>
          <w:rFonts w:eastAsia="Times New Roman"/>
        </w:rPr>
      </w:pPr>
      <w:r>
        <w:rPr>
          <w:rFonts w:ascii="Arial" w:eastAsia="Times New Roman" w:hAnsi="Arial" w:cs="Arial"/>
          <w:b/>
          <w:bCs/>
          <w:color w:val="000000"/>
          <w:sz w:val="30"/>
          <w:szCs w:val="30"/>
        </w:rPr>
        <w:t>ENBRIDGE INC.</w:t>
      </w:r>
    </w:p>
    <w:p w:rsidR="00000000" w:rsidRDefault="00131F06">
      <w:pPr>
        <w:jc w:val="center"/>
        <w:rPr>
          <w:rFonts w:eastAsia="Times New Roman"/>
        </w:rPr>
      </w:pPr>
      <w:r>
        <w:rPr>
          <w:rFonts w:ascii="Arial" w:eastAsia="Times New Roman" w:hAnsi="Arial" w:cs="Arial"/>
          <w:b/>
          <w:bCs/>
          <w:color w:val="000000"/>
          <w:sz w:val="30"/>
          <w:szCs w:val="30"/>
        </w:rPr>
        <w:t>CONSOLIDATED STATEMENTS OF EARNINGS</w:t>
      </w:r>
    </w:p>
    <w:p w:rsidR="00000000" w:rsidRDefault="00131F06">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40"/>
        <w:gridCol w:w="65"/>
        <w:gridCol w:w="808"/>
        <w:gridCol w:w="37"/>
        <w:gridCol w:w="65"/>
        <w:gridCol w:w="808"/>
        <w:gridCol w:w="36"/>
        <w:gridCol w:w="36"/>
        <w:gridCol w:w="36"/>
        <w:gridCol w:w="36"/>
        <w:gridCol w:w="63"/>
        <w:gridCol w:w="806"/>
        <w:gridCol w:w="36"/>
        <w:gridCol w:w="65"/>
        <w:gridCol w:w="809"/>
        <w:gridCol w:w="36"/>
      </w:tblGrid>
      <w:tr w:rsidR="00000000">
        <w:trPr>
          <w:divId w:val="1451121190"/>
        </w:trPr>
        <w:tc>
          <w:tcPr>
            <w:tcW w:w="50" w:type="pct"/>
            <w:vAlign w:val="center"/>
            <w:hideMark/>
          </w:tcPr>
          <w:p w:rsidR="00000000" w:rsidRDefault="00131F06">
            <w:pPr>
              <w:jc w:val="center"/>
              <w:rPr>
                <w:rFonts w:eastAsia="Times New Roman"/>
              </w:rPr>
            </w:pPr>
          </w:p>
        </w:tc>
        <w:tc>
          <w:tcPr>
            <w:tcW w:w="269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45112119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451121190"/>
        </w:trPr>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145112119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divId w:val="145112119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Operating revenues</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6,415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7,279 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22,880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20,042 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Gas distribution sales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492 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3,698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2,769 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4,463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3,695 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13,307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11,740 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divId w:val="601767648"/>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3)</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11,573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11,466 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39,885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34,551 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Operating expenses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costs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6,300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7,347 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22,772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19,975 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Gas distribution costs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120 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2,242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1,359 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1,667 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5,958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4,710 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944 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3,195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2,805 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451121190"/>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9,795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10,078 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34,167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28,849 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Operating income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1,778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1,388 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5,718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5,702 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lastRenderedPageBreak/>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440 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1,537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1,187 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Impairment of equity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income/(expense)</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Net foreign currency gain/(loss)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(1,023)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(165)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(1,235)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146 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 w:type="dxa"/>
              <w:bottom w:w="30" w:type="dxa"/>
              <w:right w:w="20" w:type="dxa"/>
            </w:tcMar>
            <w:vAlign w:val="center"/>
            <w:hideMark/>
          </w:tcPr>
          <w:p w:rsidR="00000000" w:rsidRDefault="00131F06">
            <w:pPr>
              <w:spacing w:after="100"/>
              <w:divId w:val="989871723"/>
              <w:rPr>
                <w:rFonts w:eastAsia="Times New Roman"/>
              </w:rPr>
            </w:pPr>
            <w:r>
              <w:rPr>
                <w:rFonts w:ascii="Arial" w:eastAsia="Times New Roman" w:hAnsi="Arial" w:cs="Arial"/>
                <w:color w:val="000000"/>
                <w:sz w:val="20"/>
                <w:szCs w:val="20"/>
              </w:rPr>
              <w:t xml:space="preserve">Gain on joint venture merger transaction </w:t>
            </w:r>
            <w:r>
              <w:rPr>
                <w:rFonts w:ascii="Arial" w:eastAsia="Times New Roman" w:hAnsi="Arial" w:cs="Arial"/>
                <w:i/>
                <w:iCs/>
                <w:color w:val="000000"/>
                <w:sz w:val="16"/>
                <w:szCs w:val="16"/>
              </w:rPr>
              <w:t>(Note 6)</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300 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(806)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(648)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(2,316)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(1,923)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Earnings before income taxes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1,701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1,013 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5,091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5,301 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 w:type="dxa"/>
              <w:bottom w:w="30" w:type="dxa"/>
              <w:right w:w="20" w:type="dxa"/>
            </w:tcMar>
            <w:vAlign w:val="center"/>
            <w:hideMark/>
          </w:tcPr>
          <w:p w:rsidR="00000000" w:rsidRDefault="00131F06">
            <w:pPr>
              <w:spacing w:after="100"/>
              <w:divId w:val="910582069"/>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(318)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(199)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(1,044)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(952)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Earnings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1,383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814 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4,047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4,349 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Earnings attributable to 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(34)</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(61)</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(93)</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45112119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Earnings attributable to 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1,362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780 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3,986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4,256 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(98)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(330)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(280)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1,279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682 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3,656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3,976 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5112119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131F06">
            <w:pPr>
              <w:spacing w:after="100"/>
              <w:ind w:hanging="180"/>
              <w:divId w:val="1531187003"/>
              <w:rPr>
                <w:rFonts w:eastAsia="Times New Roman"/>
              </w:rPr>
            </w:pPr>
            <w:r>
              <w:rPr>
                <w:rFonts w:ascii="Arial" w:eastAsia="Times New Roman" w:hAnsi="Arial" w:cs="Arial"/>
                <w:color w:val="000000"/>
                <w:sz w:val="20"/>
                <w:szCs w:val="20"/>
              </w:rPr>
              <w:t xml:space="preserve">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0.63</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0.34 </w:t>
            </w:r>
          </w:p>
        </w:tc>
        <w:tc>
          <w:tcPr>
            <w:tcW w:w="0" w:type="auto"/>
            <w:tcBorders>
              <w:top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1.80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1.97 </w:t>
            </w:r>
          </w:p>
        </w:tc>
        <w:tc>
          <w:tcPr>
            <w:tcW w:w="0" w:type="auto"/>
            <w:tcBorders>
              <w:top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45112119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131F06">
            <w:pPr>
              <w:spacing w:after="100"/>
              <w:ind w:hanging="180"/>
              <w:divId w:val="1220244617"/>
              <w:rPr>
                <w:rFonts w:eastAsia="Times New Roman"/>
              </w:rPr>
            </w:pPr>
            <w:r>
              <w:rPr>
                <w:rFonts w:ascii="Arial" w:eastAsia="Times New Roman" w:hAnsi="Arial" w:cs="Arial"/>
                <w:color w:val="000000"/>
                <w:sz w:val="20"/>
                <w:szCs w:val="20"/>
              </w:rPr>
              <w:t xml:space="preserve">Diluted 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0.63</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0.34 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1.80</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1.96 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divId w:val="325595644"/>
        <w:rPr>
          <w:rFonts w:eastAsia="Times New Roman"/>
        </w:rPr>
      </w:pPr>
      <w:r>
        <w:rPr>
          <w:rFonts w:ascii="Arial" w:eastAsia="Times New Roman" w:hAnsi="Arial" w:cs="Arial"/>
          <w:i/>
          <w:iCs/>
          <w:color w:val="000000"/>
          <w:sz w:val="16"/>
          <w:szCs w:val="16"/>
        </w:rPr>
        <w:t>The</w:t>
      </w:r>
      <w:r>
        <w:rPr>
          <w:rFonts w:ascii="Arial" w:eastAsia="Times New Roman" w:hAnsi="Arial" w:cs="Arial"/>
          <w:i/>
          <w:iCs/>
          <w:color w:val="000000"/>
          <w:sz w:val="16"/>
          <w:szCs w:val="16"/>
        </w:rPr>
        <w:t xml:space="preserve"> accompanying notes are an integral part of these interim consolidated financial statements.</w:t>
      </w:r>
    </w:p>
    <w:p w:rsidR="00000000" w:rsidRDefault="00131F06">
      <w:pPr>
        <w:jc w:val="center"/>
        <w:divId w:val="956567228"/>
        <w:rPr>
          <w:rFonts w:eastAsia="Times New Roman"/>
        </w:rPr>
      </w:pPr>
      <w:r>
        <w:rPr>
          <w:rFonts w:ascii="Arial" w:eastAsia="Times New Roman" w:hAnsi="Arial" w:cs="Arial"/>
          <w:color w:val="000000"/>
          <w:sz w:val="20"/>
          <w:szCs w:val="20"/>
        </w:rPr>
        <w:t>6</w:t>
      </w:r>
    </w:p>
    <w:p w:rsidR="00000000" w:rsidRDefault="00131F06">
      <w:pPr>
        <w:rPr>
          <w:rFonts w:eastAsia="Times New Roman"/>
        </w:rPr>
      </w:pPr>
      <w:r>
        <w:rPr>
          <w:rFonts w:eastAsia="Times New Roman"/>
        </w:rPr>
        <w:pict>
          <v:rect id="_x0000_i1031" style="width:0;height:1.5pt" o:hralign="center" o:hrstd="t" o:hr="t" fillcolor="#a0a0a0" stroked="f"/>
        </w:pict>
      </w:r>
    </w:p>
    <w:p w:rsidR="00000000" w:rsidRDefault="00131F06">
      <w:pPr>
        <w:jc w:val="center"/>
        <w:divId w:val="550651291"/>
        <w:rPr>
          <w:rFonts w:eastAsia="Times New Roman"/>
        </w:rPr>
      </w:pPr>
    </w:p>
    <w:p w:rsidR="00000000" w:rsidRDefault="00131F06">
      <w:pPr>
        <w:jc w:val="center"/>
        <w:rPr>
          <w:rFonts w:eastAsia="Times New Roman"/>
        </w:rPr>
      </w:pPr>
      <w:r>
        <w:rPr>
          <w:rFonts w:ascii="Arial" w:eastAsia="Times New Roman" w:hAnsi="Arial" w:cs="Arial"/>
          <w:b/>
          <w:bCs/>
          <w:color w:val="000000"/>
          <w:sz w:val="30"/>
          <w:szCs w:val="30"/>
        </w:rPr>
        <w:t>ENBRIDGE INC.</w:t>
      </w:r>
    </w:p>
    <w:p w:rsidR="00000000" w:rsidRDefault="00131F06">
      <w:pPr>
        <w:jc w:val="center"/>
        <w:rPr>
          <w:rFonts w:eastAsia="Times New Roman"/>
        </w:rPr>
      </w:pPr>
      <w:r>
        <w:rPr>
          <w:rFonts w:ascii="Arial" w:eastAsia="Times New Roman" w:hAnsi="Arial" w:cs="Arial"/>
          <w:b/>
          <w:bCs/>
          <w:color w:val="000000"/>
          <w:sz w:val="30"/>
          <w:szCs w:val="30"/>
        </w:rPr>
        <w:t>CONSOLIDATED STATEMENTS OF COMPREHENSIVE INCOME</w:t>
      </w:r>
    </w:p>
    <w:p w:rsidR="00000000" w:rsidRDefault="00131F06">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459"/>
        <w:gridCol w:w="38"/>
        <w:gridCol w:w="65"/>
        <w:gridCol w:w="808"/>
        <w:gridCol w:w="37"/>
        <w:gridCol w:w="65"/>
        <w:gridCol w:w="808"/>
        <w:gridCol w:w="36"/>
        <w:gridCol w:w="36"/>
        <w:gridCol w:w="36"/>
        <w:gridCol w:w="36"/>
        <w:gridCol w:w="61"/>
        <w:gridCol w:w="808"/>
        <w:gridCol w:w="36"/>
        <w:gridCol w:w="66"/>
        <w:gridCol w:w="810"/>
        <w:gridCol w:w="36"/>
      </w:tblGrid>
      <w:tr w:rsidR="00000000">
        <w:trPr>
          <w:jc w:val="center"/>
        </w:trPr>
        <w:tc>
          <w:tcPr>
            <w:tcW w:w="50" w:type="pct"/>
            <w:vAlign w:val="center"/>
            <w:hideMark/>
          </w:tcPr>
          <w:p w:rsidR="00000000" w:rsidRDefault="00131F06">
            <w:pPr>
              <w:jc w:val="center"/>
              <w:rPr>
                <w:rFonts w:eastAsia="Times New Roman"/>
              </w:rPr>
            </w:pPr>
          </w:p>
        </w:tc>
        <w:tc>
          <w:tcPr>
            <w:tcW w:w="269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r>
            <w:r>
              <w:rPr>
                <w:rFonts w:ascii="Arial" w:eastAsia="Times New Roman" w:hAnsi="Arial" w:cs="Arial"/>
                <w:color w:val="000000"/>
                <w:sz w:val="20"/>
                <w:szCs w:val="20"/>
              </w:rP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814 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4,047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4,349 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comprehensive income/(loss), net of tax</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Change in unrealized gain/(loss)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197 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Change in unrealized gain/(loss) on net investment hedges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(934)</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(206)</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(1,187)</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Other comprehensive loss from equity investees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(7)</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(30)</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(7)</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(28)</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Excluded components of fair value hedges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Reclassification to earnings of loss on cash flow hedges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55 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168 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Reclassification to earnings of pension and other postretirement benefits (OPEB) amounts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(7)</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Reclassification to earnings of loss on equity investees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4,135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1,281 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5,308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(350)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comprehensive income, net of tax</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3,382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1,088 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5,047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Comprehensive income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4,765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1,902 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9,094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4,365 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Comprehensive income attributable to 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(116)</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(62)</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(187)</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(68)</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Comprehensive income attributable to 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4,649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1,840 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8,907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4,297 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(98)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(330)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280)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Comprehensive income attributable to common shareholders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4,566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1,742 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8,577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4,017 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divId w:val="599728602"/>
        <w:rPr>
          <w:rFonts w:eastAsia="Times New Roman"/>
        </w:rPr>
      </w:pPr>
      <w:r>
        <w:rPr>
          <w:rFonts w:ascii="Arial" w:eastAsia="Times New Roman" w:hAnsi="Arial" w:cs="Arial"/>
          <w:i/>
          <w:iCs/>
          <w:color w:val="000000"/>
          <w:sz w:val="16"/>
          <w:szCs w:val="16"/>
        </w:rPr>
        <w:t>The accompanying notes are an integral part of these interim consolidated financial statements.</w:t>
      </w:r>
    </w:p>
    <w:p w:rsidR="00000000" w:rsidRDefault="00131F06">
      <w:pPr>
        <w:jc w:val="center"/>
        <w:divId w:val="1041128228"/>
        <w:rPr>
          <w:rFonts w:eastAsia="Times New Roman"/>
        </w:rPr>
      </w:pPr>
      <w:r>
        <w:rPr>
          <w:rFonts w:ascii="Arial" w:eastAsia="Times New Roman" w:hAnsi="Arial" w:cs="Arial"/>
          <w:color w:val="000000"/>
          <w:sz w:val="20"/>
          <w:szCs w:val="20"/>
        </w:rPr>
        <w:t>7</w:t>
      </w:r>
    </w:p>
    <w:p w:rsidR="00000000" w:rsidRDefault="00131F06">
      <w:pPr>
        <w:rPr>
          <w:rFonts w:eastAsia="Times New Roman"/>
        </w:rPr>
      </w:pPr>
      <w:r>
        <w:rPr>
          <w:rFonts w:eastAsia="Times New Roman"/>
        </w:rPr>
        <w:pict>
          <v:rect id="_x0000_i1032" style="width:0;height:1.5pt" o:hralign="center" o:hrstd="t" o:hr="t" fillcolor="#a0a0a0" stroked="f"/>
        </w:pict>
      </w:r>
    </w:p>
    <w:p w:rsidR="00000000" w:rsidRDefault="00131F06">
      <w:pPr>
        <w:jc w:val="center"/>
        <w:divId w:val="1141340610"/>
        <w:rPr>
          <w:rFonts w:eastAsia="Times New Roman"/>
        </w:rPr>
      </w:pPr>
    </w:p>
    <w:p w:rsidR="00000000" w:rsidRDefault="00131F06">
      <w:pPr>
        <w:jc w:val="center"/>
        <w:rPr>
          <w:rFonts w:eastAsia="Times New Roman"/>
        </w:rPr>
      </w:pPr>
      <w:r>
        <w:rPr>
          <w:rFonts w:ascii="Arial" w:eastAsia="Times New Roman" w:hAnsi="Arial" w:cs="Arial"/>
          <w:b/>
          <w:bCs/>
          <w:color w:val="000000"/>
          <w:sz w:val="30"/>
          <w:szCs w:val="30"/>
        </w:rPr>
        <w:t>ENBRIDGE INC.</w:t>
      </w:r>
    </w:p>
    <w:p w:rsidR="00000000" w:rsidRDefault="00131F06">
      <w:pPr>
        <w:jc w:val="center"/>
        <w:rPr>
          <w:rFonts w:eastAsia="Times New Roman"/>
        </w:rPr>
      </w:pPr>
      <w:r>
        <w:rPr>
          <w:rFonts w:ascii="Arial" w:eastAsia="Times New Roman" w:hAnsi="Arial" w:cs="Arial"/>
          <w:b/>
          <w:bCs/>
          <w:color w:val="000000"/>
          <w:sz w:val="30"/>
          <w:szCs w:val="30"/>
        </w:rPr>
        <w:t>CONSOLIDATED STATEMENTS OF CHANGES IN EQUITY</w:t>
      </w:r>
    </w:p>
    <w:p w:rsidR="00000000" w:rsidRDefault="00131F06">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4"/>
        <w:gridCol w:w="5112"/>
        <w:gridCol w:w="41"/>
        <w:gridCol w:w="69"/>
        <w:gridCol w:w="644"/>
        <w:gridCol w:w="37"/>
        <w:gridCol w:w="65"/>
        <w:gridCol w:w="648"/>
        <w:gridCol w:w="36"/>
        <w:gridCol w:w="36"/>
        <w:gridCol w:w="36"/>
        <w:gridCol w:w="36"/>
        <w:gridCol w:w="69"/>
        <w:gridCol w:w="627"/>
        <w:gridCol w:w="37"/>
        <w:gridCol w:w="65"/>
        <w:gridCol w:w="648"/>
        <w:gridCol w:w="36"/>
      </w:tblGrid>
      <w:tr w:rsidR="00000000">
        <w:trPr>
          <w:divId w:val="1794521430"/>
        </w:trPr>
        <w:tc>
          <w:tcPr>
            <w:tcW w:w="50" w:type="pct"/>
            <w:vAlign w:val="center"/>
            <w:hideMark/>
          </w:tcPr>
          <w:p w:rsidR="00000000" w:rsidRDefault="00131F06">
            <w:pPr>
              <w:jc w:val="center"/>
              <w:rPr>
                <w:rFonts w:eastAsia="Times New Roman"/>
              </w:rPr>
            </w:pPr>
          </w:p>
        </w:tc>
        <w:tc>
          <w:tcPr>
            <w:tcW w:w="30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0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0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2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0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0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79452143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16"/>
                <w:szCs w:val="16"/>
              </w:rPr>
              <w:t>Nine months ended</w:t>
            </w:r>
            <w:r>
              <w:rPr>
                <w:rFonts w:ascii="Arial" w:eastAsia="Times New Roman" w:hAnsi="Arial" w:cs="Arial"/>
                <w:color w:val="000000"/>
                <w:sz w:val="16"/>
                <w:szCs w:val="16"/>
              </w:rPr>
              <w:br/>
              <w:t>September 30,</w:t>
            </w:r>
          </w:p>
        </w:tc>
      </w:tr>
      <w:tr w:rsidR="00000000">
        <w:trPr>
          <w:divId w:val="179452143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2021</w:t>
            </w: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(unaudited; millions of Canadian dollars, except per share amounts)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79452143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Preference shares</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6,818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Redemption of preference shares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(929)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6,818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7,747 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6,818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7,747 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Common shares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64,755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64,780 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64,799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64,768 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Shares issued on exercise of stock options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Share purchases at stated value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64,757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64,790 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64,757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64,790 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Additional paid-in capital</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305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324 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277 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Stock-based compensation</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Options exercised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312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324 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312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324 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Deficit</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(10,418)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(8,388)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(10,989)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9,995)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Earnings attributable to 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1,362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780 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3,986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4,256 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(330)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(280)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Common share dividends declared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(1,741)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(1,692)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(3,484)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(3,384)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Dividends paid to reciprocal shareholder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Share purchases in excess of stated value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(10,880)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(9,397)</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(10,880)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(9,397)</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divId w:val="580140702"/>
              <w:rPr>
                <w:rFonts w:eastAsia="Times New Roman"/>
              </w:rPr>
            </w:pPr>
            <w:r>
              <w:rPr>
                <w:rFonts w:ascii="Arial" w:eastAsia="Times New Roman" w:hAnsi="Arial" w:cs="Arial"/>
                <w:color w:val="000000"/>
                <w:sz w:val="16"/>
                <w:szCs w:val="16"/>
              </w:rPr>
              <w:t>Accumulated other comprehensive income/(loss)</w:t>
            </w:r>
            <w:r>
              <w:rPr>
                <w:rFonts w:ascii="Arial" w:eastAsia="Times New Roman" w:hAnsi="Arial" w:cs="Arial"/>
                <w:i/>
                <w:iCs/>
                <w:color w:val="000000"/>
                <w:sz w:val="14"/>
                <w:szCs w:val="14"/>
              </w:rPr>
              <w:t xml:space="preserve"> (Note 8)</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(2,420)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(1,096)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(1,401)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Other comprehensive income attributable to common shareholders, net of tax</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3,287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1,060 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4,921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3,825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(1,360)</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3,825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(1,360)</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Reciprocal shareholding</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Total Enbridge Inc. shareholders’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64,832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62,087 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64,832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62,087 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Noncontrolling interests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2,539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2,870 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2,542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2,996 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Earnings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Other comprehensive income/(loss) attributable to noncontrolling interests, net of tax</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794521430"/>
        </w:trPr>
        <w:tc>
          <w:tcPr>
            <w:tcW w:w="0" w:type="auto"/>
            <w:gridSpan w:val="3"/>
            <w:tcMar>
              <w:top w:w="30" w:type="dxa"/>
              <w:left w:w="38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Change in unrealized 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38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(25)</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Comprehensive income attributable to noncontrolling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62 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187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Distributions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(189)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(210)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Contributions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Redemption of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(293)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(293)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2,598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2,575 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2,598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2,575 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Total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67,430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64,662 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67,430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64,662 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9452143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Dividends paid per common share</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0.860</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0.835 </w:t>
            </w:r>
          </w:p>
        </w:tc>
        <w:tc>
          <w:tcPr>
            <w:tcW w:w="0" w:type="auto"/>
            <w:tcBorders>
              <w:top w:val="single" w:sz="8"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2.580</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2.505 </w:t>
            </w:r>
          </w:p>
        </w:tc>
        <w:tc>
          <w:tcPr>
            <w:tcW w:w="0" w:type="auto"/>
            <w:tcBorders>
              <w:top w:val="single" w:sz="8"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794521430"/>
        <w:rPr>
          <w:rFonts w:eastAsia="Times New Roman"/>
        </w:rPr>
      </w:pPr>
      <w:r>
        <w:rPr>
          <w:rFonts w:ascii="Arial" w:eastAsia="Times New Roman" w:hAnsi="Arial" w:cs="Arial"/>
          <w:i/>
          <w:iCs/>
          <w:color w:val="000000"/>
          <w:sz w:val="16"/>
          <w:szCs w:val="16"/>
        </w:rPr>
        <w:t>The accompanying note</w:t>
      </w:r>
      <w:r>
        <w:rPr>
          <w:rFonts w:ascii="Arial" w:eastAsia="Times New Roman" w:hAnsi="Arial" w:cs="Arial"/>
          <w:i/>
          <w:iCs/>
          <w:color w:val="000000"/>
          <w:sz w:val="16"/>
          <w:szCs w:val="16"/>
        </w:rPr>
        <w:t>s are an integral part of these interim consolidated financial statements.</w:t>
      </w:r>
    </w:p>
    <w:p w:rsidR="00000000" w:rsidRDefault="00131F06">
      <w:pPr>
        <w:jc w:val="center"/>
        <w:divId w:val="514809458"/>
        <w:rPr>
          <w:rFonts w:eastAsia="Times New Roman"/>
        </w:rPr>
      </w:pPr>
      <w:r>
        <w:rPr>
          <w:rFonts w:ascii="Arial" w:eastAsia="Times New Roman" w:hAnsi="Arial" w:cs="Arial"/>
          <w:color w:val="000000"/>
          <w:sz w:val="20"/>
          <w:szCs w:val="20"/>
        </w:rPr>
        <w:t>8</w:t>
      </w:r>
    </w:p>
    <w:p w:rsidR="00000000" w:rsidRDefault="00131F06">
      <w:pPr>
        <w:rPr>
          <w:rFonts w:eastAsia="Times New Roman"/>
        </w:rPr>
      </w:pPr>
      <w:r>
        <w:rPr>
          <w:rFonts w:eastAsia="Times New Roman"/>
        </w:rPr>
        <w:pict>
          <v:rect id="_x0000_i1033" style="width:0;height:1.5pt" o:hralign="center" o:hrstd="t" o:hr="t" fillcolor="#a0a0a0" stroked="f"/>
        </w:pict>
      </w:r>
    </w:p>
    <w:p w:rsidR="00000000" w:rsidRDefault="00131F06">
      <w:pPr>
        <w:jc w:val="center"/>
        <w:divId w:val="316499924"/>
        <w:rPr>
          <w:rFonts w:eastAsia="Times New Roman"/>
        </w:rPr>
      </w:pPr>
    </w:p>
    <w:p w:rsidR="00000000" w:rsidRDefault="00131F06">
      <w:pPr>
        <w:ind w:firstLine="720"/>
        <w:jc w:val="center"/>
        <w:rPr>
          <w:rFonts w:eastAsia="Times New Roman"/>
        </w:rPr>
      </w:pPr>
      <w:r>
        <w:rPr>
          <w:rFonts w:ascii="Arial" w:eastAsia="Times New Roman" w:hAnsi="Arial" w:cs="Arial"/>
          <w:b/>
          <w:bCs/>
          <w:color w:val="000000"/>
          <w:sz w:val="30"/>
          <w:szCs w:val="30"/>
        </w:rPr>
        <w:t>ENBRIDGE INC.</w:t>
      </w:r>
    </w:p>
    <w:p w:rsidR="00000000" w:rsidRDefault="00131F06">
      <w:pPr>
        <w:jc w:val="center"/>
        <w:rPr>
          <w:rFonts w:eastAsia="Times New Roman"/>
        </w:rPr>
      </w:pPr>
      <w:r>
        <w:rPr>
          <w:rFonts w:ascii="Arial" w:eastAsia="Times New Roman" w:hAnsi="Arial" w:cs="Arial"/>
          <w:b/>
          <w:bCs/>
          <w:color w:val="000000"/>
          <w:sz w:val="30"/>
          <w:szCs w:val="30"/>
        </w:rPr>
        <w:t>CONSOLIDATED STATEMENTS OF CASH FLOWS</w:t>
      </w:r>
    </w:p>
    <w:p w:rsidR="00000000" w:rsidRDefault="00131F06">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366"/>
        <w:gridCol w:w="39"/>
        <w:gridCol w:w="68"/>
        <w:gridCol w:w="811"/>
        <w:gridCol w:w="37"/>
        <w:gridCol w:w="69"/>
        <w:gridCol w:w="812"/>
        <w:gridCol w:w="36"/>
      </w:tblGrid>
      <w:tr w:rsidR="00000000">
        <w:trPr>
          <w:jc w:val="center"/>
        </w:trPr>
        <w:tc>
          <w:tcPr>
            <w:tcW w:w="50" w:type="pct"/>
            <w:vAlign w:val="center"/>
            <w:hideMark/>
          </w:tcPr>
          <w:p w:rsidR="00000000" w:rsidRDefault="00131F06">
            <w:pPr>
              <w:jc w:val="center"/>
              <w:rPr>
                <w:rFonts w:eastAsia="Times New Roman"/>
              </w:rPr>
            </w:pPr>
          </w:p>
        </w:tc>
        <w:tc>
          <w:tcPr>
            <w:tcW w:w="383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20"/>
                <w:szCs w:val="20"/>
              </w:rPr>
              <w:t>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4,047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4,349 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Adjustments to reconcile earnings to net cash provided by 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3,195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2,805 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Deferred income tax expense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789 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divId w:val="1522549773"/>
              <w:rPr>
                <w:rFonts w:eastAsia="Times New Roman"/>
              </w:rPr>
            </w:pPr>
            <w:r>
              <w:rPr>
                <w:rFonts w:ascii="Arial" w:eastAsia="Times New Roman" w:hAnsi="Arial" w:cs="Arial"/>
                <w:color w:val="000000"/>
                <w:sz w:val="20"/>
                <w:szCs w:val="20"/>
              </w:rPr>
              <w:t xml:space="preserve">Unrealized derivative fair value loss, net </w:t>
            </w:r>
            <w:r>
              <w:rPr>
                <w:rFonts w:ascii="Arial" w:eastAsia="Times New Roman" w:hAnsi="Arial" w:cs="Arial"/>
                <w:i/>
                <w:iCs/>
                <w:color w:val="000000"/>
                <w:sz w:val="16"/>
                <w:szCs w:val="16"/>
              </w:rPr>
              <w:t>(Note 9)</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(1,537)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(1,187)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Distributions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1,197 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Impairment of equity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divId w:val="1280991323"/>
              <w:rPr>
                <w:rFonts w:eastAsia="Times New Roman"/>
              </w:rPr>
            </w:pPr>
            <w:r>
              <w:rPr>
                <w:rFonts w:ascii="Arial" w:eastAsia="Times New Roman" w:hAnsi="Arial" w:cs="Arial"/>
                <w:color w:val="000000"/>
                <w:sz w:val="20"/>
                <w:szCs w:val="20"/>
              </w:rPr>
              <w:t xml:space="preserve">Gain on joint venture merger transaction </w:t>
            </w:r>
            <w:r>
              <w:rPr>
                <w:rFonts w:ascii="Arial" w:eastAsia="Times New Roman" w:hAnsi="Arial" w:cs="Arial"/>
                <w:i/>
                <w:iCs/>
                <w:color w:val="000000"/>
                <w:sz w:val="16"/>
                <w:szCs w:val="16"/>
              </w:rPr>
              <w:t>(Note 6)</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(1,076)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(128)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Changes in operating assets and liabilities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(602)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(656)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7,617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7,366 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20"/>
                <w:szCs w:val="20"/>
              </w:rPr>
              <w:t>Investing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Capital expenditures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(3,204)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(5,887)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investments and 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(566)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(241)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Distributions from equity investments in excess of cumulative earnings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295 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Additions to intangible assets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(185)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divId w:val="576284030"/>
              <w:rPr>
                <w:rFonts w:eastAsia="Times New Roman"/>
              </w:rPr>
            </w:pPr>
            <w:r>
              <w:rPr>
                <w:rFonts w:ascii="Arial" w:eastAsia="Times New Roman" w:hAnsi="Arial" w:cs="Arial"/>
                <w:color w:val="000000"/>
                <w:sz w:val="20"/>
                <w:szCs w:val="20"/>
              </w:rPr>
              <w:t xml:space="preserve">Acquisition </w:t>
            </w:r>
            <w:r>
              <w:rPr>
                <w:rFonts w:ascii="Arial" w:eastAsia="Times New Roman" w:hAnsi="Arial" w:cs="Arial"/>
                <w:i/>
                <w:iCs/>
                <w:color w:val="000000"/>
                <w:sz w:val="16"/>
                <w:szCs w:val="16"/>
              </w:rPr>
              <w:t>(Note 6)</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(295)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divId w:val="758021566"/>
              <w:rPr>
                <w:rFonts w:eastAsia="Times New Roman"/>
              </w:rPr>
            </w:pPr>
            <w:r>
              <w:rPr>
                <w:rFonts w:ascii="Arial" w:eastAsia="Times New Roman" w:hAnsi="Arial" w:cs="Arial"/>
                <w:color w:val="000000"/>
                <w:sz w:val="20"/>
                <w:szCs w:val="20"/>
              </w:rPr>
              <w:t xml:space="preserve">Proceeds from joint venture merger transaction </w:t>
            </w:r>
            <w:r>
              <w:rPr>
                <w:rFonts w:ascii="Arial" w:eastAsia="Times New Roman" w:hAnsi="Arial" w:cs="Arial"/>
                <w:i/>
                <w:iCs/>
                <w:color w:val="000000"/>
                <w:sz w:val="16"/>
                <w:szCs w:val="16"/>
              </w:rPr>
              <w:t>(Note 6)</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Proceeds from disposition</w:t>
            </w:r>
          </w:p>
        </w:tc>
        <w:tc>
          <w:tcPr>
            <w:tcW w:w="0" w:type="auto"/>
            <w:gridSpan w:val="3"/>
            <w:shd w:val="clear" w:color="auto" w:fill="D9D9D9"/>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122</w:t>
            </w: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Affiliate loans, net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Net cash used in investing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(3,158)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(5,907)</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20"/>
                <w:szCs w:val="20"/>
              </w:rPr>
              <w:t>Financing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Net change in short-term borrowings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Net change in commercial paper and credit facility draws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Debenture and term note issues, net of issue costs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4,739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6,135 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Debenture and term note repayments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(2,244)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(1,888)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Contributions from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Distributions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(189)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(210)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Common shares issued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Common shares repurchased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(151)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(254)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(274)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Common share dividends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(5,226)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(5,074)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Redemption of preferred shares held by subsidiary</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Redemption of preference shares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(1,003)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(223)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Net cash used in financing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(3,785)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(1,422)</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ind w:hanging="180"/>
              <w:divId w:val="426004849"/>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63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(12)</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Net change in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737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25 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Cash and cash equivalents and restricted cash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490 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Cash and cash equivalents and restricted cash at end of period</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1,057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515 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571230163"/>
        <w:rPr>
          <w:rFonts w:eastAsia="Times New Roman"/>
        </w:rPr>
      </w:pPr>
      <w:r>
        <w:rPr>
          <w:rFonts w:ascii="Arial" w:eastAsia="Times New Roman" w:hAnsi="Arial" w:cs="Arial"/>
          <w:i/>
          <w:iCs/>
          <w:color w:val="000000"/>
          <w:sz w:val="16"/>
          <w:szCs w:val="16"/>
        </w:rPr>
        <w:t>The accompanying notes are an integral part of these interim consolidated financial statements.</w:t>
      </w:r>
    </w:p>
    <w:p w:rsidR="00000000" w:rsidRDefault="00131F06">
      <w:pPr>
        <w:jc w:val="center"/>
        <w:divId w:val="1740440563"/>
        <w:rPr>
          <w:rFonts w:eastAsia="Times New Roman"/>
        </w:rPr>
      </w:pPr>
      <w:r>
        <w:rPr>
          <w:rFonts w:ascii="Arial" w:eastAsia="Times New Roman" w:hAnsi="Arial" w:cs="Arial"/>
          <w:color w:val="000000"/>
          <w:sz w:val="20"/>
          <w:szCs w:val="20"/>
        </w:rPr>
        <w:t>9</w:t>
      </w:r>
    </w:p>
    <w:p w:rsidR="00000000" w:rsidRDefault="00131F06">
      <w:pPr>
        <w:rPr>
          <w:rFonts w:eastAsia="Times New Roman"/>
        </w:rPr>
      </w:pPr>
      <w:r>
        <w:rPr>
          <w:rFonts w:eastAsia="Times New Roman"/>
        </w:rPr>
        <w:pict>
          <v:rect id="_x0000_i1034" style="width:0;height:1.5pt" o:hralign="center" o:hrstd="t" o:hr="t" fillcolor="#a0a0a0" stroked="f"/>
        </w:pict>
      </w:r>
    </w:p>
    <w:p w:rsidR="00000000" w:rsidRDefault="00131F06">
      <w:pPr>
        <w:jc w:val="center"/>
        <w:divId w:val="1665431515"/>
        <w:rPr>
          <w:rFonts w:eastAsia="Times New Roman"/>
        </w:rPr>
      </w:pPr>
    </w:p>
    <w:p w:rsidR="00000000" w:rsidRDefault="00131F06">
      <w:pPr>
        <w:ind w:firstLine="720"/>
        <w:jc w:val="center"/>
        <w:rPr>
          <w:rFonts w:eastAsia="Times New Roman"/>
        </w:rPr>
      </w:pPr>
      <w:r>
        <w:rPr>
          <w:rFonts w:ascii="Arial" w:eastAsia="Times New Roman" w:hAnsi="Arial" w:cs="Arial"/>
          <w:b/>
          <w:bCs/>
          <w:color w:val="000000"/>
          <w:sz w:val="30"/>
          <w:szCs w:val="30"/>
        </w:rPr>
        <w:t>ENBRIDGE INC.</w:t>
      </w:r>
    </w:p>
    <w:p w:rsidR="00000000" w:rsidRDefault="00131F06">
      <w:pPr>
        <w:jc w:val="center"/>
        <w:rPr>
          <w:rFonts w:eastAsia="Times New Roman"/>
        </w:rPr>
      </w:pPr>
      <w:r>
        <w:rPr>
          <w:rFonts w:ascii="Arial" w:eastAsia="Times New Roman" w:hAnsi="Arial" w:cs="Arial"/>
          <w:b/>
          <w:bCs/>
          <w:color w:val="000000"/>
          <w:sz w:val="30"/>
          <w:szCs w:val="30"/>
        </w:rPr>
        <w:t>CONSOLIDATED STATEMENTS OF FINANCIAL POSITION</w:t>
      </w:r>
    </w:p>
    <w:p w:rsidR="00000000" w:rsidRDefault="00131F06">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538"/>
        <w:gridCol w:w="40"/>
        <w:gridCol w:w="69"/>
        <w:gridCol w:w="1225"/>
        <w:gridCol w:w="36"/>
        <w:gridCol w:w="69"/>
        <w:gridCol w:w="1225"/>
        <w:gridCol w:w="36"/>
      </w:tblGrid>
      <w:tr w:rsidR="00000000">
        <w:trPr>
          <w:jc w:val="center"/>
        </w:trPr>
        <w:tc>
          <w:tcPr>
            <w:tcW w:w="50" w:type="pct"/>
            <w:vAlign w:val="center"/>
            <w:hideMark/>
          </w:tcPr>
          <w:p w:rsidR="00000000" w:rsidRDefault="00131F06">
            <w:pPr>
              <w:jc w:val="center"/>
              <w:rPr>
                <w:rFonts w:eastAsia="Times New Roman"/>
              </w:rPr>
            </w:pPr>
          </w:p>
        </w:tc>
        <w:tc>
          <w:tcPr>
            <w:tcW w:w="334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September 30,</w:t>
            </w:r>
            <w:r>
              <w:rPr>
                <w:rFonts w:ascii="Arial" w:eastAsia="Times New Roman" w:hAnsi="Arial" w:cs="Arial"/>
                <w:b/>
                <w:bCs/>
                <w:color w:val="000000"/>
                <w:sz w:val="20"/>
                <w:szCs w:val="20"/>
              </w:rPr>
              <w:br/>
              <w:t>2022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(unaudited; millions of Canadian dollars; 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286 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7,168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6,862 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2,346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1,670 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10,807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8,959 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105,251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100,067 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15,346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13,324 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630 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9,941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8,613 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4,124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4,008 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Goodwill</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35,274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32,775 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488 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Total assets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181,775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168,864 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trHeight w:val="240"/>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20"/>
                <w:szCs w:val="20"/>
              </w:rPr>
              <w:t>Liabilities and equity</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Short-term borrowings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1,882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1,515 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8,867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9,767 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90 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693 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Current portion of long-term debt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6,376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6,164 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17,910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18,229 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debt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73,960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67,961 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9,133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7,617 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13,342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11,689 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114,345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105,496 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divId w:val="678703384"/>
              <w:rPr>
                <w:rFonts w:eastAsia="Times New Roman"/>
              </w:rPr>
            </w:pPr>
            <w:r>
              <w:rPr>
                <w:rFonts w:ascii="Arial" w:eastAsia="Times New Roman" w:hAnsi="Arial" w:cs="Arial"/>
                <w:color w:val="000000"/>
                <w:sz w:val="20"/>
                <w:szCs w:val="20"/>
              </w:rPr>
              <w:t xml:space="preserve">Contingencies </w:t>
            </w:r>
            <w:r>
              <w:rPr>
                <w:rFonts w:ascii="Arial" w:eastAsia="Times New Roman" w:hAnsi="Arial" w:cs="Arial"/>
                <w:i/>
                <w:iCs/>
                <w:color w:val="000000"/>
                <w:sz w:val="16"/>
                <w:szCs w:val="16"/>
              </w:rPr>
              <w:t>(Note 12)</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Share capital</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38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6,818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7,747 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ind w:hanging="180"/>
              <w:divId w:val="140118951"/>
              <w:rPr>
                <w:rFonts w:eastAsia="Times New Roman"/>
              </w:rPr>
            </w:pPr>
            <w:r>
              <w:rPr>
                <w:rFonts w:ascii="Arial" w:eastAsia="Times New Roman" w:hAnsi="Arial" w:cs="Arial"/>
                <w:color w:val="000000"/>
                <w:sz w:val="20"/>
                <w:szCs w:val="20"/>
              </w:rPr>
              <w:t xml:space="preserve">Common shares </w:t>
            </w:r>
            <w:r>
              <w:rPr>
                <w:rFonts w:ascii="Arial" w:eastAsia="Times New Roman" w:hAnsi="Arial" w:cs="Arial"/>
                <w:i/>
                <w:iCs/>
                <w:color w:val="000000"/>
                <w:sz w:val="16"/>
                <w:szCs w:val="16"/>
              </w:rPr>
              <w:t xml:space="preserve">(2,025 and 2,026 </w:t>
            </w:r>
            <w:r>
              <w:rPr>
                <w:rFonts w:ascii="Arial" w:eastAsia="Times New Roman" w:hAnsi="Arial" w:cs="Arial"/>
                <w:i/>
                <w:iCs/>
                <w:color w:val="000000"/>
                <w:sz w:val="16"/>
                <w:szCs w:val="16"/>
              </w:rPr>
              <w:t>outstanding at September 30, 2022 and December 31, 2021, respectively)</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64,757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64,799 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365 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Deficit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(10,880)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(10,989)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divId w:val="578059180"/>
              <w:rPr>
                <w:rFonts w:eastAsia="Times New Roman"/>
              </w:rPr>
            </w:pPr>
            <w:r>
              <w:rPr>
                <w:rFonts w:ascii="Arial" w:eastAsia="Times New Roman" w:hAnsi="Arial" w:cs="Arial"/>
                <w:color w:val="000000"/>
                <w:sz w:val="20"/>
                <w:szCs w:val="20"/>
              </w:rPr>
              <w:t xml:space="preserve">Accumulated other comprehensive income/(loss)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3,825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(1,096)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Total Enbridge Inc. shareholders’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64,832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60,826 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2,598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2,542 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67,430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63,368 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Total liabilities and equity</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181,775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168,864 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842284982"/>
        <w:rPr>
          <w:rFonts w:eastAsia="Times New Roman"/>
        </w:rPr>
      </w:pPr>
      <w:r>
        <w:rPr>
          <w:rFonts w:ascii="Arial" w:eastAsia="Times New Roman" w:hAnsi="Arial" w:cs="Arial"/>
          <w:i/>
          <w:iCs/>
          <w:color w:val="000000"/>
          <w:sz w:val="16"/>
          <w:szCs w:val="16"/>
        </w:rPr>
        <w:t>The accompanying notes are an integral part of these interim consolidated financial statements.</w:t>
      </w:r>
    </w:p>
    <w:p w:rsidR="00000000" w:rsidRDefault="00131F06">
      <w:pPr>
        <w:divId w:val="1026254052"/>
        <w:rPr>
          <w:rFonts w:eastAsia="Times New Roman"/>
        </w:rPr>
      </w:pPr>
    </w:p>
    <w:p w:rsidR="00000000" w:rsidRDefault="00131F06">
      <w:pPr>
        <w:jc w:val="center"/>
        <w:divId w:val="818348992"/>
        <w:rPr>
          <w:rFonts w:eastAsia="Times New Roman"/>
        </w:rPr>
      </w:pPr>
      <w:r>
        <w:rPr>
          <w:rFonts w:ascii="Arial" w:eastAsia="Times New Roman" w:hAnsi="Arial" w:cs="Arial"/>
          <w:color w:val="000000"/>
          <w:sz w:val="20"/>
          <w:szCs w:val="20"/>
        </w:rPr>
        <w:t>10</w:t>
      </w:r>
    </w:p>
    <w:p w:rsidR="00000000" w:rsidRDefault="00131F06">
      <w:pPr>
        <w:rPr>
          <w:rFonts w:eastAsia="Times New Roman"/>
        </w:rPr>
      </w:pPr>
      <w:r>
        <w:rPr>
          <w:rFonts w:eastAsia="Times New Roman"/>
        </w:rPr>
        <w:pict>
          <v:rect id="_x0000_i1035" style="width:0;height:1.5pt" o:hralign="center" o:hrstd="t" o:hr="t" fillcolor="#a0a0a0" stroked="f"/>
        </w:pict>
      </w:r>
    </w:p>
    <w:p w:rsidR="00000000" w:rsidRDefault="00131F06">
      <w:pPr>
        <w:jc w:val="center"/>
        <w:divId w:val="2101170410"/>
        <w:rPr>
          <w:rFonts w:eastAsia="Times New Roman"/>
        </w:rPr>
      </w:pPr>
    </w:p>
    <w:p w:rsidR="00000000" w:rsidRDefault="00131F06">
      <w:pPr>
        <w:jc w:val="center"/>
        <w:rPr>
          <w:rFonts w:eastAsia="Times New Roman"/>
        </w:rPr>
      </w:pPr>
      <w:r>
        <w:rPr>
          <w:rFonts w:ascii="Arial" w:eastAsia="Times New Roman" w:hAnsi="Arial" w:cs="Arial"/>
          <w:b/>
          <w:bCs/>
          <w:color w:val="000000"/>
          <w:sz w:val="28"/>
          <w:szCs w:val="28"/>
        </w:rPr>
        <w:t>NOTES TO THE INTERIM CONSOLIDATED FINANCIAL STATEMENTS</w:t>
      </w:r>
    </w:p>
    <w:p w:rsidR="00000000" w:rsidRDefault="00131F06">
      <w:pPr>
        <w:jc w:val="center"/>
        <w:rPr>
          <w:rFonts w:eastAsia="Times New Roman"/>
        </w:rPr>
      </w:pPr>
      <w:r>
        <w:rPr>
          <w:rFonts w:ascii="Arial" w:eastAsia="Times New Roman" w:hAnsi="Arial" w:cs="Arial"/>
          <w:i/>
          <w:iCs/>
          <w:color w:val="000000"/>
          <w:sz w:val="26"/>
          <w:szCs w:val="26"/>
        </w:rPr>
        <w:t>(unaudited)</w:t>
      </w:r>
    </w:p>
    <w:p w:rsidR="00000000" w:rsidRDefault="00131F06">
      <w:pPr>
        <w:jc w:val="center"/>
        <w:rPr>
          <w:rFonts w:eastAsia="Times New Roman"/>
        </w:rPr>
      </w:pPr>
    </w:p>
    <w:p w:rsidR="00000000" w:rsidRDefault="00131F06">
      <w:pPr>
        <w:ind w:hanging="360"/>
        <w:jc w:val="both"/>
        <w:rPr>
          <w:rFonts w:eastAsia="Times New Roman"/>
        </w:rPr>
      </w:pPr>
      <w:r>
        <w:rPr>
          <w:rFonts w:ascii="Arial" w:eastAsia="Times New Roman" w:hAnsi="Arial" w:cs="Arial"/>
          <w:b/>
          <w:bCs/>
          <w:color w:val="000000"/>
          <w:sz w:val="26"/>
          <w:szCs w:val="26"/>
        </w:rPr>
        <w:t>1. BASIS OF PRESENTATION</w:t>
      </w:r>
    </w:p>
    <w:p w:rsidR="00000000" w:rsidRDefault="00131F06">
      <w:pPr>
        <w:divId w:val="1070083659"/>
        <w:rPr>
          <w:rFonts w:eastAsia="Times New Roman"/>
        </w:rPr>
      </w:pPr>
    </w:p>
    <w:p w:rsidR="00000000" w:rsidRDefault="00131F06">
      <w:pPr>
        <w:divId w:val="393283617"/>
        <w:rPr>
          <w:rFonts w:eastAsia="Times New Roman"/>
        </w:rPr>
      </w:pPr>
      <w:r>
        <w:rPr>
          <w:rFonts w:ascii="Arial" w:eastAsia="Times New Roman" w:hAnsi="Arial" w:cs="Arial"/>
          <w:color w:val="000000"/>
          <w:sz w:val="20"/>
          <w:szCs w:val="20"/>
        </w:rPr>
        <w:t>The accompanying unaudited interim consolidated financial statements of Enbridge Inc. (“we”, “our”, “us” and “Enbridge”) have been prepared in accordance with generally accepted accounting principles in the United States of America (US GAAP) and Regulation</w:t>
      </w:r>
      <w:r>
        <w:rPr>
          <w:rFonts w:ascii="Arial" w:eastAsia="Times New Roman" w:hAnsi="Arial" w:cs="Arial"/>
          <w:color w:val="000000"/>
          <w:sz w:val="20"/>
          <w:szCs w:val="20"/>
        </w:rPr>
        <w:t xml:space="preserve"> S-X for interim consolidated financial information. They do not include all of the information and notes required by US GAAP for annual consolidated financial statements and should therefore be read in conjunction with our audited consolidated financial s</w:t>
      </w:r>
      <w:r>
        <w:rPr>
          <w:rFonts w:ascii="Arial" w:eastAsia="Times New Roman" w:hAnsi="Arial" w:cs="Arial"/>
          <w:color w:val="000000"/>
          <w:sz w:val="20"/>
          <w:szCs w:val="20"/>
        </w:rPr>
        <w:t>tatements and notes for the year ended December 31, 2021. In the opinion of management, the interim consolidated financial statements contain all normal recurring adjustments necessary to present fairly our financial position, results of operations and cas</w:t>
      </w:r>
      <w:r>
        <w:rPr>
          <w:rFonts w:ascii="Arial" w:eastAsia="Times New Roman" w:hAnsi="Arial" w:cs="Arial"/>
          <w:color w:val="000000"/>
          <w:sz w:val="20"/>
          <w:szCs w:val="20"/>
        </w:rPr>
        <w:t>h flows for the interim periods reported. These interim consolidated financial statements follow the same significant accounting policies as those included in our audited consolidated financial statements for the year ended December 31, 2021, except for th</w:t>
      </w:r>
      <w:r>
        <w:rPr>
          <w:rFonts w:ascii="Arial" w:eastAsia="Times New Roman" w:hAnsi="Arial" w:cs="Arial"/>
          <w:color w:val="000000"/>
          <w:sz w:val="20"/>
          <w:szCs w:val="20"/>
        </w:rPr>
        <w:t xml:space="preserve">e adoption of new standards </w:t>
      </w:r>
      <w:r>
        <w:rPr>
          <w:rFonts w:ascii="Arial" w:eastAsia="Times New Roman" w:hAnsi="Arial" w:cs="Arial"/>
          <w:i/>
          <w:iCs/>
          <w:color w:val="000000"/>
          <w:sz w:val="16"/>
          <w:szCs w:val="16"/>
        </w:rPr>
        <w:t>(Note 2)</w:t>
      </w:r>
      <w:r>
        <w:rPr>
          <w:rFonts w:ascii="Arial" w:eastAsia="Times New Roman" w:hAnsi="Arial" w:cs="Arial"/>
          <w:color w:val="000000"/>
          <w:sz w:val="20"/>
          <w:szCs w:val="20"/>
        </w:rPr>
        <w:t>. Amounts are stated in Canadian dollars unless otherwise noted.</w:t>
      </w:r>
    </w:p>
    <w:p w:rsidR="00000000" w:rsidRDefault="00131F06">
      <w:pPr>
        <w:divId w:val="1469280214"/>
        <w:rPr>
          <w:rFonts w:eastAsia="Times New Roman"/>
        </w:rPr>
      </w:pPr>
    </w:p>
    <w:p w:rsidR="00000000" w:rsidRDefault="00131F06">
      <w:pPr>
        <w:divId w:val="15010549"/>
        <w:rPr>
          <w:rFonts w:eastAsia="Times New Roman"/>
        </w:rPr>
      </w:pPr>
      <w:r>
        <w:rPr>
          <w:rFonts w:ascii="Arial" w:eastAsia="Times New Roman" w:hAnsi="Arial" w:cs="Arial"/>
          <w:color w:val="000000"/>
          <w:sz w:val="20"/>
          <w:szCs w:val="20"/>
        </w:rPr>
        <w:t>Our operations and earnings for interim periods can be affected by seasonal fluctuations within the gas distribution utility businesses, as well as other</w:t>
      </w:r>
      <w:r>
        <w:rPr>
          <w:rFonts w:ascii="Arial" w:eastAsia="Times New Roman" w:hAnsi="Arial" w:cs="Arial"/>
          <w:color w:val="000000"/>
          <w:sz w:val="20"/>
          <w:szCs w:val="20"/>
        </w:rPr>
        <w:t xml:space="preserve"> factors such as supply of and demand for crude oil and natural gas, and may not be indicative of annual results.</w:t>
      </w:r>
    </w:p>
    <w:p w:rsidR="00000000" w:rsidRDefault="00131F06">
      <w:pPr>
        <w:divId w:val="1786536874"/>
        <w:rPr>
          <w:rFonts w:eastAsia="Times New Roman"/>
        </w:rPr>
      </w:pPr>
    </w:p>
    <w:p w:rsidR="00000000" w:rsidRDefault="00131F06">
      <w:pPr>
        <w:divId w:val="514267124"/>
        <w:rPr>
          <w:rFonts w:eastAsia="Times New Roman"/>
        </w:rPr>
      </w:pPr>
      <w:r>
        <w:rPr>
          <w:rFonts w:ascii="Arial" w:eastAsia="Times New Roman" w:hAnsi="Arial" w:cs="Arial"/>
          <w:color w:val="000000"/>
          <w:sz w:val="20"/>
          <w:szCs w:val="20"/>
        </w:rPr>
        <w:t>Certain comparative figures in our interim consolidated financial statements have been reclassified to conform to the current year's present</w:t>
      </w:r>
      <w:r>
        <w:rPr>
          <w:rFonts w:ascii="Arial" w:eastAsia="Times New Roman" w:hAnsi="Arial" w:cs="Arial"/>
          <w:color w:val="000000"/>
          <w:sz w:val="20"/>
          <w:szCs w:val="20"/>
        </w:rPr>
        <w:t>ation.</w:t>
      </w:r>
    </w:p>
    <w:p w:rsidR="00000000" w:rsidRDefault="00131F06">
      <w:pPr>
        <w:divId w:val="1813134432"/>
        <w:rPr>
          <w:rFonts w:eastAsia="Times New Roman"/>
        </w:rPr>
      </w:pPr>
    </w:p>
    <w:p w:rsidR="00000000" w:rsidRDefault="00131F06">
      <w:pPr>
        <w:ind w:hanging="360"/>
        <w:divId w:val="1472594337"/>
        <w:rPr>
          <w:rFonts w:eastAsia="Times New Roman"/>
        </w:rPr>
      </w:pPr>
      <w:r>
        <w:rPr>
          <w:rFonts w:ascii="Arial" w:eastAsia="Times New Roman" w:hAnsi="Arial" w:cs="Arial"/>
          <w:b/>
          <w:bCs/>
          <w:color w:val="000000"/>
          <w:sz w:val="26"/>
          <w:szCs w:val="26"/>
        </w:rPr>
        <w:t>2. CHANGES IN ACCOUNTING POLICIES</w:t>
      </w:r>
    </w:p>
    <w:p w:rsidR="00000000" w:rsidRDefault="00131F06">
      <w:pPr>
        <w:divId w:val="112798103"/>
        <w:rPr>
          <w:rFonts w:eastAsia="Times New Roman"/>
        </w:rPr>
      </w:pPr>
    </w:p>
    <w:p w:rsidR="00000000" w:rsidRDefault="00131F06">
      <w:pPr>
        <w:divId w:val="460684139"/>
        <w:rPr>
          <w:rFonts w:eastAsia="Times New Roman"/>
        </w:rPr>
      </w:pPr>
      <w:r>
        <w:rPr>
          <w:rFonts w:ascii="Arial" w:eastAsia="Times New Roman" w:hAnsi="Arial" w:cs="Arial"/>
          <w:b/>
          <w:bCs/>
          <w:color w:val="000000"/>
          <w:sz w:val="20"/>
          <w:szCs w:val="20"/>
        </w:rPr>
        <w:t>ADOPTION OF NEW ACCOUNTING STANDARDS</w:t>
      </w:r>
    </w:p>
    <w:p w:rsidR="00000000" w:rsidRDefault="00131F06">
      <w:pPr>
        <w:divId w:val="1899585283"/>
        <w:rPr>
          <w:rFonts w:eastAsia="Times New Roman"/>
        </w:rPr>
      </w:pPr>
      <w:r>
        <w:rPr>
          <w:rFonts w:ascii="Arial" w:eastAsia="Times New Roman" w:hAnsi="Arial" w:cs="Arial"/>
          <w:b/>
          <w:bCs/>
          <w:color w:val="000000"/>
          <w:sz w:val="20"/>
          <w:szCs w:val="20"/>
        </w:rPr>
        <w:t>Disclosures About Government Assistance</w:t>
      </w:r>
    </w:p>
    <w:p w:rsidR="00000000" w:rsidRDefault="00131F06">
      <w:pPr>
        <w:divId w:val="377122234"/>
        <w:rPr>
          <w:rFonts w:eastAsia="Times New Roman"/>
        </w:rPr>
      </w:pPr>
      <w:r>
        <w:rPr>
          <w:rFonts w:ascii="Arial" w:eastAsia="Times New Roman" w:hAnsi="Arial" w:cs="Arial"/>
          <w:color w:val="000000"/>
          <w:sz w:val="20"/>
          <w:szCs w:val="20"/>
        </w:rPr>
        <w:t>Effective January 1, 2022, we adopted Accounting Standards Update (ASU) 2021-10 on a prospective basis. The new standard was issued in November 2021 to increase the transparency of government assistance to business entities. The ASU adds new disclosure req</w:t>
      </w:r>
      <w:r>
        <w:rPr>
          <w:rFonts w:ascii="Arial" w:eastAsia="Times New Roman" w:hAnsi="Arial" w:cs="Arial"/>
          <w:color w:val="000000"/>
          <w:sz w:val="20"/>
          <w:szCs w:val="20"/>
        </w:rPr>
        <w:t>uirements for transactions with governments that are accounted for using a grant or contribution accounting model by analogy. The required disclosures include information about the nature of transactions, accounting policy applied, impacted financial state</w:t>
      </w:r>
      <w:r>
        <w:rPr>
          <w:rFonts w:ascii="Arial" w:eastAsia="Times New Roman" w:hAnsi="Arial" w:cs="Arial"/>
          <w:color w:val="000000"/>
          <w:sz w:val="20"/>
          <w:szCs w:val="20"/>
        </w:rPr>
        <w:t>ment line items and significant terms and conditions. The adoption of this ASU did not have a material impact on our consolidated financial statements.</w:t>
      </w:r>
    </w:p>
    <w:p w:rsidR="00000000" w:rsidRDefault="00131F06">
      <w:pPr>
        <w:divId w:val="713583091"/>
        <w:rPr>
          <w:rFonts w:eastAsia="Times New Roman"/>
        </w:rPr>
      </w:pPr>
    </w:p>
    <w:p w:rsidR="00000000" w:rsidRDefault="00131F06">
      <w:pPr>
        <w:divId w:val="1156646612"/>
        <w:rPr>
          <w:rFonts w:eastAsia="Times New Roman"/>
        </w:rPr>
      </w:pPr>
      <w:r>
        <w:rPr>
          <w:rFonts w:ascii="Arial" w:eastAsia="Times New Roman" w:hAnsi="Arial" w:cs="Arial"/>
          <w:b/>
          <w:bCs/>
          <w:color w:val="000000"/>
          <w:sz w:val="20"/>
          <w:szCs w:val="20"/>
        </w:rPr>
        <w:t>Accounting for Certain Lessor Leases with Variable Lease Payments</w:t>
      </w:r>
    </w:p>
    <w:p w:rsidR="00000000" w:rsidRDefault="00131F06">
      <w:pPr>
        <w:divId w:val="1966309333"/>
        <w:rPr>
          <w:rFonts w:eastAsia="Times New Roman"/>
        </w:rPr>
      </w:pPr>
      <w:r>
        <w:rPr>
          <w:rFonts w:ascii="Arial" w:eastAsia="Times New Roman" w:hAnsi="Arial" w:cs="Arial"/>
          <w:color w:val="000000"/>
          <w:sz w:val="20"/>
          <w:szCs w:val="20"/>
        </w:rPr>
        <w:t>Effective January 1, 2022, we adopte</w:t>
      </w:r>
      <w:r>
        <w:rPr>
          <w:rFonts w:ascii="Arial" w:eastAsia="Times New Roman" w:hAnsi="Arial" w:cs="Arial"/>
          <w:color w:val="000000"/>
          <w:sz w:val="20"/>
          <w:szCs w:val="20"/>
        </w:rPr>
        <w:t>d ASU 2021-05 on a prospective basis. The new standard was issued in July 2021 to amend lessor accounting for certain leases with variable lease payments that do not depend on a reference index or a rate and would have resulted in the recognition of a loss</w:t>
      </w:r>
      <w:r>
        <w:rPr>
          <w:rFonts w:ascii="Arial" w:eastAsia="Times New Roman" w:hAnsi="Arial" w:cs="Arial"/>
          <w:color w:val="000000"/>
          <w:sz w:val="20"/>
          <w:szCs w:val="20"/>
        </w:rPr>
        <w:t xml:space="preserve"> at lease commencement if classified as a sales-type or a direct financing lease. The ASU amends the classification requirements of such leases for lessors to result in an operating lease classification. The adoption of this ASU did not have a material imp</w:t>
      </w:r>
      <w:r>
        <w:rPr>
          <w:rFonts w:ascii="Arial" w:eastAsia="Times New Roman" w:hAnsi="Arial" w:cs="Arial"/>
          <w:color w:val="000000"/>
          <w:sz w:val="20"/>
          <w:szCs w:val="20"/>
        </w:rPr>
        <w:t>act on our consolidated financial statements.</w:t>
      </w:r>
    </w:p>
    <w:p w:rsidR="00000000" w:rsidRDefault="00131F06">
      <w:pPr>
        <w:divId w:val="906262795"/>
        <w:rPr>
          <w:rFonts w:eastAsia="Times New Roman"/>
        </w:rPr>
      </w:pPr>
    </w:p>
    <w:p w:rsidR="00000000" w:rsidRDefault="00131F06">
      <w:pPr>
        <w:divId w:val="1049837033"/>
        <w:rPr>
          <w:rFonts w:eastAsia="Times New Roman"/>
        </w:rPr>
      </w:pPr>
      <w:r>
        <w:rPr>
          <w:rFonts w:ascii="Arial" w:eastAsia="Times New Roman" w:hAnsi="Arial" w:cs="Arial"/>
          <w:b/>
          <w:bCs/>
          <w:color w:val="000000"/>
          <w:sz w:val="20"/>
          <w:szCs w:val="20"/>
        </w:rPr>
        <w:t>Accounting for Modifications or Exchanges of Certain Equity-Classified Contracts</w:t>
      </w:r>
    </w:p>
    <w:p w:rsidR="00000000" w:rsidRDefault="00131F06">
      <w:pPr>
        <w:divId w:val="1057054066"/>
        <w:rPr>
          <w:rFonts w:eastAsia="Times New Roman"/>
        </w:rPr>
      </w:pPr>
      <w:r>
        <w:rPr>
          <w:rFonts w:ascii="Arial" w:eastAsia="Times New Roman" w:hAnsi="Arial" w:cs="Arial"/>
          <w:color w:val="000000"/>
          <w:sz w:val="20"/>
          <w:szCs w:val="20"/>
        </w:rPr>
        <w:t>Effective January 1, 2022, we adopted ASU 2021-04 on a prospective basis. The new standard was issued in May 2021 to clarify is</w:t>
      </w:r>
      <w:r>
        <w:rPr>
          <w:rFonts w:ascii="Arial" w:eastAsia="Times New Roman" w:hAnsi="Arial" w:cs="Arial"/>
          <w:color w:val="000000"/>
          <w:sz w:val="20"/>
          <w:szCs w:val="20"/>
        </w:rPr>
        <w:t>suer accounting for modifications or exchanges of freestanding equity-classified written call options that remain equity classified after modification or exchange. The ASU requires an issuer to determine the accounting for the modification or exchange base</w:t>
      </w:r>
      <w:r>
        <w:rPr>
          <w:rFonts w:ascii="Arial" w:eastAsia="Times New Roman" w:hAnsi="Arial" w:cs="Arial"/>
          <w:color w:val="000000"/>
          <w:sz w:val="20"/>
          <w:szCs w:val="20"/>
        </w:rPr>
        <w:t>d on the economic substance of the modification or exchange. The adoption of this ASU did not have a material impact on our consolidated financial statements.</w:t>
      </w:r>
    </w:p>
    <w:p w:rsidR="00000000" w:rsidRDefault="00131F06">
      <w:pPr>
        <w:divId w:val="2128885140"/>
        <w:rPr>
          <w:rFonts w:eastAsia="Times New Roman"/>
        </w:rPr>
      </w:pPr>
    </w:p>
    <w:p w:rsidR="00000000" w:rsidRDefault="00131F06">
      <w:pPr>
        <w:jc w:val="center"/>
        <w:divId w:val="296179895"/>
        <w:rPr>
          <w:rFonts w:eastAsia="Times New Roman"/>
        </w:rPr>
      </w:pPr>
      <w:r>
        <w:rPr>
          <w:rFonts w:ascii="Arial" w:eastAsia="Times New Roman" w:hAnsi="Arial" w:cs="Arial"/>
          <w:color w:val="000000"/>
          <w:sz w:val="20"/>
          <w:szCs w:val="20"/>
        </w:rPr>
        <w:t>11</w:t>
      </w:r>
    </w:p>
    <w:p w:rsidR="00000000" w:rsidRDefault="00131F06">
      <w:pPr>
        <w:rPr>
          <w:rFonts w:eastAsia="Times New Roman"/>
        </w:rPr>
      </w:pPr>
      <w:r>
        <w:rPr>
          <w:rFonts w:eastAsia="Times New Roman"/>
        </w:rPr>
        <w:pict>
          <v:rect id="_x0000_i1036" style="width:0;height:1.5pt" o:hralign="center" o:hrstd="t" o:hr="t" fillcolor="#a0a0a0" stroked="f"/>
        </w:pict>
      </w:r>
    </w:p>
    <w:p w:rsidR="00000000" w:rsidRDefault="00131F06">
      <w:pPr>
        <w:jc w:val="center"/>
        <w:divId w:val="1997566508"/>
        <w:rPr>
          <w:rFonts w:eastAsia="Times New Roman"/>
        </w:rPr>
      </w:pPr>
    </w:p>
    <w:p w:rsidR="00000000" w:rsidRDefault="00131F06">
      <w:pPr>
        <w:divId w:val="756097522"/>
        <w:rPr>
          <w:rFonts w:eastAsia="Times New Roman"/>
        </w:rPr>
      </w:pPr>
      <w:r>
        <w:rPr>
          <w:rFonts w:ascii="Arial" w:eastAsia="Times New Roman" w:hAnsi="Arial" w:cs="Arial"/>
          <w:b/>
          <w:bCs/>
          <w:color w:val="000000"/>
          <w:sz w:val="20"/>
          <w:szCs w:val="20"/>
        </w:rPr>
        <w:t>Accounting for Convertible Instruments and Contracts i</w:t>
      </w:r>
      <w:r>
        <w:rPr>
          <w:rFonts w:ascii="Arial" w:eastAsia="Times New Roman" w:hAnsi="Arial" w:cs="Arial"/>
          <w:b/>
          <w:bCs/>
          <w:color w:val="000000"/>
          <w:sz w:val="20"/>
          <w:szCs w:val="20"/>
        </w:rPr>
        <w:t>n an Entity’s Own Equity</w:t>
      </w:r>
    </w:p>
    <w:p w:rsidR="00000000" w:rsidRDefault="00131F06">
      <w:pPr>
        <w:divId w:val="1292784433"/>
        <w:rPr>
          <w:rFonts w:eastAsia="Times New Roman"/>
        </w:rPr>
      </w:pPr>
      <w:r>
        <w:rPr>
          <w:rFonts w:ascii="Arial" w:eastAsia="Times New Roman" w:hAnsi="Arial" w:cs="Arial"/>
          <w:color w:val="000000"/>
          <w:sz w:val="20"/>
          <w:szCs w:val="20"/>
        </w:rPr>
        <w:t>Effective January 1, 2022, we adopted ASU 2020-06 on a modified retrospective basis. The new standard was issued in August 2020 to simplify accounting for certain financial instruments. The ASU eliminates the current models that re</w:t>
      </w:r>
      <w:r>
        <w:rPr>
          <w:rFonts w:ascii="Arial" w:eastAsia="Times New Roman" w:hAnsi="Arial" w:cs="Arial"/>
          <w:color w:val="000000"/>
          <w:sz w:val="20"/>
          <w:szCs w:val="20"/>
        </w:rPr>
        <w:t>quire separation of beneficial conversion and cash conversion features from convertible instruments and simplifies the derivative scope exception guidance pertaining to equity classification of contracts in an entity’s own equity. The ASU also introduces a</w:t>
      </w:r>
      <w:r>
        <w:rPr>
          <w:rFonts w:ascii="Arial" w:eastAsia="Times New Roman" w:hAnsi="Arial" w:cs="Arial"/>
          <w:color w:val="000000"/>
          <w:sz w:val="20"/>
          <w:szCs w:val="20"/>
        </w:rPr>
        <w:t>dditional disclosures for convertible debt and freestanding instruments that are indexed to and settled in an entity’s own equity. The ASU amends the diluted earnings per share guidance, including the requirement to use if-converted method for all converti</w:t>
      </w:r>
      <w:r>
        <w:rPr>
          <w:rFonts w:ascii="Arial" w:eastAsia="Times New Roman" w:hAnsi="Arial" w:cs="Arial"/>
          <w:color w:val="000000"/>
          <w:sz w:val="20"/>
          <w:szCs w:val="20"/>
        </w:rPr>
        <w:t>ble instruments and an update for instruments that can be settled in either cash or shares. The adoption of this ASU did not have a material impact on our consolidated financial statements.</w:t>
      </w:r>
    </w:p>
    <w:p w:rsidR="00000000" w:rsidRDefault="00131F06">
      <w:pPr>
        <w:divId w:val="530149473"/>
        <w:rPr>
          <w:rFonts w:eastAsia="Times New Roman"/>
        </w:rPr>
      </w:pPr>
    </w:p>
    <w:p w:rsidR="00000000" w:rsidRDefault="00131F06">
      <w:pPr>
        <w:divId w:val="1346831062"/>
        <w:rPr>
          <w:rFonts w:eastAsia="Times New Roman"/>
        </w:rPr>
      </w:pPr>
      <w:r>
        <w:rPr>
          <w:rFonts w:ascii="Arial" w:eastAsia="Times New Roman" w:hAnsi="Arial" w:cs="Arial"/>
          <w:b/>
          <w:bCs/>
          <w:color w:val="000000"/>
          <w:sz w:val="26"/>
          <w:szCs w:val="26"/>
        </w:rPr>
        <w:t>3. REVENUE</w:t>
      </w:r>
    </w:p>
    <w:p w:rsidR="00000000" w:rsidRDefault="00131F06">
      <w:pPr>
        <w:ind w:hanging="360"/>
        <w:divId w:val="1400516640"/>
        <w:rPr>
          <w:rFonts w:eastAsia="Times New Roman"/>
        </w:rPr>
      </w:pPr>
    </w:p>
    <w:p w:rsidR="00000000" w:rsidRDefault="00131F06">
      <w:pPr>
        <w:ind w:hanging="360"/>
        <w:divId w:val="1509560195"/>
        <w:rPr>
          <w:rFonts w:eastAsia="Times New Roman"/>
        </w:rPr>
      </w:pPr>
      <w:r>
        <w:rPr>
          <w:rFonts w:ascii="Arial" w:eastAsia="Times New Roman" w:hAnsi="Arial" w:cs="Arial"/>
          <w:b/>
          <w:bCs/>
          <w:color w:val="000000"/>
          <w:sz w:val="20"/>
          <w:szCs w:val="20"/>
        </w:rPr>
        <w:t>REVENUE FROM CONTRACTS WITH CUSTOMERS</w:t>
      </w:r>
    </w:p>
    <w:p w:rsidR="00000000" w:rsidRDefault="00131F06">
      <w:pPr>
        <w:divId w:val="682362899"/>
        <w:rPr>
          <w:rFonts w:eastAsia="Times New Roman"/>
        </w:rPr>
      </w:pPr>
      <w:r>
        <w:rPr>
          <w:rFonts w:ascii="Arial" w:eastAsia="Times New Roman" w:hAnsi="Arial" w:cs="Arial"/>
          <w:b/>
          <w:bCs/>
          <w:color w:val="000000"/>
          <w:sz w:val="20"/>
          <w:szCs w:val="20"/>
        </w:rPr>
        <w:t>Major Product</w:t>
      </w:r>
      <w:r>
        <w:rPr>
          <w:rFonts w:ascii="Arial" w:eastAsia="Times New Roman" w:hAnsi="Arial" w:cs="Arial"/>
          <w:b/>
          <w:bCs/>
          <w:color w:val="000000"/>
          <w:sz w:val="20"/>
          <w:szCs w:val="20"/>
        </w:rPr>
        <w:t>s and Services</w:t>
      </w:r>
    </w:p>
    <w:tbl>
      <w:tblPr>
        <w:tblW w:w="5000" w:type="pct"/>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368523149"/>
        </w:trPr>
        <w:tc>
          <w:tcPr>
            <w:tcW w:w="50" w:type="pct"/>
            <w:vAlign w:val="center"/>
            <w:hideMark/>
          </w:tcPr>
          <w:p w:rsidR="00000000" w:rsidRDefault="00131F06">
            <w:pPr>
              <w:rPr>
                <w:rFonts w:eastAsia="Times New Roman"/>
              </w:rPr>
            </w:pPr>
          </w:p>
        </w:tc>
        <w:tc>
          <w:tcPr>
            <w:tcW w:w="13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368523149"/>
          <w:trHeight w:val="40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1368523149"/>
          <w:trHeight w:val="40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r>
            <w:r>
              <w:rPr>
                <w:rFonts w:ascii="Arial" w:eastAsia="Times New Roman" w:hAnsi="Arial" w:cs="Arial"/>
                <w:b/>
                <w:bCs/>
                <w:color w:val="000000"/>
                <w:sz w:val="16"/>
                <w:szCs w:val="16"/>
              </w:rPr>
              <w:t>September 30, 2022</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r>
      <w:tr w:rsidR="00000000">
        <w:trPr>
          <w:divId w:val="136852314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36852314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2,962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4,369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36852314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368523149"/>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36852314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368523149"/>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368523149"/>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36852314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ind w:hanging="180"/>
              <w:divId w:val="1326785299"/>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3,020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1,355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905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5,348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36852314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368523149"/>
        </w:trPr>
        <w:tc>
          <w:tcPr>
            <w:tcW w:w="0" w:type="auto"/>
            <w:gridSpan w:val="3"/>
            <w:tcMar>
              <w:top w:w="30" w:type="dxa"/>
              <w:left w:w="20" w:type="dxa"/>
              <w:bottom w:w="30" w:type="dxa"/>
              <w:right w:w="20" w:type="dxa"/>
            </w:tcMar>
            <w:vAlign w:val="center"/>
            <w:hideMark/>
          </w:tcPr>
          <w:p w:rsidR="00000000" w:rsidRDefault="00131F06">
            <w:pPr>
              <w:spacing w:after="100"/>
              <w:divId w:val="485821468"/>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(258)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(190)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36852314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36852314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2,899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1,366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909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120</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6,419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11,573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209088837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3"/>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2001425547"/>
        </w:trPr>
        <w:tc>
          <w:tcPr>
            <w:tcW w:w="50" w:type="pct"/>
            <w:vAlign w:val="center"/>
            <w:hideMark/>
          </w:tcPr>
          <w:p w:rsidR="00000000" w:rsidRDefault="00131F06">
            <w:pPr>
              <w:rPr>
                <w:rFonts w:eastAsia="Times New Roman"/>
              </w:rPr>
            </w:pPr>
          </w:p>
        </w:tc>
        <w:tc>
          <w:tcPr>
            <w:tcW w:w="130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2001425547"/>
          <w:trHeight w:val="40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2001425547"/>
          <w:trHeight w:val="40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September 30, 2021</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r>
      <w:tr w:rsidR="00000000">
        <w:trPr>
          <w:divId w:val="200142554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2001425547"/>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2,340 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1,081 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3,549 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01425547"/>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141 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01425547"/>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2001425547"/>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496 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496 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01425547"/>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44 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44 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2001425547"/>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200142554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ind w:hanging="180"/>
              <w:divId w:val="1696693176"/>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2,373 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1,154 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674 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44 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4,245 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2001425547"/>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7,279 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7,279 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01425547"/>
        </w:trPr>
        <w:tc>
          <w:tcPr>
            <w:tcW w:w="0" w:type="auto"/>
            <w:gridSpan w:val="3"/>
            <w:tcMar>
              <w:top w:w="30" w:type="dxa"/>
              <w:left w:w="20" w:type="dxa"/>
              <w:bottom w:w="30" w:type="dxa"/>
              <w:right w:w="20" w:type="dxa"/>
            </w:tcMar>
            <w:vAlign w:val="center"/>
            <w:hideMark/>
          </w:tcPr>
          <w:p w:rsidR="00000000" w:rsidRDefault="00131F06">
            <w:pPr>
              <w:spacing w:after="100"/>
              <w:divId w:val="1698045459"/>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(143)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01425547"/>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140 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(142)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01425547"/>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2,370 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1,159 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7,290 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(162)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11,466 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821725965"/>
        <w:rPr>
          <w:rFonts w:eastAsia="Times New Roman"/>
        </w:rPr>
      </w:pPr>
    </w:p>
    <w:p w:rsidR="00000000" w:rsidRDefault="00131F06">
      <w:pPr>
        <w:jc w:val="center"/>
        <w:divId w:val="1973435395"/>
        <w:rPr>
          <w:rFonts w:eastAsia="Times New Roman"/>
        </w:rPr>
      </w:pPr>
      <w:r>
        <w:rPr>
          <w:rFonts w:ascii="Arial" w:eastAsia="Times New Roman" w:hAnsi="Arial" w:cs="Arial"/>
          <w:color w:val="000000"/>
          <w:sz w:val="20"/>
          <w:szCs w:val="20"/>
        </w:rPr>
        <w:t>12</w:t>
      </w:r>
    </w:p>
    <w:p w:rsidR="00000000" w:rsidRDefault="00131F06">
      <w:pPr>
        <w:rPr>
          <w:rFonts w:eastAsia="Times New Roman"/>
        </w:rPr>
      </w:pPr>
      <w:r>
        <w:rPr>
          <w:rFonts w:eastAsia="Times New Roman"/>
        </w:rPr>
        <w:pict>
          <v:rect id="_x0000_i1037" style="width:0;height:1.5pt" o:hralign="center" o:hrstd="t" o:hr="t" fillcolor="#a0a0a0" stroked="f"/>
        </w:pict>
      </w:r>
    </w:p>
    <w:p w:rsidR="00000000" w:rsidRDefault="00131F06">
      <w:pPr>
        <w:jc w:val="center"/>
        <w:divId w:val="6771187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717194731"/>
        </w:trPr>
        <w:tc>
          <w:tcPr>
            <w:tcW w:w="50" w:type="pct"/>
            <w:vAlign w:val="center"/>
            <w:hideMark/>
          </w:tcPr>
          <w:p w:rsidR="00000000" w:rsidRDefault="00131F06">
            <w:pPr>
              <w:jc w:val="center"/>
              <w:rPr>
                <w:rFonts w:eastAsia="Times New Roman"/>
              </w:rPr>
            </w:pPr>
          </w:p>
        </w:tc>
        <w:tc>
          <w:tcPr>
            <w:tcW w:w="13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717194731"/>
          <w:trHeight w:val="40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1717194731"/>
          <w:trHeight w:val="40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2022</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r>
      <w:tr w:rsidR="00000000">
        <w:trPr>
          <w:divId w:val="171719473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717194731"/>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8,212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3,658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12,421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17194731"/>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17194731"/>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717194731"/>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3,716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3,716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17194731"/>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717194731"/>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71719473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ind w:hanging="180"/>
              <w:divId w:val="205419093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8,385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3,937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4,476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211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17,009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717194731"/>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22,880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22,880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17194731"/>
        </w:trPr>
        <w:tc>
          <w:tcPr>
            <w:tcW w:w="0" w:type="auto"/>
            <w:gridSpan w:val="3"/>
            <w:tcMar>
              <w:top w:w="30" w:type="dxa"/>
              <w:left w:w="20" w:type="dxa"/>
              <w:bottom w:w="30" w:type="dxa"/>
              <w:right w:w="20" w:type="dxa"/>
            </w:tcMar>
            <w:vAlign w:val="center"/>
            <w:hideMark/>
          </w:tcPr>
          <w:p w:rsidR="00000000" w:rsidRDefault="00131F06">
            <w:pPr>
              <w:spacing w:after="100"/>
              <w:divId w:val="1485656648"/>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(225)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17194731"/>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(458)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71719473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8,592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3,967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4,458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431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22,894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(457)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39,885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1024321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3"/>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846600629"/>
        </w:trPr>
        <w:tc>
          <w:tcPr>
            <w:tcW w:w="50" w:type="pct"/>
            <w:vAlign w:val="center"/>
            <w:hideMark/>
          </w:tcPr>
          <w:p w:rsidR="00000000" w:rsidRDefault="00131F06">
            <w:pPr>
              <w:rPr>
                <w:rFonts w:eastAsia="Times New Roman"/>
              </w:rPr>
            </w:pPr>
          </w:p>
        </w:tc>
        <w:tc>
          <w:tcPr>
            <w:tcW w:w="130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846600629"/>
          <w:trHeight w:val="40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846600629"/>
          <w:trHeight w:val="400"/>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Nine months ended</w:t>
            </w:r>
            <w:r>
              <w:rPr>
                <w:rFonts w:ascii="Arial" w:eastAsia="Times New Roman" w:hAnsi="Arial" w:cs="Arial"/>
                <w:color w:val="000000"/>
                <w:sz w:val="16"/>
                <w:szCs w:val="16"/>
              </w:rPr>
              <w:br/>
              <w:t>September 30, 2021</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r>
      <w:tr w:rsidR="00000000">
        <w:trPr>
          <w:divId w:val="84660062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84660062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6,826 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3,248 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494 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10,568 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4660062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195 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159 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450 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46600629"/>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32 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32 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84660062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2,755 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2,755 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46600629"/>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125 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125 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846600629"/>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84660062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ind w:hanging="180"/>
              <w:divId w:val="1758088806"/>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6,922 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3,475 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3,408 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125 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13,930 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84660062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20,042 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20,042 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46600629"/>
        </w:trPr>
        <w:tc>
          <w:tcPr>
            <w:tcW w:w="0" w:type="auto"/>
            <w:gridSpan w:val="3"/>
            <w:tcMar>
              <w:top w:w="30" w:type="dxa"/>
              <w:left w:w="20" w:type="dxa"/>
              <w:bottom w:w="30" w:type="dxa"/>
              <w:right w:w="20" w:type="dxa"/>
            </w:tcMar>
            <w:vAlign w:val="center"/>
            <w:hideMark/>
          </w:tcPr>
          <w:p w:rsidR="00000000" w:rsidRDefault="00131F06">
            <w:pPr>
              <w:spacing w:after="100"/>
              <w:divId w:val="949355739"/>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284 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246 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579 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4660062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410 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(450)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4660062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7,616 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3,501 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3,463 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371 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20,068 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(468)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34,551 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180"/>
        <w:divId w:val="1208294687"/>
        <w:rPr>
          <w:rFonts w:eastAsia="Times New Roman"/>
        </w:rPr>
      </w:pPr>
      <w:r>
        <w:rPr>
          <w:rFonts w:ascii="Arial" w:eastAsia="Times New Roman" w:hAnsi="Arial" w:cs="Arial"/>
          <w:i/>
          <w:iCs/>
          <w:color w:val="000000"/>
          <w:sz w:val="16"/>
          <w:szCs w:val="16"/>
        </w:rPr>
        <w:t>1Includes mark-to</w:t>
      </w:r>
      <w:r>
        <w:rPr>
          <w:rFonts w:ascii="Arial" w:eastAsia="Times New Roman" w:hAnsi="Arial" w:cs="Arial"/>
          <w:i/>
          <w:iCs/>
          <w:color w:val="000000"/>
          <w:sz w:val="16"/>
          <w:szCs w:val="16"/>
          <w:shd w:val="clear" w:color="auto" w:fill="FFFFFF"/>
        </w:rPr>
        <w:t>-market losses f</w:t>
      </w:r>
      <w:r>
        <w:rPr>
          <w:rFonts w:ascii="Arial" w:eastAsia="Times New Roman" w:hAnsi="Arial" w:cs="Arial"/>
          <w:i/>
          <w:iCs/>
          <w:color w:val="000000"/>
          <w:sz w:val="16"/>
          <w:szCs w:val="16"/>
        </w:rPr>
        <w:t>rom our hedging program for the three months ended September</w:t>
      </w:r>
      <w:r>
        <w:rPr>
          <w:rFonts w:ascii="Arial" w:eastAsia="Times New Roman" w:hAnsi="Arial" w:cs="Arial"/>
          <w:i/>
          <w:iCs/>
          <w:color w:val="000000"/>
          <w:sz w:val="16"/>
          <w:szCs w:val="16"/>
        </w:rPr>
        <w:t> 30, 2022 and 2021 of $345 million and $225 million, respectively. For the nine months ended September 30, 2022 and 2021, Other revenue includes a $483 million mark-to-market loss and a $36 million mark-to-market gain, respectively.</w:t>
      </w:r>
    </w:p>
    <w:p w:rsidR="00000000" w:rsidRDefault="00131F06">
      <w:pPr>
        <w:ind w:hanging="180"/>
        <w:divId w:val="1207642601"/>
        <w:rPr>
          <w:rFonts w:eastAsia="Times New Roman"/>
        </w:rPr>
      </w:pPr>
      <w:r>
        <w:rPr>
          <w:rFonts w:ascii="Arial" w:eastAsia="Times New Roman" w:hAnsi="Arial" w:cs="Arial"/>
          <w:i/>
          <w:iCs/>
          <w:color w:val="000000"/>
          <w:sz w:val="16"/>
          <w:szCs w:val="16"/>
        </w:rPr>
        <w:t>2Includes revenues from</w:t>
      </w:r>
      <w:r>
        <w:rPr>
          <w:rFonts w:ascii="Arial" w:eastAsia="Times New Roman" w:hAnsi="Arial" w:cs="Arial"/>
          <w:i/>
          <w:iCs/>
          <w:color w:val="000000"/>
          <w:sz w:val="16"/>
          <w:szCs w:val="16"/>
        </w:rPr>
        <w:t xml:space="preserve"> lease contracts for the three months ended September 30, 2022 and 2021 of $128 million and $140 million, respectively, and for the nine months ended September 30, 2022 and 2021 of $435 million and $442 million, respectively.</w:t>
      </w:r>
    </w:p>
    <w:p w:rsidR="00000000" w:rsidRDefault="00131F06">
      <w:pPr>
        <w:ind w:hanging="360"/>
        <w:jc w:val="both"/>
        <w:rPr>
          <w:rFonts w:eastAsia="Times New Roman"/>
        </w:rPr>
      </w:pPr>
    </w:p>
    <w:p w:rsidR="00000000" w:rsidRDefault="00131F06">
      <w:pPr>
        <w:divId w:val="1669136776"/>
        <w:rPr>
          <w:rFonts w:eastAsia="Times New Roman"/>
        </w:rPr>
      </w:pPr>
      <w:r>
        <w:rPr>
          <w:rFonts w:ascii="Arial" w:eastAsia="Times New Roman" w:hAnsi="Arial" w:cs="Arial"/>
          <w:color w:val="000000"/>
          <w:sz w:val="20"/>
          <w:szCs w:val="20"/>
        </w:rPr>
        <w:t>We disaggregate revenues int</w:t>
      </w:r>
      <w:r>
        <w:rPr>
          <w:rFonts w:ascii="Arial" w:eastAsia="Times New Roman" w:hAnsi="Arial" w:cs="Arial"/>
          <w:color w:val="000000"/>
          <w:sz w:val="20"/>
          <w:szCs w:val="20"/>
        </w:rPr>
        <w:t>o categories which represent our principal performance obligations within each business segment. These revenue categories represent the most significant revenue streams in each segment and consequently are considered to be the most relevant revenue informa</w:t>
      </w:r>
      <w:r>
        <w:rPr>
          <w:rFonts w:ascii="Arial" w:eastAsia="Times New Roman" w:hAnsi="Arial" w:cs="Arial"/>
          <w:color w:val="000000"/>
          <w:sz w:val="20"/>
          <w:szCs w:val="20"/>
        </w:rPr>
        <w:t>tion for management to consider in evaluating performance.</w:t>
      </w:r>
    </w:p>
    <w:p w:rsidR="00000000" w:rsidRDefault="00131F06">
      <w:pPr>
        <w:divId w:val="1408461167"/>
        <w:rPr>
          <w:rFonts w:eastAsia="Times New Roman"/>
        </w:rPr>
      </w:pPr>
    </w:p>
    <w:p w:rsidR="00000000" w:rsidRDefault="00131F06">
      <w:pPr>
        <w:jc w:val="center"/>
        <w:divId w:val="1902711712"/>
        <w:rPr>
          <w:rFonts w:eastAsia="Times New Roman"/>
        </w:rPr>
      </w:pPr>
      <w:r>
        <w:rPr>
          <w:rFonts w:ascii="Arial" w:eastAsia="Times New Roman" w:hAnsi="Arial" w:cs="Arial"/>
          <w:color w:val="000000"/>
          <w:sz w:val="20"/>
          <w:szCs w:val="20"/>
        </w:rPr>
        <w:t>13</w:t>
      </w:r>
    </w:p>
    <w:p w:rsidR="00000000" w:rsidRDefault="00131F06">
      <w:pPr>
        <w:rPr>
          <w:rFonts w:eastAsia="Times New Roman"/>
        </w:rPr>
      </w:pPr>
      <w:r>
        <w:rPr>
          <w:rFonts w:eastAsia="Times New Roman"/>
        </w:rPr>
        <w:pict>
          <v:rect id="_x0000_i1038" style="width:0;height:1.5pt" o:hralign="center" o:hrstd="t" o:hr="t" fillcolor="#a0a0a0" stroked="f"/>
        </w:pict>
      </w:r>
    </w:p>
    <w:p w:rsidR="00000000" w:rsidRDefault="00131F06">
      <w:pPr>
        <w:jc w:val="center"/>
        <w:divId w:val="1967659085"/>
        <w:rPr>
          <w:rFonts w:eastAsia="Times New Roman"/>
        </w:rPr>
      </w:pPr>
    </w:p>
    <w:p w:rsidR="00000000" w:rsidRDefault="00131F06">
      <w:pPr>
        <w:divId w:val="1519663982"/>
        <w:rPr>
          <w:rFonts w:eastAsia="Times New Roman"/>
        </w:rPr>
      </w:pPr>
      <w:r>
        <w:rPr>
          <w:rFonts w:ascii="Arial" w:eastAsia="Times New Roman" w:hAnsi="Arial" w:cs="Arial"/>
          <w:b/>
          <w:bCs/>
          <w:color w:val="000000"/>
          <w:sz w:val="20"/>
          <w:szCs w:val="20"/>
        </w:rPr>
        <w:t>Contract Balances</w:t>
      </w:r>
    </w:p>
    <w:tbl>
      <w:tblPr>
        <w:tblW w:w="5000" w:type="pct"/>
        <w:tblCellMar>
          <w:top w:w="15" w:type="dxa"/>
          <w:left w:w="15" w:type="dxa"/>
          <w:bottom w:w="15" w:type="dxa"/>
          <w:right w:w="15" w:type="dxa"/>
        </w:tblCellMar>
        <w:tblLook w:val="04A0" w:firstRow="1" w:lastRow="0" w:firstColumn="1" w:lastColumn="0" w:noHBand="0" w:noVBand="1"/>
      </w:tblPr>
      <w:tblGrid>
        <w:gridCol w:w="69"/>
        <w:gridCol w:w="4034"/>
        <w:gridCol w:w="37"/>
        <w:gridCol w:w="69"/>
        <w:gridCol w:w="1398"/>
        <w:gridCol w:w="36"/>
        <w:gridCol w:w="69"/>
        <w:gridCol w:w="1226"/>
        <w:gridCol w:w="36"/>
        <w:gridCol w:w="70"/>
        <w:gridCol w:w="1226"/>
        <w:gridCol w:w="36"/>
      </w:tblGrid>
      <w:tr w:rsidR="00000000">
        <w:trPr>
          <w:divId w:val="571351727"/>
        </w:trPr>
        <w:tc>
          <w:tcPr>
            <w:tcW w:w="50" w:type="pct"/>
            <w:vAlign w:val="center"/>
            <w:hideMark/>
          </w:tcPr>
          <w:p w:rsidR="00000000" w:rsidRDefault="00131F06">
            <w:pPr>
              <w:rPr>
                <w:rFonts w:eastAsia="Times New Roman"/>
              </w:rPr>
            </w:pPr>
          </w:p>
        </w:tc>
        <w:tc>
          <w:tcPr>
            <w:tcW w:w="243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85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571351727"/>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Contract Receivables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Contract Liabilities</w:t>
            </w:r>
          </w:p>
        </w:tc>
      </w:tr>
      <w:tr w:rsidR="00000000">
        <w:trPr>
          <w:divId w:val="57135172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571351727"/>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Balance as at September 30, 2022</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2,307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2,201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571351727"/>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Balance as at December 31, 2021</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2,369 </w:t>
            </w:r>
          </w:p>
        </w:tc>
        <w:tc>
          <w:tcPr>
            <w:tcW w:w="0" w:type="auto"/>
            <w:tcBorders>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213 </w:t>
            </w:r>
          </w:p>
        </w:tc>
        <w:tc>
          <w:tcPr>
            <w:tcW w:w="0" w:type="auto"/>
            <w:tcBorders>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1,898 </w:t>
            </w:r>
          </w:p>
        </w:tc>
        <w:tc>
          <w:tcPr>
            <w:tcW w:w="0" w:type="auto"/>
            <w:tcBorders>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360"/>
        <w:jc w:val="both"/>
        <w:rPr>
          <w:rFonts w:eastAsia="Times New Roman"/>
        </w:rPr>
      </w:pPr>
    </w:p>
    <w:p w:rsidR="00000000" w:rsidRDefault="00131F06">
      <w:pPr>
        <w:divId w:val="481699683"/>
        <w:rPr>
          <w:rFonts w:eastAsia="Times New Roman"/>
        </w:rPr>
      </w:pPr>
      <w:r>
        <w:rPr>
          <w:rFonts w:ascii="Arial" w:eastAsia="Times New Roman" w:hAnsi="Arial" w:cs="Arial"/>
          <w:color w:val="000000"/>
          <w:sz w:val="20"/>
          <w:szCs w:val="20"/>
        </w:rPr>
        <w:t>Contract receivables represent the amount of receivables derived from contracts with customers.</w:t>
      </w:r>
    </w:p>
    <w:p w:rsidR="00000000" w:rsidRDefault="00131F06">
      <w:pPr>
        <w:divId w:val="130752727"/>
        <w:rPr>
          <w:rFonts w:eastAsia="Times New Roman"/>
        </w:rPr>
      </w:pPr>
    </w:p>
    <w:p w:rsidR="00000000" w:rsidRDefault="00131F06">
      <w:pPr>
        <w:divId w:val="1796025552"/>
        <w:rPr>
          <w:rFonts w:eastAsia="Times New Roman"/>
        </w:rPr>
      </w:pPr>
      <w:r>
        <w:rPr>
          <w:rFonts w:ascii="Arial" w:eastAsia="Times New Roman" w:hAnsi="Arial" w:cs="Arial"/>
          <w:color w:val="000000"/>
          <w:sz w:val="20"/>
          <w:szCs w:val="20"/>
        </w:rPr>
        <w:t xml:space="preserve">Contract assets represent the amount of revenues which have been recognized in advance of payments received for performance obligations we have fulfilled (or </w:t>
      </w:r>
      <w:r>
        <w:rPr>
          <w:rFonts w:ascii="Arial" w:eastAsia="Times New Roman" w:hAnsi="Arial" w:cs="Arial"/>
          <w:color w:val="000000"/>
          <w:sz w:val="20"/>
          <w:szCs w:val="20"/>
        </w:rPr>
        <w:t>partially fulfilled) and prior to the point in time at which our right to payment is unconditional. Amounts included in contract assets are transferred to accounts receivable when our right to receive the consideration becomes unconditional.</w:t>
      </w:r>
    </w:p>
    <w:p w:rsidR="00000000" w:rsidRDefault="00131F06">
      <w:pPr>
        <w:divId w:val="1308632608"/>
        <w:rPr>
          <w:rFonts w:eastAsia="Times New Roman"/>
        </w:rPr>
      </w:pPr>
    </w:p>
    <w:p w:rsidR="00000000" w:rsidRDefault="00131F06">
      <w:pPr>
        <w:divId w:val="689835689"/>
        <w:rPr>
          <w:rFonts w:eastAsia="Times New Roman"/>
        </w:rPr>
      </w:pPr>
      <w:r>
        <w:rPr>
          <w:rFonts w:ascii="Arial" w:eastAsia="Times New Roman" w:hAnsi="Arial" w:cs="Arial"/>
          <w:color w:val="000000"/>
          <w:sz w:val="20"/>
          <w:szCs w:val="20"/>
        </w:rPr>
        <w:t>Contract lia</w:t>
      </w:r>
      <w:r>
        <w:rPr>
          <w:rFonts w:ascii="Arial" w:eastAsia="Times New Roman" w:hAnsi="Arial" w:cs="Arial"/>
          <w:color w:val="000000"/>
          <w:sz w:val="20"/>
          <w:szCs w:val="20"/>
        </w:rPr>
        <w:t>bilities represent payments received for performance obligations which have not been fulfilled. Contract liabilities primarily relate to make-up rights and deferred revenues. Revenue recognized during the three and nine months ended September 30, 2022 incl</w:t>
      </w:r>
      <w:r>
        <w:rPr>
          <w:rFonts w:ascii="Arial" w:eastAsia="Times New Roman" w:hAnsi="Arial" w:cs="Arial"/>
          <w:color w:val="000000"/>
          <w:sz w:val="20"/>
          <w:szCs w:val="20"/>
        </w:rPr>
        <w:t>uded in contract liabilities at the beginning of the period is $57 million and $139 million, respectively. Increases in contract liabilities from cash received, net of amounts recognized as revenues, during the three and nine months ended September 30, 202</w:t>
      </w:r>
      <w:r>
        <w:rPr>
          <w:rFonts w:ascii="Arial" w:eastAsia="Times New Roman" w:hAnsi="Arial" w:cs="Arial"/>
          <w:color w:val="000000"/>
          <w:sz w:val="20"/>
          <w:szCs w:val="20"/>
        </w:rPr>
        <w:t>2 were $138 million and $366 million, respectively.</w:t>
      </w:r>
    </w:p>
    <w:p w:rsidR="00000000" w:rsidRDefault="00131F06">
      <w:pPr>
        <w:divId w:val="1981420890"/>
        <w:rPr>
          <w:rFonts w:eastAsia="Times New Roman"/>
        </w:rPr>
      </w:pPr>
    </w:p>
    <w:p w:rsidR="00000000" w:rsidRDefault="00131F06">
      <w:pPr>
        <w:divId w:val="469173752"/>
        <w:rPr>
          <w:rFonts w:eastAsia="Times New Roman"/>
        </w:rPr>
      </w:pPr>
      <w:r>
        <w:rPr>
          <w:rFonts w:ascii="Arial" w:eastAsia="Times New Roman" w:hAnsi="Arial" w:cs="Arial"/>
          <w:b/>
          <w:bCs/>
          <w:color w:val="000000"/>
          <w:sz w:val="20"/>
          <w:szCs w:val="20"/>
        </w:rPr>
        <w:t>Performance Obligations</w:t>
      </w:r>
    </w:p>
    <w:p w:rsidR="00000000" w:rsidRDefault="00131F06">
      <w:pPr>
        <w:divId w:val="151528650"/>
        <w:rPr>
          <w:rFonts w:eastAsia="Times New Roman"/>
        </w:rPr>
      </w:pPr>
      <w:r>
        <w:rPr>
          <w:rFonts w:ascii="Arial" w:eastAsia="Times New Roman" w:hAnsi="Arial" w:cs="Arial"/>
          <w:color w:val="000000"/>
          <w:sz w:val="20"/>
          <w:szCs w:val="20"/>
        </w:rPr>
        <w:t>There were no material revenues recognized in the three and nine months ended September 30, 2022 from performance obligations satisfied in previous periods.</w:t>
      </w:r>
    </w:p>
    <w:p w:rsidR="00000000" w:rsidRDefault="00131F06">
      <w:pPr>
        <w:divId w:val="1777599028"/>
        <w:rPr>
          <w:rFonts w:eastAsia="Times New Roman"/>
        </w:rPr>
      </w:pPr>
    </w:p>
    <w:p w:rsidR="00000000" w:rsidRDefault="00131F06">
      <w:pPr>
        <w:divId w:val="362629943"/>
        <w:rPr>
          <w:rFonts w:eastAsia="Times New Roman"/>
        </w:rPr>
      </w:pPr>
      <w:r>
        <w:rPr>
          <w:rFonts w:ascii="Arial" w:eastAsia="Times New Roman" w:hAnsi="Arial" w:cs="Arial"/>
          <w:b/>
          <w:bCs/>
          <w:color w:val="000000"/>
          <w:sz w:val="20"/>
          <w:szCs w:val="20"/>
        </w:rPr>
        <w:t>Revenues to be Recognized from Unfulfilled Performance Obligations</w:t>
      </w:r>
    </w:p>
    <w:p w:rsidR="00000000" w:rsidRDefault="00131F06">
      <w:pPr>
        <w:divId w:val="421684346"/>
        <w:rPr>
          <w:rFonts w:eastAsia="Times New Roman"/>
        </w:rPr>
      </w:pPr>
      <w:r>
        <w:rPr>
          <w:rFonts w:ascii="Arial" w:eastAsia="Times New Roman" w:hAnsi="Arial" w:cs="Arial"/>
          <w:color w:val="000000"/>
          <w:sz w:val="20"/>
          <w:szCs w:val="20"/>
        </w:rPr>
        <w:t>Total revenues from performance obligations expected to be fulfilled in future periods are $59.3 billion, of which $1.9 billion and $6.4 billion are expected to be recognized during the rem</w:t>
      </w:r>
      <w:r>
        <w:rPr>
          <w:rFonts w:ascii="Arial" w:eastAsia="Times New Roman" w:hAnsi="Arial" w:cs="Arial"/>
          <w:color w:val="000000"/>
          <w:sz w:val="20"/>
          <w:szCs w:val="20"/>
        </w:rPr>
        <w:t>aining three months ending December 31, 2022 and the year ending December 31, 2023, respectively.</w:t>
      </w:r>
    </w:p>
    <w:p w:rsidR="00000000" w:rsidRDefault="00131F06">
      <w:pPr>
        <w:jc w:val="both"/>
        <w:rPr>
          <w:rFonts w:eastAsia="Times New Roman"/>
        </w:rPr>
      </w:pPr>
    </w:p>
    <w:p w:rsidR="00000000" w:rsidRDefault="00131F06">
      <w:pPr>
        <w:divId w:val="1086001032"/>
        <w:rPr>
          <w:rFonts w:eastAsia="Times New Roman"/>
        </w:rPr>
      </w:pPr>
      <w:r>
        <w:rPr>
          <w:rFonts w:ascii="Arial" w:eastAsia="Times New Roman" w:hAnsi="Arial" w:cs="Arial"/>
          <w:color w:val="000000"/>
          <w:sz w:val="20"/>
          <w:szCs w:val="20"/>
        </w:rPr>
        <w:t>The revenues excluded from the amounts above based on optional exemptions available under Accounting Standards Codification (ASC) 606, as explained below, r</w:t>
      </w:r>
      <w:r>
        <w:rPr>
          <w:rFonts w:ascii="Arial" w:eastAsia="Times New Roman" w:hAnsi="Arial" w:cs="Arial"/>
          <w:color w:val="000000"/>
          <w:sz w:val="20"/>
          <w:szCs w:val="20"/>
        </w:rPr>
        <w:t>epresent a significant portion of our overall revenues and revenues from contracts with customers. Certain revenues such as flow-through operating costs charged to shippers are recognized at the amount for which we have the right to invoice our customers a</w:t>
      </w:r>
      <w:r>
        <w:rPr>
          <w:rFonts w:ascii="Arial" w:eastAsia="Times New Roman" w:hAnsi="Arial" w:cs="Arial"/>
          <w:color w:val="000000"/>
          <w:sz w:val="20"/>
          <w:szCs w:val="20"/>
        </w:rPr>
        <w:t>nd are excluded from the amounts for revenues to be recognized in the future from unfulfilled performance obligations above. Variable consideration is excluded from the amounts above due to the uncertainty of the associated consideration, which is generall</w:t>
      </w:r>
      <w:r>
        <w:rPr>
          <w:rFonts w:ascii="Arial" w:eastAsia="Times New Roman" w:hAnsi="Arial" w:cs="Arial"/>
          <w:color w:val="000000"/>
          <w:sz w:val="20"/>
          <w:szCs w:val="20"/>
        </w:rPr>
        <w:t>y resolved when actual volumes and prices are determined. For example, we consider interruptible transportation service revenues to be variable revenues since volumes cannot be estimated. Additionally, the effect of escalation on certain tolls which are co</w:t>
      </w:r>
      <w:r>
        <w:rPr>
          <w:rFonts w:ascii="Arial" w:eastAsia="Times New Roman" w:hAnsi="Arial" w:cs="Arial"/>
          <w:color w:val="000000"/>
          <w:sz w:val="20"/>
          <w:szCs w:val="20"/>
        </w:rPr>
        <w:t>ntractually escalated for inflation has not been reflected in the amounts above as it is not possible to reliably estimate future inflation rates. Revenues for periods extending beyond the current rate settlement term for regulated contracts where the toll</w:t>
      </w:r>
      <w:r>
        <w:rPr>
          <w:rFonts w:ascii="Arial" w:eastAsia="Times New Roman" w:hAnsi="Arial" w:cs="Arial"/>
          <w:color w:val="000000"/>
          <w:sz w:val="20"/>
          <w:szCs w:val="20"/>
        </w:rPr>
        <w:t>s are periodically reset by the regulator are excluded from the amounts above since future tolls remain unknown. Finally, revenues from contracts with customers which have an original expected duration of one year or less are excluded from the amounts abov</w:t>
      </w:r>
      <w:r>
        <w:rPr>
          <w:rFonts w:ascii="Arial" w:eastAsia="Times New Roman" w:hAnsi="Arial" w:cs="Arial"/>
          <w:color w:val="000000"/>
          <w:sz w:val="20"/>
          <w:szCs w:val="20"/>
        </w:rPr>
        <w:t>e.</w:t>
      </w:r>
    </w:p>
    <w:p w:rsidR="00000000" w:rsidRDefault="00131F06">
      <w:pPr>
        <w:divId w:val="1489516722"/>
        <w:rPr>
          <w:rFonts w:eastAsia="Times New Roman"/>
        </w:rPr>
      </w:pPr>
    </w:p>
    <w:p w:rsidR="00000000" w:rsidRDefault="00131F06">
      <w:pPr>
        <w:jc w:val="center"/>
        <w:divId w:val="607153873"/>
        <w:rPr>
          <w:rFonts w:eastAsia="Times New Roman"/>
        </w:rPr>
      </w:pPr>
      <w:r>
        <w:rPr>
          <w:rFonts w:ascii="Arial" w:eastAsia="Times New Roman" w:hAnsi="Arial" w:cs="Arial"/>
          <w:color w:val="000000"/>
          <w:sz w:val="20"/>
          <w:szCs w:val="20"/>
        </w:rPr>
        <w:t>14</w:t>
      </w:r>
    </w:p>
    <w:p w:rsidR="00000000" w:rsidRDefault="00131F06">
      <w:pPr>
        <w:rPr>
          <w:rFonts w:eastAsia="Times New Roman"/>
        </w:rPr>
      </w:pPr>
      <w:r>
        <w:rPr>
          <w:rFonts w:eastAsia="Times New Roman"/>
        </w:rPr>
        <w:pict>
          <v:rect id="_x0000_i1039" style="width:0;height:1.5pt" o:hralign="center" o:hrstd="t" o:hr="t" fillcolor="#a0a0a0" stroked="f"/>
        </w:pict>
      </w:r>
    </w:p>
    <w:p w:rsidR="00000000" w:rsidRDefault="00131F06">
      <w:pPr>
        <w:jc w:val="center"/>
        <w:divId w:val="1359893208"/>
        <w:rPr>
          <w:rFonts w:eastAsia="Times New Roman"/>
        </w:rPr>
      </w:pPr>
    </w:p>
    <w:p w:rsidR="00000000" w:rsidRDefault="00131F06">
      <w:pPr>
        <w:divId w:val="1052539378"/>
        <w:rPr>
          <w:rFonts w:eastAsia="Times New Roman"/>
        </w:rPr>
      </w:pPr>
      <w:r>
        <w:rPr>
          <w:rFonts w:ascii="Arial" w:eastAsia="Times New Roman" w:hAnsi="Arial" w:cs="Arial"/>
          <w:b/>
          <w:bCs/>
          <w:color w:val="000000"/>
          <w:sz w:val="20"/>
          <w:szCs w:val="20"/>
        </w:rPr>
        <w:t>Variable Consideration</w:t>
      </w:r>
    </w:p>
    <w:p w:rsidR="00000000" w:rsidRDefault="00131F06">
      <w:pPr>
        <w:divId w:val="1859538078"/>
        <w:rPr>
          <w:rFonts w:eastAsia="Times New Roman"/>
        </w:rPr>
      </w:pPr>
      <w:r>
        <w:rPr>
          <w:rFonts w:ascii="Arial" w:eastAsia="Times New Roman" w:hAnsi="Arial" w:cs="Arial"/>
          <w:color w:val="000000"/>
          <w:sz w:val="20"/>
          <w:szCs w:val="20"/>
        </w:rPr>
        <w:t xml:space="preserve">During the three and nine months ended September 30, 2022, revenue for the Canadian Mainline has been recognized in accordance with the terms of the Competitive Tolling Settlement, which </w:t>
      </w:r>
      <w:r>
        <w:rPr>
          <w:rFonts w:ascii="Arial" w:eastAsia="Times New Roman" w:hAnsi="Arial" w:cs="Arial"/>
          <w:color w:val="000000"/>
          <w:sz w:val="20"/>
          <w:szCs w:val="20"/>
        </w:rPr>
        <w:t xml:space="preserve">expired on June 30, 2021. The tolls in place on June 30, 2021 continue on an interim basis until a new commercial arrangement is implemented and are subject to finalization and adjustment applicable to the interim period, if any. Due to the uncertainty of </w:t>
      </w:r>
      <w:r>
        <w:rPr>
          <w:rFonts w:ascii="Arial" w:eastAsia="Times New Roman" w:hAnsi="Arial" w:cs="Arial"/>
          <w:color w:val="000000"/>
          <w:sz w:val="20"/>
          <w:szCs w:val="20"/>
        </w:rPr>
        <w:t>adjustment to tolling pursuant to a Canada Energy Regulator (CER) decision and potential customer negotiations, interim toll revenue recognized during the three and nine months ended September 30, 2022 is considered variable consideration.</w:t>
      </w:r>
    </w:p>
    <w:p w:rsidR="00000000" w:rsidRDefault="00131F06">
      <w:pPr>
        <w:divId w:val="1755780979"/>
        <w:rPr>
          <w:rFonts w:eastAsia="Times New Roman"/>
        </w:rPr>
      </w:pPr>
    </w:p>
    <w:p w:rsidR="00000000" w:rsidRDefault="00131F06">
      <w:pPr>
        <w:divId w:val="761606652"/>
        <w:rPr>
          <w:rFonts w:eastAsia="Times New Roman"/>
        </w:rPr>
      </w:pPr>
      <w:r>
        <w:rPr>
          <w:rFonts w:ascii="Arial" w:eastAsia="Times New Roman" w:hAnsi="Arial" w:cs="Arial"/>
          <w:b/>
          <w:bCs/>
          <w:color w:val="000000"/>
          <w:sz w:val="20"/>
          <w:szCs w:val="20"/>
        </w:rPr>
        <w:t>Recognition an</w:t>
      </w:r>
      <w:r>
        <w:rPr>
          <w:rFonts w:ascii="Arial" w:eastAsia="Times New Roman" w:hAnsi="Arial" w:cs="Arial"/>
          <w:b/>
          <w:bCs/>
          <w:color w:val="000000"/>
          <w:sz w:val="20"/>
          <w:szCs w:val="20"/>
        </w:rPr>
        <w:t>d Measurement of Revenues</w:t>
      </w: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6"/>
        <w:gridCol w:w="64"/>
        <w:gridCol w:w="757"/>
        <w:gridCol w:w="36"/>
        <w:gridCol w:w="87"/>
        <w:gridCol w:w="897"/>
        <w:gridCol w:w="36"/>
        <w:gridCol w:w="78"/>
        <w:gridCol w:w="756"/>
        <w:gridCol w:w="36"/>
        <w:gridCol w:w="74"/>
        <w:gridCol w:w="788"/>
        <w:gridCol w:w="36"/>
        <w:gridCol w:w="36"/>
        <w:gridCol w:w="36"/>
        <w:gridCol w:w="36"/>
        <w:gridCol w:w="86"/>
        <w:gridCol w:w="880"/>
        <w:gridCol w:w="36"/>
      </w:tblGrid>
      <w:tr w:rsidR="00000000">
        <w:trPr>
          <w:divId w:val="1513958785"/>
        </w:trPr>
        <w:tc>
          <w:tcPr>
            <w:tcW w:w="50" w:type="pct"/>
            <w:vAlign w:val="center"/>
            <w:hideMark/>
          </w:tcPr>
          <w:p w:rsidR="00000000" w:rsidRDefault="00131F06">
            <w:pPr>
              <w:rPr>
                <w:rFonts w:eastAsia="Times New Roman"/>
              </w:rPr>
            </w:pPr>
          </w:p>
        </w:tc>
        <w:tc>
          <w:tcPr>
            <w:tcW w:w="213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513958785"/>
          <w:trHeight w:val="40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131F06">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1513958785"/>
          <w:trHeight w:val="400"/>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16"/>
                <w:szCs w:val="16"/>
              </w:rPr>
              <w:t>Three months ended September 30, 2022</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vMerge/>
            <w:vAlign w:val="center"/>
            <w:hideMark/>
          </w:tcPr>
          <w:p w:rsidR="00000000" w:rsidRDefault="00131F06">
            <w:pPr>
              <w:spacing w:after="100"/>
              <w:rPr>
                <w:rFonts w:eastAsia="Times New Roman"/>
              </w:rPr>
            </w:pPr>
          </w:p>
        </w:tc>
      </w:tr>
      <w:tr w:rsidR="00000000">
        <w:trPr>
          <w:divId w:val="15139587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513958785"/>
        </w:trPr>
        <w:tc>
          <w:tcPr>
            <w:tcW w:w="0" w:type="auto"/>
            <w:gridSpan w:val="3"/>
            <w:tcMar>
              <w:top w:w="30" w:type="dxa"/>
              <w:left w:w="20" w:type="dxa"/>
              <w:bottom w:w="30" w:type="dxa"/>
              <w:right w:w="20" w:type="dxa"/>
            </w:tcMar>
            <w:vAlign w:val="center"/>
            <w:hideMark/>
          </w:tcPr>
          <w:p w:rsidR="00000000" w:rsidRDefault="00131F06">
            <w:pPr>
              <w:spacing w:after="100"/>
              <w:ind w:hanging="180"/>
              <w:divId w:val="500974308"/>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13958785"/>
        </w:trPr>
        <w:tc>
          <w:tcPr>
            <w:tcW w:w="0" w:type="auto"/>
            <w:gridSpan w:val="3"/>
            <w:tcMar>
              <w:top w:w="30" w:type="dxa"/>
              <w:left w:w="20" w:type="dxa"/>
              <w:bottom w:w="30" w:type="dxa"/>
              <w:right w:w="20" w:type="dxa"/>
            </w:tcMar>
            <w:vAlign w:val="center"/>
            <w:hideMark/>
          </w:tcPr>
          <w:p w:rsidR="00000000" w:rsidRDefault="00131F06">
            <w:pPr>
              <w:spacing w:after="100"/>
              <w:ind w:hanging="180"/>
              <w:divId w:val="1192301005"/>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3,020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1,355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864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5,307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51395878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ind w:hanging="180"/>
              <w:divId w:val="8018110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3,020</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1,355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905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5,348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2001264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6"/>
        <w:gridCol w:w="64"/>
        <w:gridCol w:w="757"/>
        <w:gridCol w:w="36"/>
        <w:gridCol w:w="87"/>
        <w:gridCol w:w="897"/>
        <w:gridCol w:w="36"/>
        <w:gridCol w:w="78"/>
        <w:gridCol w:w="756"/>
        <w:gridCol w:w="36"/>
        <w:gridCol w:w="74"/>
        <w:gridCol w:w="788"/>
        <w:gridCol w:w="36"/>
        <w:gridCol w:w="36"/>
        <w:gridCol w:w="36"/>
        <w:gridCol w:w="36"/>
        <w:gridCol w:w="86"/>
        <w:gridCol w:w="880"/>
        <w:gridCol w:w="36"/>
      </w:tblGrid>
      <w:tr w:rsidR="00000000">
        <w:trPr>
          <w:divId w:val="1097484175"/>
        </w:trPr>
        <w:tc>
          <w:tcPr>
            <w:tcW w:w="50" w:type="pct"/>
            <w:vAlign w:val="center"/>
            <w:hideMark/>
          </w:tcPr>
          <w:p w:rsidR="00000000" w:rsidRDefault="00131F06">
            <w:pPr>
              <w:rPr>
                <w:rFonts w:eastAsia="Times New Roman"/>
              </w:rPr>
            </w:pPr>
          </w:p>
        </w:tc>
        <w:tc>
          <w:tcPr>
            <w:tcW w:w="213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097484175"/>
          <w:trHeight w:val="40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131F06">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1097484175"/>
          <w:trHeight w:val="400"/>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6"/>
                <w:szCs w:val="16"/>
              </w:rPr>
              <w:t>Three months ended September 30, 2021</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vMerge/>
            <w:vAlign w:val="center"/>
            <w:hideMark/>
          </w:tcPr>
          <w:p w:rsidR="00000000" w:rsidRDefault="00131F06">
            <w:pPr>
              <w:spacing w:after="100"/>
              <w:rPr>
                <w:rFonts w:eastAsia="Times New Roman"/>
              </w:rPr>
            </w:pPr>
          </w:p>
        </w:tc>
      </w:tr>
      <w:tr w:rsidR="00000000">
        <w:trPr>
          <w:divId w:val="109748417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097484175"/>
        </w:trPr>
        <w:tc>
          <w:tcPr>
            <w:tcW w:w="0" w:type="auto"/>
            <w:gridSpan w:val="3"/>
            <w:tcMar>
              <w:top w:w="30" w:type="dxa"/>
              <w:left w:w="20" w:type="dxa"/>
              <w:bottom w:w="30" w:type="dxa"/>
              <w:right w:w="20" w:type="dxa"/>
            </w:tcMar>
            <w:vAlign w:val="center"/>
            <w:hideMark/>
          </w:tcPr>
          <w:p w:rsidR="00000000" w:rsidRDefault="00131F06">
            <w:pPr>
              <w:spacing w:after="100"/>
              <w:ind w:hanging="180"/>
              <w:divId w:val="476805608"/>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097484175"/>
        </w:trPr>
        <w:tc>
          <w:tcPr>
            <w:tcW w:w="0" w:type="auto"/>
            <w:gridSpan w:val="3"/>
            <w:tcMar>
              <w:top w:w="30" w:type="dxa"/>
              <w:left w:w="20" w:type="dxa"/>
              <w:bottom w:w="30" w:type="dxa"/>
              <w:right w:w="20" w:type="dxa"/>
            </w:tcMar>
            <w:vAlign w:val="center"/>
            <w:hideMark/>
          </w:tcPr>
          <w:p w:rsidR="00000000" w:rsidRDefault="00131F06">
            <w:pPr>
              <w:spacing w:after="100"/>
              <w:ind w:hanging="180"/>
              <w:divId w:val="1535384057"/>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2,373 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1,154 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661 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44 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4,232 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09748417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ind w:hanging="180"/>
              <w:divId w:val="62724888"/>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2,373 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1,154 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674 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4,245 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22043441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6"/>
        <w:gridCol w:w="64"/>
        <w:gridCol w:w="757"/>
        <w:gridCol w:w="36"/>
        <w:gridCol w:w="87"/>
        <w:gridCol w:w="897"/>
        <w:gridCol w:w="36"/>
        <w:gridCol w:w="78"/>
        <w:gridCol w:w="756"/>
        <w:gridCol w:w="36"/>
        <w:gridCol w:w="74"/>
        <w:gridCol w:w="788"/>
        <w:gridCol w:w="36"/>
        <w:gridCol w:w="36"/>
        <w:gridCol w:w="36"/>
        <w:gridCol w:w="36"/>
        <w:gridCol w:w="86"/>
        <w:gridCol w:w="880"/>
        <w:gridCol w:w="36"/>
      </w:tblGrid>
      <w:tr w:rsidR="00000000">
        <w:trPr>
          <w:divId w:val="222526731"/>
        </w:trPr>
        <w:tc>
          <w:tcPr>
            <w:tcW w:w="50" w:type="pct"/>
            <w:vAlign w:val="center"/>
            <w:hideMark/>
          </w:tcPr>
          <w:p w:rsidR="00000000" w:rsidRDefault="00131F06">
            <w:pPr>
              <w:rPr>
                <w:rFonts w:eastAsia="Times New Roman"/>
              </w:rPr>
            </w:pPr>
          </w:p>
        </w:tc>
        <w:tc>
          <w:tcPr>
            <w:tcW w:w="213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222526731"/>
          <w:trHeight w:val="40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131F06">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222526731"/>
          <w:trHeight w:val="400"/>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16"/>
                <w:szCs w:val="16"/>
              </w:rPr>
              <w:t>Nine months ended September 30, 2022</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vMerge/>
            <w:vAlign w:val="center"/>
            <w:hideMark/>
          </w:tcPr>
          <w:p w:rsidR="00000000" w:rsidRDefault="00131F06">
            <w:pPr>
              <w:spacing w:after="100"/>
              <w:rPr>
                <w:rFonts w:eastAsia="Times New Roman"/>
              </w:rPr>
            </w:pPr>
          </w:p>
        </w:tc>
      </w:tr>
      <w:tr w:rsidR="00000000">
        <w:trPr>
          <w:divId w:val="22252673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222526731"/>
        </w:trPr>
        <w:tc>
          <w:tcPr>
            <w:tcW w:w="0" w:type="auto"/>
            <w:gridSpan w:val="3"/>
            <w:tcMar>
              <w:top w:w="30" w:type="dxa"/>
              <w:left w:w="20" w:type="dxa"/>
              <w:bottom w:w="30" w:type="dxa"/>
              <w:right w:w="20" w:type="dxa"/>
            </w:tcMar>
            <w:vAlign w:val="center"/>
            <w:hideMark/>
          </w:tcPr>
          <w:p w:rsidR="00000000" w:rsidRDefault="00131F06">
            <w:pPr>
              <w:spacing w:after="100"/>
              <w:ind w:hanging="180"/>
              <w:divId w:val="340594384"/>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22526731"/>
        </w:trPr>
        <w:tc>
          <w:tcPr>
            <w:tcW w:w="0" w:type="auto"/>
            <w:gridSpan w:val="3"/>
            <w:tcMar>
              <w:top w:w="30" w:type="dxa"/>
              <w:left w:w="20" w:type="dxa"/>
              <w:bottom w:w="30" w:type="dxa"/>
              <w:right w:w="20" w:type="dxa"/>
            </w:tcMar>
            <w:vAlign w:val="center"/>
            <w:hideMark/>
          </w:tcPr>
          <w:p w:rsidR="00000000" w:rsidRDefault="00131F06">
            <w:pPr>
              <w:spacing w:after="100"/>
              <w:ind w:hanging="180"/>
              <w:divId w:val="1068040665"/>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8,385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3,937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4,399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16,932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22252673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ind w:hanging="180"/>
              <w:divId w:val="162053008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8,385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3,937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4,476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211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17,009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86579971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6"/>
        <w:gridCol w:w="64"/>
        <w:gridCol w:w="757"/>
        <w:gridCol w:w="36"/>
        <w:gridCol w:w="87"/>
        <w:gridCol w:w="897"/>
        <w:gridCol w:w="36"/>
        <w:gridCol w:w="78"/>
        <w:gridCol w:w="756"/>
        <w:gridCol w:w="36"/>
        <w:gridCol w:w="74"/>
        <w:gridCol w:w="788"/>
        <w:gridCol w:w="36"/>
        <w:gridCol w:w="36"/>
        <w:gridCol w:w="36"/>
        <w:gridCol w:w="36"/>
        <w:gridCol w:w="86"/>
        <w:gridCol w:w="880"/>
        <w:gridCol w:w="36"/>
      </w:tblGrid>
      <w:tr w:rsidR="00000000">
        <w:trPr>
          <w:divId w:val="1208568403"/>
        </w:trPr>
        <w:tc>
          <w:tcPr>
            <w:tcW w:w="50" w:type="pct"/>
            <w:vAlign w:val="center"/>
            <w:hideMark/>
          </w:tcPr>
          <w:p w:rsidR="00000000" w:rsidRDefault="00131F06">
            <w:pPr>
              <w:rPr>
                <w:rFonts w:eastAsia="Times New Roman"/>
              </w:rPr>
            </w:pPr>
          </w:p>
        </w:tc>
        <w:tc>
          <w:tcPr>
            <w:tcW w:w="213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208568403"/>
          <w:trHeight w:val="40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131F06">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1208568403"/>
          <w:trHeight w:val="400"/>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6"/>
                <w:szCs w:val="16"/>
              </w:rPr>
              <w:t>Nine months ended September 30, 2021</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vMerge/>
            <w:vAlign w:val="center"/>
            <w:hideMark/>
          </w:tcPr>
          <w:p w:rsidR="00000000" w:rsidRDefault="00131F06">
            <w:pPr>
              <w:spacing w:after="100"/>
              <w:rPr>
                <w:rFonts w:eastAsia="Times New Roman"/>
              </w:rPr>
            </w:pPr>
          </w:p>
        </w:tc>
      </w:tr>
      <w:tr w:rsidR="00000000">
        <w:trPr>
          <w:divId w:val="120856840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08568403"/>
        </w:trPr>
        <w:tc>
          <w:tcPr>
            <w:tcW w:w="0" w:type="auto"/>
            <w:gridSpan w:val="3"/>
            <w:tcMar>
              <w:top w:w="30" w:type="dxa"/>
              <w:left w:w="20" w:type="dxa"/>
              <w:bottom w:w="30" w:type="dxa"/>
              <w:right w:w="20" w:type="dxa"/>
            </w:tcMar>
            <w:vAlign w:val="center"/>
            <w:hideMark/>
          </w:tcPr>
          <w:p w:rsidR="00000000" w:rsidRDefault="00131F06">
            <w:pPr>
              <w:spacing w:after="100"/>
              <w:ind w:hanging="180"/>
              <w:divId w:val="902301952"/>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08568403"/>
        </w:trPr>
        <w:tc>
          <w:tcPr>
            <w:tcW w:w="0" w:type="auto"/>
            <w:gridSpan w:val="3"/>
            <w:tcMar>
              <w:top w:w="30" w:type="dxa"/>
              <w:left w:w="20" w:type="dxa"/>
              <w:bottom w:w="30" w:type="dxa"/>
              <w:right w:w="20" w:type="dxa"/>
            </w:tcMar>
            <w:vAlign w:val="center"/>
            <w:hideMark/>
          </w:tcPr>
          <w:p w:rsidR="00000000" w:rsidRDefault="00131F06">
            <w:pPr>
              <w:spacing w:after="100"/>
              <w:ind w:hanging="180"/>
              <w:divId w:val="1649817935"/>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6,922 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3,475 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3,361 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125 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13,883 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20856840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ind w:hanging="180"/>
              <w:divId w:val="840048028"/>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6,922 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3,475 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3,408 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13,930 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180"/>
        <w:divId w:val="199736910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Revenue from crude oil and natural gas pipeline transportation, storage, natural gas gathering, compression and treating, natural gas distribution, natural gas storage services and electricity sales.</w:t>
      </w:r>
    </w:p>
    <w:p w:rsidR="00000000" w:rsidRDefault="00131F06">
      <w:pPr>
        <w:ind w:hanging="180"/>
        <w:divId w:val="2046052869"/>
        <w:rPr>
          <w:rFonts w:eastAsia="Times New Roman"/>
        </w:rPr>
      </w:pPr>
    </w:p>
    <w:p w:rsidR="00000000" w:rsidRDefault="00131F06">
      <w:pPr>
        <w:jc w:val="center"/>
        <w:divId w:val="1335180952"/>
        <w:rPr>
          <w:rFonts w:eastAsia="Times New Roman"/>
        </w:rPr>
      </w:pPr>
      <w:r>
        <w:rPr>
          <w:rFonts w:ascii="Arial" w:eastAsia="Times New Roman" w:hAnsi="Arial" w:cs="Arial"/>
          <w:color w:val="000000"/>
          <w:sz w:val="20"/>
          <w:szCs w:val="20"/>
        </w:rPr>
        <w:t>15</w:t>
      </w:r>
    </w:p>
    <w:p w:rsidR="00000000" w:rsidRDefault="00131F06">
      <w:pPr>
        <w:rPr>
          <w:rFonts w:eastAsia="Times New Roman"/>
        </w:rPr>
      </w:pPr>
      <w:r>
        <w:rPr>
          <w:rFonts w:eastAsia="Times New Roman"/>
        </w:rPr>
        <w:pict>
          <v:rect id="_x0000_i1040" style="width:0;height:1.5pt" o:hralign="center" o:hrstd="t" o:hr="t" fillcolor="#a0a0a0" stroked="f"/>
        </w:pict>
      </w:r>
    </w:p>
    <w:p w:rsidR="00000000" w:rsidRDefault="00131F06">
      <w:pPr>
        <w:jc w:val="center"/>
        <w:divId w:val="1202748359"/>
        <w:rPr>
          <w:rFonts w:eastAsia="Times New Roman"/>
        </w:rPr>
      </w:pPr>
    </w:p>
    <w:p w:rsidR="00000000" w:rsidRDefault="00131F06">
      <w:pPr>
        <w:divId w:val="584536866"/>
        <w:rPr>
          <w:rFonts w:eastAsia="Times New Roman"/>
        </w:rPr>
      </w:pPr>
      <w:r>
        <w:rPr>
          <w:rFonts w:ascii="Arial" w:eastAsia="Times New Roman" w:hAnsi="Arial" w:cs="Arial"/>
          <w:b/>
          <w:bCs/>
          <w:color w:val="000000"/>
          <w:sz w:val="26"/>
          <w:szCs w:val="26"/>
        </w:rPr>
        <w:t>4. SEGMENTED INFORMATION</w:t>
      </w:r>
    </w:p>
    <w:p w:rsidR="00000000" w:rsidRDefault="00131F06">
      <w:pPr>
        <w:divId w:val="172536993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125"/>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jc w:val="center"/>
        </w:trPr>
        <w:tc>
          <w:tcPr>
            <w:tcW w:w="50" w:type="pct"/>
            <w:vAlign w:val="center"/>
            <w:hideMark/>
          </w:tcPr>
          <w:p w:rsidR="00000000" w:rsidRDefault="00131F06">
            <w:pPr>
              <w:rPr>
                <w:rFonts w:eastAsia="Times New Roman"/>
              </w:rPr>
            </w:pPr>
          </w:p>
        </w:tc>
        <w:tc>
          <w:tcPr>
            <w:tcW w:w="130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trHeight w:val="400"/>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2022</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Operating revenues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2,899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1,366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11,573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(327)</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(6,465)</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(6,630)</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(1,173)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(545)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(311)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(2,089)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jc w:val="center"/>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ind w:hanging="180"/>
              <w:divId w:val="274480209"/>
              <w:rPr>
                <w:rFonts w:eastAsia="Times New Roman"/>
              </w:rPr>
            </w:pPr>
            <w:r>
              <w:rPr>
                <w:rFonts w:ascii="Arial" w:eastAsia="Times New Roman" w:hAnsi="Arial" w:cs="Arial"/>
                <w:color w:val="000000"/>
                <w:sz w:val="16"/>
                <w:szCs w:val="16"/>
              </w:rPr>
              <w:t xml:space="preserve">Gain on joint venture merger transaction </w:t>
            </w:r>
            <w:r>
              <w:rPr>
                <w:rFonts w:ascii="Arial" w:eastAsia="Times New Roman" w:hAnsi="Arial" w:cs="Arial"/>
                <w:i/>
                <w:iCs/>
                <w:color w:val="000000"/>
                <w:sz w:val="14"/>
                <w:szCs w:val="14"/>
              </w:rPr>
              <w:t>(Note 6)</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1,076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1,076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942)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(883)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1,946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2,251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286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105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(70)</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(935)</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3,583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(1,076)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(806)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(318)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1,383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divId w:val="308242837"/>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268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525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405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1,215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360"/>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126"/>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jc w:val="center"/>
        </w:trPr>
        <w:tc>
          <w:tcPr>
            <w:tcW w:w="50" w:type="pct"/>
            <w:vAlign w:val="center"/>
            <w:hideMark/>
          </w:tcPr>
          <w:p w:rsidR="00000000" w:rsidRDefault="00131F06">
            <w:pPr>
              <w:ind w:hanging="360"/>
              <w:jc w:val="center"/>
              <w:rPr>
                <w:rFonts w:eastAsia="Times New Roman"/>
              </w:rPr>
            </w:pPr>
          </w:p>
        </w:tc>
        <w:tc>
          <w:tcPr>
            <w:tcW w:w="13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trHeight w:val="400"/>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Three months ended</w:t>
            </w:r>
          </w:p>
          <w:p w:rsidR="00000000" w:rsidRDefault="00131F06">
            <w:pPr>
              <w:spacing w:after="100"/>
              <w:ind w:hanging="180"/>
              <w:divId w:val="1078750022"/>
              <w:rPr>
                <w:rFonts w:eastAsia="Times New Roman"/>
              </w:rPr>
            </w:pPr>
            <w:r>
              <w:rPr>
                <w:rFonts w:ascii="Arial" w:eastAsia="Times New Roman" w:hAnsi="Arial" w:cs="Arial"/>
                <w:color w:val="000000"/>
                <w:sz w:val="16"/>
                <w:szCs w:val="16"/>
              </w:rPr>
              <w:t>September 30, 2021</w:t>
            </w: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c>
          <w:tcPr>
            <w:tcW w:w="0" w:type="auto"/>
            <w:gridSpan w:val="3"/>
            <w:vMerge/>
            <w:vAlign w:val="center"/>
            <w:hideMark/>
          </w:tcPr>
          <w:p w:rsidR="00000000" w:rsidRDefault="00131F06">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Operating revenues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2,370 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1,159 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687 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7,290 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(162)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11,466 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(135)</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(7,485)</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159 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(7,467)</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(919)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(445)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(280)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1,667)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jc w:val="center"/>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226 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211 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(12)</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440 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Impairment of equity investments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(159)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1,673 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884 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282 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91 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(204)</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(121)</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2,605 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(944)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(199)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814 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divId w:val="37583515"/>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1,203 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602 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359 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2,185 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360"/>
        <w:divId w:val="706685223"/>
        <w:rPr>
          <w:rFonts w:eastAsia="Times New Roman"/>
        </w:rPr>
      </w:pPr>
    </w:p>
    <w:p w:rsidR="00000000" w:rsidRDefault="00131F06">
      <w:pPr>
        <w:divId w:val="1584608970"/>
        <w:rPr>
          <w:rFonts w:eastAsia="Times New Roman"/>
        </w:rPr>
      </w:pPr>
    </w:p>
    <w:p w:rsidR="00000000" w:rsidRDefault="00131F06">
      <w:pPr>
        <w:jc w:val="center"/>
        <w:divId w:val="242423301"/>
        <w:rPr>
          <w:rFonts w:eastAsia="Times New Roman"/>
        </w:rPr>
      </w:pPr>
      <w:r>
        <w:rPr>
          <w:rFonts w:ascii="Arial" w:eastAsia="Times New Roman" w:hAnsi="Arial" w:cs="Arial"/>
          <w:color w:val="000000"/>
          <w:sz w:val="20"/>
          <w:szCs w:val="20"/>
        </w:rPr>
        <w:t>16</w:t>
      </w:r>
    </w:p>
    <w:p w:rsidR="00000000" w:rsidRDefault="00131F06">
      <w:pPr>
        <w:rPr>
          <w:rFonts w:eastAsia="Times New Roman"/>
        </w:rPr>
      </w:pPr>
      <w:r>
        <w:rPr>
          <w:rFonts w:eastAsia="Times New Roman"/>
        </w:rPr>
        <w:pict>
          <v:rect id="_x0000_i1041" style="width:0;height:1.5pt" o:hralign="center" o:hrstd="t" o:hr="t" fillcolor="#a0a0a0" stroked="f"/>
        </w:pict>
      </w:r>
    </w:p>
    <w:p w:rsidR="00000000" w:rsidRDefault="00131F06">
      <w:pPr>
        <w:jc w:val="center"/>
        <w:divId w:val="20513889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6"/>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647513479"/>
        </w:trPr>
        <w:tc>
          <w:tcPr>
            <w:tcW w:w="50" w:type="pct"/>
            <w:vAlign w:val="center"/>
            <w:hideMark/>
          </w:tcPr>
          <w:p w:rsidR="00000000" w:rsidRDefault="00131F06">
            <w:pPr>
              <w:jc w:val="center"/>
              <w:rPr>
                <w:rFonts w:eastAsia="Times New Roman"/>
              </w:rPr>
            </w:pPr>
          </w:p>
        </w:tc>
        <w:tc>
          <w:tcPr>
            <w:tcW w:w="13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647513479"/>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2022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164751347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64751347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Operating revenues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8,592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3,967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4,458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431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22,894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(457)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39,885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647513479"/>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(2,258)</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(13)</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(23,197)</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454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(25,014)</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64751347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(3,096)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(1,620)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(891)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(159)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(158)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(5,958)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647513479"/>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647513479"/>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647513479"/>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561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877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1,537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647513479"/>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647513479"/>
        </w:trPr>
        <w:tc>
          <w:tcPr>
            <w:tcW w:w="0" w:type="auto"/>
            <w:gridSpan w:val="3"/>
            <w:tcMar>
              <w:top w:w="30" w:type="dxa"/>
              <w:left w:w="20" w:type="dxa"/>
              <w:bottom w:w="30" w:type="dxa"/>
              <w:right w:w="20" w:type="dxa"/>
            </w:tcMar>
            <w:vAlign w:val="center"/>
            <w:hideMark/>
          </w:tcPr>
          <w:p w:rsidR="00000000" w:rsidRDefault="00131F06">
            <w:pPr>
              <w:spacing w:after="100"/>
              <w:ind w:hanging="180"/>
              <w:divId w:val="973757590"/>
              <w:rPr>
                <w:rFonts w:eastAsia="Times New Roman"/>
              </w:rPr>
            </w:pPr>
            <w:r>
              <w:rPr>
                <w:rFonts w:ascii="Arial" w:eastAsia="Times New Roman" w:hAnsi="Arial" w:cs="Arial"/>
                <w:color w:val="000000"/>
                <w:sz w:val="16"/>
                <w:szCs w:val="16"/>
              </w:rPr>
              <w:t xml:space="preserve">Gain on joint venture merger transaction </w:t>
            </w:r>
            <w:r>
              <w:rPr>
                <w:rFonts w:ascii="Arial" w:eastAsia="Times New Roman" w:hAnsi="Arial" w:cs="Arial"/>
                <w:i/>
                <w:iCs/>
                <w:color w:val="000000"/>
                <w:sz w:val="14"/>
                <w:szCs w:val="14"/>
              </w:rPr>
              <w:t>(Note 6)</w:t>
            </w: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1,076</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1,076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64751347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(1,121)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(924)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647513479"/>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6,093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4,384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1,368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389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(348)</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(1,284)</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10,602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64751347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(3,195)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64751347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(2,316)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647513479"/>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(1,044)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64751347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4,047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64751347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divId w:val="441536963"/>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1,086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1,087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1,005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3,236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0462185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865752342"/>
        </w:trPr>
        <w:tc>
          <w:tcPr>
            <w:tcW w:w="50" w:type="pct"/>
            <w:vAlign w:val="center"/>
            <w:hideMark/>
          </w:tcPr>
          <w:p w:rsidR="00000000" w:rsidRDefault="00131F06">
            <w:pPr>
              <w:rPr>
                <w:rFonts w:eastAsia="Times New Roman"/>
              </w:rPr>
            </w:pPr>
          </w:p>
        </w:tc>
        <w:tc>
          <w:tcPr>
            <w:tcW w:w="13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8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1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865752342"/>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6"/>
                <w:szCs w:val="16"/>
              </w:rPr>
              <w:t>Nine months ended</w:t>
            </w:r>
            <w:r>
              <w:rPr>
                <w:rFonts w:ascii="Arial" w:eastAsia="Times New Roman" w:hAnsi="Arial" w:cs="Arial"/>
                <w:color w:val="000000"/>
                <w:sz w:val="16"/>
                <w:szCs w:val="16"/>
              </w:rPr>
              <w:br/>
              <w:t>September 30, 2021</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Renewable Power Generation</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Consolidated</w:t>
            </w:r>
          </w:p>
        </w:tc>
      </w:tr>
      <w:tr w:rsidR="00000000">
        <w:trPr>
          <w:divId w:val="86575234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divId w:val="86575234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Operating revenues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7,616 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3,501 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3,463 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371 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20,068 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(468)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34,551 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65752342"/>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(16)</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(1,392)</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(20,405)</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479 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(21,334)</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86575234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(2,411)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(1,303)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(794)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(4,710)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65752342"/>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865752342"/>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865752342"/>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6"/>
                <w:szCs w:val="16"/>
              </w:rPr>
              <w:t>Income from equity investments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560 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525 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1,187 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65752342"/>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6"/>
                <w:szCs w:val="16"/>
              </w:rPr>
              <w:t>Impairment of equity investments</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(111)</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6575234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215 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446 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65752342"/>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5,756 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2,725 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1,374 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362 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(379)</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191 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10,029 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86575234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(2,805)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6575234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1,923)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6575234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(952)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6575234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4,349 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86575234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divId w:val="724373978"/>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3,385 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1,631 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878 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5,944 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410496498"/>
        <w:rPr>
          <w:rFonts w:eastAsia="Times New Roman"/>
        </w:rPr>
      </w:pPr>
      <w:r>
        <w:rPr>
          <w:rFonts w:ascii="Arial" w:eastAsia="Times New Roman" w:hAnsi="Arial" w:cs="Arial"/>
          <w:color w:val="000000"/>
          <w:sz w:val="2"/>
          <w:szCs w:val="2"/>
        </w:rPr>
        <w:t> </w:t>
      </w:r>
    </w:p>
    <w:p w:rsidR="00000000" w:rsidRDefault="00131F06">
      <w:pPr>
        <w:ind w:hanging="180"/>
        <w:divId w:val="948926108"/>
        <w:rPr>
          <w:rFonts w:eastAsia="Times New Roman"/>
        </w:rPr>
      </w:pPr>
      <w:r>
        <w:rPr>
          <w:rFonts w:ascii="Arial" w:eastAsia="Times New Roman" w:hAnsi="Arial" w:cs="Arial"/>
          <w:i/>
          <w:iCs/>
          <w:color w:val="000000"/>
          <w:sz w:val="16"/>
          <w:szCs w:val="16"/>
        </w:rPr>
        <w:t>1Includes allowance for equity funds used during construction.</w:t>
      </w:r>
    </w:p>
    <w:p w:rsidR="00000000" w:rsidRDefault="00131F06">
      <w:pPr>
        <w:divId w:val="1920678017"/>
        <w:rPr>
          <w:rFonts w:eastAsia="Times New Roman"/>
        </w:rPr>
      </w:pPr>
    </w:p>
    <w:p w:rsidR="00000000" w:rsidRDefault="00131F06">
      <w:pPr>
        <w:jc w:val="center"/>
        <w:divId w:val="1390612172"/>
        <w:rPr>
          <w:rFonts w:eastAsia="Times New Roman"/>
        </w:rPr>
      </w:pPr>
      <w:r>
        <w:rPr>
          <w:rFonts w:ascii="Arial" w:eastAsia="Times New Roman" w:hAnsi="Arial" w:cs="Arial"/>
          <w:color w:val="000000"/>
          <w:sz w:val="20"/>
          <w:szCs w:val="20"/>
        </w:rPr>
        <w:t>17</w:t>
      </w:r>
    </w:p>
    <w:p w:rsidR="00000000" w:rsidRDefault="00131F06">
      <w:pPr>
        <w:rPr>
          <w:rFonts w:eastAsia="Times New Roman"/>
        </w:rPr>
      </w:pPr>
      <w:r>
        <w:rPr>
          <w:rFonts w:eastAsia="Times New Roman"/>
        </w:rPr>
        <w:pict>
          <v:rect id="_x0000_i1042" style="width:0;height:1.5pt" o:hralign="center" o:hrstd="t" o:hr="t" fillcolor="#a0a0a0" stroked="f"/>
        </w:pict>
      </w:r>
    </w:p>
    <w:p w:rsidR="00000000" w:rsidRDefault="00131F06">
      <w:pPr>
        <w:jc w:val="center"/>
        <w:divId w:val="1768967203"/>
        <w:rPr>
          <w:rFonts w:eastAsia="Times New Roman"/>
        </w:rPr>
      </w:pPr>
    </w:p>
    <w:p w:rsidR="00000000" w:rsidRDefault="00131F06">
      <w:pPr>
        <w:divId w:val="2028484239"/>
        <w:rPr>
          <w:rFonts w:eastAsia="Times New Roman"/>
        </w:rPr>
      </w:pPr>
      <w:r>
        <w:rPr>
          <w:rFonts w:ascii="Arial" w:eastAsia="Times New Roman" w:hAnsi="Arial" w:cs="Arial"/>
          <w:b/>
          <w:bCs/>
          <w:color w:val="000000"/>
          <w:sz w:val="26"/>
          <w:szCs w:val="26"/>
        </w:rPr>
        <w:t>5. EARNINGS PER COMMON SHARE AND DIVIDENDS PER SHARE</w:t>
      </w:r>
    </w:p>
    <w:p w:rsidR="00000000" w:rsidRDefault="00131F06">
      <w:pPr>
        <w:divId w:val="778524244"/>
        <w:rPr>
          <w:rFonts w:eastAsia="Times New Roman"/>
        </w:rPr>
      </w:pPr>
    </w:p>
    <w:p w:rsidR="00000000" w:rsidRDefault="00131F06">
      <w:pPr>
        <w:divId w:val="122190295"/>
        <w:rPr>
          <w:rFonts w:eastAsia="Times New Roman"/>
        </w:rPr>
      </w:pPr>
      <w:r>
        <w:rPr>
          <w:rFonts w:ascii="Arial" w:eastAsia="Times New Roman" w:hAnsi="Arial" w:cs="Arial"/>
          <w:b/>
          <w:bCs/>
          <w:color w:val="000000"/>
          <w:sz w:val="20"/>
          <w:szCs w:val="20"/>
        </w:rPr>
        <w:t>BASIC</w:t>
      </w:r>
    </w:p>
    <w:p w:rsidR="00000000" w:rsidRDefault="00131F06">
      <w:pPr>
        <w:divId w:val="1314721052"/>
        <w:rPr>
          <w:rFonts w:eastAsia="Times New Roman"/>
        </w:rPr>
      </w:pPr>
      <w:r>
        <w:rPr>
          <w:rFonts w:ascii="Arial" w:eastAsia="Times New Roman" w:hAnsi="Arial" w:cs="Arial"/>
          <w:color w:val="000000"/>
          <w:sz w:val="20"/>
          <w:szCs w:val="20"/>
        </w:rPr>
        <w:t xml:space="preserve">Earnings per common share is calculated by dividing earnings attributable to common shareholders by the weighted average number of common shares outstanding. On December 30, 2021, we closed the sale of our minority ownership in Noverco Inc. (Noverco). For </w:t>
      </w:r>
      <w:r>
        <w:rPr>
          <w:rFonts w:ascii="Arial" w:eastAsia="Times New Roman" w:hAnsi="Arial" w:cs="Arial"/>
          <w:color w:val="000000"/>
          <w:sz w:val="20"/>
          <w:szCs w:val="20"/>
        </w:rPr>
        <w:t>both the three and nine months ended September 30, 2021, the weighted average number of common shares outstanding was reduced by our pro-rata weighted average interest in our own common shares of approximately 2 million, resulting from our reciprocal inves</w:t>
      </w:r>
      <w:r>
        <w:rPr>
          <w:rFonts w:ascii="Arial" w:eastAsia="Times New Roman" w:hAnsi="Arial" w:cs="Arial"/>
          <w:color w:val="000000"/>
          <w:sz w:val="20"/>
          <w:szCs w:val="20"/>
        </w:rPr>
        <w:t>tment in Noverco.</w:t>
      </w:r>
    </w:p>
    <w:p w:rsidR="00000000" w:rsidRDefault="00131F06">
      <w:pPr>
        <w:divId w:val="1778672786"/>
        <w:rPr>
          <w:rFonts w:eastAsia="Times New Roman"/>
        </w:rPr>
      </w:pPr>
    </w:p>
    <w:p w:rsidR="00000000" w:rsidRDefault="00131F06">
      <w:pPr>
        <w:divId w:val="1554385231"/>
        <w:rPr>
          <w:rFonts w:eastAsia="Times New Roman"/>
        </w:rPr>
      </w:pPr>
      <w:r>
        <w:rPr>
          <w:rFonts w:ascii="Arial" w:eastAsia="Times New Roman" w:hAnsi="Arial" w:cs="Arial"/>
          <w:b/>
          <w:bCs/>
          <w:color w:val="000000"/>
          <w:sz w:val="20"/>
          <w:szCs w:val="20"/>
        </w:rPr>
        <w:t>DILUTED</w:t>
      </w:r>
    </w:p>
    <w:p w:rsidR="00000000" w:rsidRDefault="00131F06">
      <w:pPr>
        <w:divId w:val="362100399"/>
        <w:rPr>
          <w:rFonts w:eastAsia="Times New Roman"/>
        </w:rPr>
      </w:pPr>
      <w:r>
        <w:rPr>
          <w:rFonts w:ascii="Arial" w:eastAsia="Times New Roman" w:hAnsi="Arial" w:cs="Arial"/>
          <w:color w:val="000000"/>
          <w:sz w:val="20"/>
          <w:szCs w:val="20"/>
        </w:rPr>
        <w:t>The treasury stock method is used to determine the dilutive impact of stock options and restricted stock units (RSU). This method assumes any proceeds from the exercise of stock options and vesting of RSUs would be used to purch</w:t>
      </w:r>
      <w:r>
        <w:rPr>
          <w:rFonts w:ascii="Arial" w:eastAsia="Times New Roman" w:hAnsi="Arial" w:cs="Arial"/>
          <w:color w:val="000000"/>
          <w:sz w:val="20"/>
          <w:szCs w:val="20"/>
        </w:rPr>
        <w:t>ase common shares at the average market price during the period.</w:t>
      </w:r>
    </w:p>
    <w:p w:rsidR="00000000" w:rsidRDefault="00131F06">
      <w:pPr>
        <w:divId w:val="2040005607"/>
        <w:rPr>
          <w:rFonts w:eastAsia="Times New Roman"/>
        </w:rPr>
      </w:pPr>
    </w:p>
    <w:p w:rsidR="00000000" w:rsidRDefault="00131F06">
      <w:pPr>
        <w:divId w:val="732968868"/>
        <w:rPr>
          <w:rFonts w:eastAsia="Times New Roman"/>
        </w:rPr>
      </w:pPr>
      <w:r>
        <w:rPr>
          <w:rFonts w:ascii="Arial" w:eastAsia="Times New Roman" w:hAnsi="Arial" w:cs="Arial"/>
          <w:color w:val="000000"/>
          <w:sz w:val="20"/>
          <w:szCs w:val="20"/>
        </w:rPr>
        <w:t>Weighted average shares outstanding used to calculate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635060756"/>
        </w:trPr>
        <w:tc>
          <w:tcPr>
            <w:tcW w:w="50" w:type="pct"/>
            <w:vAlign w:val="center"/>
            <w:hideMark/>
          </w:tcPr>
          <w:p w:rsidR="00000000" w:rsidRDefault="00131F06">
            <w:pPr>
              <w:rPr>
                <w:rFonts w:eastAsia="Times New Roman"/>
              </w:rPr>
            </w:pPr>
          </w:p>
        </w:tc>
        <w:tc>
          <w:tcPr>
            <w:tcW w:w="269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635060756"/>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63506075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16350607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63506075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Weighted average shares outstanding</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63506075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Effect of dilutive options and RSUs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63506075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Diluted weighted average shares outstanding</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487166628"/>
        <w:rPr>
          <w:rFonts w:eastAsia="Times New Roman"/>
        </w:rPr>
      </w:pPr>
    </w:p>
    <w:p w:rsidR="00000000" w:rsidRDefault="00131F06">
      <w:pPr>
        <w:divId w:val="893471896"/>
        <w:rPr>
          <w:rFonts w:eastAsia="Times New Roman"/>
        </w:rPr>
      </w:pPr>
      <w:r>
        <w:rPr>
          <w:rFonts w:ascii="Arial" w:eastAsia="Times New Roman" w:hAnsi="Arial" w:cs="Arial"/>
          <w:color w:val="000000"/>
          <w:sz w:val="20"/>
          <w:szCs w:val="20"/>
        </w:rPr>
        <w:t>For the three months ended September 30, 2022 and 2021, 11.4 million and 13.3 million, respectively, of anti-dilutive stock options with a weighted average exercise price of $56.49 and $56.16, respectively, were excluded from the diluted earnings per commo</w:t>
      </w:r>
      <w:r>
        <w:rPr>
          <w:rFonts w:ascii="Arial" w:eastAsia="Times New Roman" w:hAnsi="Arial" w:cs="Arial"/>
          <w:color w:val="000000"/>
          <w:sz w:val="20"/>
          <w:szCs w:val="20"/>
        </w:rPr>
        <w:t>n share calculation.</w:t>
      </w:r>
    </w:p>
    <w:p w:rsidR="00000000" w:rsidRDefault="00131F06">
      <w:pPr>
        <w:divId w:val="1997684395"/>
        <w:rPr>
          <w:rFonts w:eastAsia="Times New Roman"/>
        </w:rPr>
      </w:pPr>
    </w:p>
    <w:p w:rsidR="00000000" w:rsidRDefault="00131F06">
      <w:pPr>
        <w:divId w:val="973830550"/>
        <w:rPr>
          <w:rFonts w:eastAsia="Times New Roman"/>
        </w:rPr>
      </w:pPr>
      <w:r>
        <w:rPr>
          <w:rFonts w:ascii="Arial" w:eastAsia="Times New Roman" w:hAnsi="Arial" w:cs="Arial"/>
          <w:color w:val="000000"/>
          <w:sz w:val="20"/>
          <w:szCs w:val="20"/>
        </w:rPr>
        <w:t>For the nine months ended September 30, 2022 and 2021, 9.2 million and 20.5 million, respectively, of anti-dilutive stock options with a weighted average exercise price of $56.63 and $52.19, respectively, were excluded from the dilut</w:t>
      </w:r>
      <w:r>
        <w:rPr>
          <w:rFonts w:ascii="Arial" w:eastAsia="Times New Roman" w:hAnsi="Arial" w:cs="Arial"/>
          <w:color w:val="000000"/>
          <w:sz w:val="20"/>
          <w:szCs w:val="20"/>
        </w:rPr>
        <w:t>ed earnings per common share calculation.</w:t>
      </w:r>
    </w:p>
    <w:p w:rsidR="00000000" w:rsidRDefault="00131F06">
      <w:pPr>
        <w:divId w:val="222181708"/>
        <w:rPr>
          <w:rFonts w:eastAsia="Times New Roman"/>
        </w:rPr>
      </w:pPr>
    </w:p>
    <w:p w:rsidR="00000000" w:rsidRDefault="00131F06">
      <w:pPr>
        <w:jc w:val="center"/>
        <w:divId w:val="704601490"/>
        <w:rPr>
          <w:rFonts w:eastAsia="Times New Roman"/>
        </w:rPr>
      </w:pPr>
      <w:r>
        <w:rPr>
          <w:rFonts w:ascii="Arial" w:eastAsia="Times New Roman" w:hAnsi="Arial" w:cs="Arial"/>
          <w:color w:val="000000"/>
          <w:sz w:val="20"/>
          <w:szCs w:val="20"/>
        </w:rPr>
        <w:t>18</w:t>
      </w:r>
    </w:p>
    <w:p w:rsidR="00000000" w:rsidRDefault="00131F06">
      <w:pPr>
        <w:rPr>
          <w:rFonts w:eastAsia="Times New Roman"/>
        </w:rPr>
      </w:pPr>
      <w:r>
        <w:rPr>
          <w:rFonts w:eastAsia="Times New Roman"/>
        </w:rPr>
        <w:pict>
          <v:rect id="_x0000_i1043" style="width:0;height:1.5pt" o:hralign="center" o:hrstd="t" o:hr="t" fillcolor="#a0a0a0" stroked="f"/>
        </w:pict>
      </w:r>
    </w:p>
    <w:p w:rsidR="00000000" w:rsidRDefault="00131F06">
      <w:pPr>
        <w:jc w:val="center"/>
        <w:divId w:val="216012981"/>
        <w:rPr>
          <w:rFonts w:eastAsia="Times New Roman"/>
        </w:rPr>
      </w:pPr>
    </w:p>
    <w:p w:rsidR="00000000" w:rsidRDefault="00131F06">
      <w:pPr>
        <w:divId w:val="1805124600"/>
        <w:rPr>
          <w:rFonts w:eastAsia="Times New Roman"/>
        </w:rPr>
      </w:pPr>
      <w:r>
        <w:rPr>
          <w:rFonts w:ascii="Arial" w:eastAsia="Times New Roman" w:hAnsi="Arial" w:cs="Arial"/>
          <w:b/>
          <w:bCs/>
          <w:color w:val="000000"/>
          <w:sz w:val="20"/>
          <w:szCs w:val="20"/>
        </w:rPr>
        <w:t>DIVIDENDS PER SHARE</w:t>
      </w:r>
    </w:p>
    <w:p w:rsidR="00000000" w:rsidRDefault="00131F06">
      <w:pPr>
        <w:divId w:val="1014576592"/>
        <w:rPr>
          <w:rFonts w:eastAsia="Times New Roman"/>
        </w:rPr>
      </w:pPr>
      <w:r>
        <w:rPr>
          <w:rFonts w:ascii="Arial" w:eastAsia="Times New Roman" w:hAnsi="Arial" w:cs="Arial"/>
          <w:color w:val="000000"/>
          <w:sz w:val="20"/>
          <w:szCs w:val="20"/>
        </w:rPr>
        <w:t xml:space="preserve">On November 2, 2022, our Board of Directors declared the following quarterly dividends. All dividends are payable on December 1, 2022 to shareholders </w:t>
      </w:r>
      <w:r>
        <w:rPr>
          <w:rFonts w:ascii="Arial" w:eastAsia="Times New Roman" w:hAnsi="Arial" w:cs="Arial"/>
          <w:color w:val="000000"/>
          <w:sz w:val="20"/>
          <w:szCs w:val="20"/>
        </w:rPr>
        <w:t>of record on November 15, 2022.</w:t>
      </w:r>
    </w:p>
    <w:tbl>
      <w:tblPr>
        <w:tblW w:w="5000" w:type="pct"/>
        <w:tblCellMar>
          <w:top w:w="15" w:type="dxa"/>
          <w:left w:w="15" w:type="dxa"/>
          <w:bottom w:w="15" w:type="dxa"/>
          <w:right w:w="15" w:type="dxa"/>
        </w:tblCellMar>
        <w:tblLook w:val="04A0" w:firstRow="1" w:lastRow="0" w:firstColumn="1" w:lastColumn="0" w:noHBand="0" w:noVBand="1"/>
      </w:tblPr>
      <w:tblGrid>
        <w:gridCol w:w="69"/>
        <w:gridCol w:w="6604"/>
        <w:gridCol w:w="37"/>
        <w:gridCol w:w="69"/>
        <w:gridCol w:w="1491"/>
        <w:gridCol w:w="36"/>
      </w:tblGrid>
      <w:tr w:rsidR="00000000">
        <w:trPr>
          <w:divId w:val="706491943"/>
        </w:trPr>
        <w:tc>
          <w:tcPr>
            <w:tcW w:w="50" w:type="pct"/>
            <w:vAlign w:val="center"/>
            <w:hideMark/>
          </w:tcPr>
          <w:p w:rsidR="00000000" w:rsidRDefault="00131F06">
            <w:pPr>
              <w:rPr>
                <w:rFonts w:eastAsia="Times New Roman"/>
              </w:rPr>
            </w:pPr>
          </w:p>
        </w:tc>
        <w:tc>
          <w:tcPr>
            <w:tcW w:w="398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90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Dividend per share</w:t>
            </w:r>
          </w:p>
        </w:tc>
      </w:tr>
      <w:tr w:rsidR="00000000">
        <w:trPr>
          <w:divId w:val="70649194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divId w:val="106580652"/>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$0.86000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divId w:val="899904698"/>
              <w:rPr>
                <w:rFonts w:eastAsia="Times New Roman"/>
              </w:rPr>
            </w:pPr>
            <w:r>
              <w:rPr>
                <w:rFonts w:ascii="Arial" w:eastAsia="Times New Roman" w:hAnsi="Arial" w:cs="Arial"/>
                <w:color w:val="000000"/>
                <w:sz w:val="20"/>
                <w:szCs w:val="20"/>
              </w:rPr>
              <w:t xml:space="preserve">Preference Shares, Series </w:t>
            </w:r>
            <w:r>
              <w:rPr>
                <w:rFonts w:ascii="Arial" w:eastAsia="Times New Roman" w:hAnsi="Arial" w:cs="Arial"/>
                <w:color w:val="000000"/>
                <w:sz w:val="20"/>
                <w:szCs w:val="20"/>
              </w:rPr>
              <w:t>B</w:t>
            </w:r>
            <w:r>
              <w:rPr>
                <w:rFonts w:ascii="Arial" w:eastAsia="Times New Roman" w:hAnsi="Arial" w:cs="Arial"/>
                <w:color w:val="000000"/>
                <w:sz w:val="12"/>
                <w:szCs w:val="12"/>
              </w:rPr>
              <w:t>2</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$0.32513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divId w:val="673845310"/>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L</w:t>
            </w:r>
            <w:r>
              <w:rPr>
                <w:rFonts w:ascii="Arial" w:eastAsia="Times New Roman" w:hAnsi="Arial" w:cs="Arial"/>
                <w:color w:val="000000"/>
                <w:sz w:val="12"/>
                <w:szCs w:val="12"/>
              </w:rPr>
              <w:t>3</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US$0.36612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11</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13</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15</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$0.30625 </w:t>
            </w:r>
          </w:p>
        </w:tc>
        <w:tc>
          <w:tcPr>
            <w:tcW w:w="0" w:type="auto"/>
            <w:tcBorders>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706491943"/>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bl>
    <w:p w:rsidR="00000000" w:rsidRDefault="00131F06">
      <w:pPr>
        <w:ind w:hanging="180"/>
        <w:divId w:val="269970568"/>
        <w:rPr>
          <w:rFonts w:eastAsia="Times New Roman"/>
        </w:rPr>
      </w:pPr>
      <w:r>
        <w:rPr>
          <w:rFonts w:ascii="Arial" w:eastAsia="Times New Roman" w:hAnsi="Arial" w:cs="Arial"/>
          <w:i/>
          <w:iCs/>
          <w:color w:val="000000"/>
          <w:sz w:val="16"/>
          <w:szCs w:val="16"/>
        </w:rPr>
        <w:t>1The quarterly dividend per common share was increased 3% to $0.86 from $0.835, effective March 1, 2022.</w:t>
      </w:r>
    </w:p>
    <w:p w:rsidR="00000000" w:rsidRDefault="00131F06">
      <w:pPr>
        <w:ind w:hanging="180"/>
        <w:divId w:val="1185284884"/>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The quarterly dividend per share paid on Preference Shares, Series B was increased to $0.32513 from $0.21340 on June 1, 2022 due to reset of the annual dividend on June 1, 2022. On June 1, 2022, all outstanding Preference Shares, Series C were converted to</w:t>
      </w:r>
      <w:r>
        <w:rPr>
          <w:rFonts w:ascii="Arial" w:eastAsia="Times New Roman" w:hAnsi="Arial" w:cs="Arial"/>
          <w:i/>
          <w:iCs/>
          <w:color w:val="000000"/>
          <w:sz w:val="16"/>
          <w:szCs w:val="16"/>
        </w:rPr>
        <w:t xml:space="preserve"> Preference Shares, Series B.</w:t>
      </w:r>
    </w:p>
    <w:p w:rsidR="00000000" w:rsidRDefault="00131F06">
      <w:pPr>
        <w:ind w:hanging="180"/>
        <w:divId w:val="370228872"/>
        <w:rPr>
          <w:rFonts w:eastAsia="Times New Roman"/>
        </w:rPr>
      </w:pPr>
      <w:r>
        <w:rPr>
          <w:rFonts w:ascii="Arial" w:eastAsia="Times New Roman" w:hAnsi="Arial" w:cs="Arial"/>
          <w:i/>
          <w:iCs/>
          <w:color w:val="000000"/>
          <w:sz w:val="16"/>
          <w:szCs w:val="16"/>
        </w:rPr>
        <w:t>3The quarterly dividend per share paid on Preference Shares, Series L was increased to US$0.36612 from US$0.30993 on September 1, 2022 due to reset of the annual dividend on September 1, 2022.</w:t>
      </w:r>
    </w:p>
    <w:p w:rsidR="00000000" w:rsidRDefault="00131F06">
      <w:pPr>
        <w:ind w:hanging="180"/>
        <w:divId w:val="133065651"/>
        <w:rPr>
          <w:rFonts w:eastAsia="Times New Roman"/>
        </w:rPr>
      </w:pPr>
    </w:p>
    <w:p w:rsidR="00000000" w:rsidRDefault="00131F06">
      <w:pPr>
        <w:ind w:hanging="180"/>
        <w:divId w:val="1788740423"/>
        <w:rPr>
          <w:rFonts w:eastAsia="Times New Roman"/>
        </w:rPr>
      </w:pPr>
      <w:r>
        <w:rPr>
          <w:rFonts w:ascii="Arial" w:eastAsia="Times New Roman" w:hAnsi="Arial" w:cs="Arial"/>
          <w:b/>
          <w:bCs/>
          <w:color w:val="000000"/>
          <w:sz w:val="20"/>
          <w:szCs w:val="20"/>
        </w:rPr>
        <w:t>PREFERENCE SHARE REDEMPTIONS</w:t>
      </w:r>
    </w:p>
    <w:p w:rsidR="00000000" w:rsidRDefault="00131F06">
      <w:pPr>
        <w:divId w:val="1008943650"/>
        <w:rPr>
          <w:rFonts w:eastAsia="Times New Roman"/>
        </w:rPr>
      </w:pPr>
      <w:r>
        <w:rPr>
          <w:rFonts w:ascii="Arial" w:eastAsia="Times New Roman" w:hAnsi="Arial" w:cs="Arial"/>
          <w:color w:val="000000"/>
          <w:sz w:val="20"/>
          <w:szCs w:val="20"/>
        </w:rPr>
        <w:t>On</w:t>
      </w:r>
      <w:r>
        <w:rPr>
          <w:rFonts w:ascii="Arial" w:eastAsia="Times New Roman" w:hAnsi="Arial" w:cs="Arial"/>
          <w:color w:val="000000"/>
          <w:sz w:val="20"/>
          <w:szCs w:val="20"/>
        </w:rPr>
        <w:t xml:space="preserve"> March 1, 2022, we redeemed our $750 million outstanding Cumulative Redeemable Minimum Rate Reset Preference Shares, Series 17. On June 1, 2022, we also redeemed our US$200 million outstanding Cumulative Redeemable Preference Shares, Series J. Dividends ar</w:t>
      </w:r>
      <w:r>
        <w:rPr>
          <w:rFonts w:ascii="Arial" w:eastAsia="Times New Roman" w:hAnsi="Arial" w:cs="Arial"/>
          <w:color w:val="000000"/>
          <w:sz w:val="20"/>
          <w:szCs w:val="20"/>
        </w:rPr>
        <w:t>e cumulative, payable quarterly and are included in Preference share dividends in the Consolidated Statements of Earnings.</w:t>
      </w:r>
    </w:p>
    <w:p w:rsidR="00000000" w:rsidRDefault="00131F06">
      <w:pPr>
        <w:divId w:val="1074936586"/>
        <w:rPr>
          <w:rFonts w:eastAsia="Times New Roman"/>
        </w:rPr>
      </w:pPr>
    </w:p>
    <w:p w:rsidR="00000000" w:rsidRDefault="00131F06">
      <w:pPr>
        <w:jc w:val="center"/>
        <w:divId w:val="25061684"/>
        <w:rPr>
          <w:rFonts w:eastAsia="Times New Roman"/>
        </w:rPr>
      </w:pPr>
      <w:r>
        <w:rPr>
          <w:rFonts w:ascii="Arial" w:eastAsia="Times New Roman" w:hAnsi="Arial" w:cs="Arial"/>
          <w:color w:val="000000"/>
          <w:sz w:val="20"/>
          <w:szCs w:val="20"/>
        </w:rPr>
        <w:t>19</w:t>
      </w:r>
    </w:p>
    <w:p w:rsidR="00000000" w:rsidRDefault="00131F06">
      <w:pPr>
        <w:rPr>
          <w:rFonts w:eastAsia="Times New Roman"/>
        </w:rPr>
      </w:pPr>
      <w:r>
        <w:rPr>
          <w:rFonts w:eastAsia="Times New Roman"/>
        </w:rPr>
        <w:pict>
          <v:rect id="_x0000_i1044" style="width:0;height:1.5pt" o:hralign="center" o:hrstd="t" o:hr="t" fillcolor="#a0a0a0" stroked="f"/>
        </w:pict>
      </w:r>
    </w:p>
    <w:p w:rsidR="00000000" w:rsidRDefault="00131F06">
      <w:pPr>
        <w:jc w:val="center"/>
        <w:divId w:val="329600481"/>
        <w:rPr>
          <w:rFonts w:eastAsia="Times New Roman"/>
        </w:rPr>
      </w:pPr>
    </w:p>
    <w:p w:rsidR="00000000" w:rsidRDefault="00131F06">
      <w:pPr>
        <w:divId w:val="1448085566"/>
        <w:rPr>
          <w:rFonts w:eastAsia="Times New Roman"/>
        </w:rPr>
      </w:pPr>
      <w:r>
        <w:rPr>
          <w:rFonts w:ascii="Arial" w:eastAsia="Times New Roman" w:hAnsi="Arial" w:cs="Arial"/>
          <w:b/>
          <w:bCs/>
          <w:color w:val="000000"/>
          <w:sz w:val="26"/>
          <w:szCs w:val="26"/>
        </w:rPr>
        <w:t>6. ACQUISITIONS AND DISPOSITIONS</w:t>
      </w:r>
    </w:p>
    <w:p w:rsidR="00000000" w:rsidRDefault="00131F06">
      <w:pPr>
        <w:divId w:val="1076973638"/>
        <w:rPr>
          <w:rFonts w:eastAsia="Times New Roman"/>
        </w:rPr>
      </w:pPr>
    </w:p>
    <w:p w:rsidR="00000000" w:rsidRDefault="00131F06">
      <w:pPr>
        <w:divId w:val="952052912"/>
        <w:rPr>
          <w:rFonts w:eastAsia="Times New Roman"/>
        </w:rPr>
      </w:pPr>
      <w:r>
        <w:rPr>
          <w:rFonts w:ascii="Arial" w:eastAsia="Times New Roman" w:hAnsi="Arial" w:cs="Arial"/>
          <w:b/>
          <w:bCs/>
          <w:color w:val="000000"/>
          <w:sz w:val="20"/>
          <w:szCs w:val="20"/>
        </w:rPr>
        <w:t>DCP MIDSTREAM, LLC</w:t>
      </w:r>
    </w:p>
    <w:p w:rsidR="00000000" w:rsidRDefault="00131F06">
      <w:pPr>
        <w:divId w:val="2004164088"/>
        <w:rPr>
          <w:rFonts w:eastAsia="Times New Roman"/>
        </w:rPr>
      </w:pPr>
      <w:r>
        <w:rPr>
          <w:rFonts w:ascii="Arial" w:eastAsia="Times New Roman" w:hAnsi="Arial" w:cs="Arial"/>
          <w:color w:val="000000"/>
          <w:sz w:val="20"/>
          <w:szCs w:val="20"/>
        </w:rPr>
        <w:t>On August 17, 2022, we completed a j</w:t>
      </w:r>
      <w:r>
        <w:rPr>
          <w:rFonts w:ascii="Arial" w:eastAsia="Times New Roman" w:hAnsi="Arial" w:cs="Arial"/>
          <w:color w:val="000000"/>
          <w:sz w:val="20"/>
          <w:szCs w:val="20"/>
        </w:rPr>
        <w:t>oint venture merger transaction with Phillips 66 (P66) resulting in a single joint venture, DCP Midstream, LLC, holding both our and P66's indirect ownership interests in Gray Oak Pipeline, LLC (Gray Oak) and DCP Midstream, LP (DCP). Our ownership in DCP M</w:t>
      </w:r>
      <w:r>
        <w:rPr>
          <w:rFonts w:ascii="Arial" w:eastAsia="Times New Roman" w:hAnsi="Arial" w:cs="Arial"/>
          <w:color w:val="000000"/>
          <w:sz w:val="20"/>
          <w:szCs w:val="20"/>
        </w:rPr>
        <w:t>idstream, LLC consists of Class A and Class B Interests which track to our investments in DCP, included in the Gas Transmission and Midstream segment, and Gray Oak, included in the Liquids Pipelines segment, respectively. Through our investment in DCP Mids</w:t>
      </w:r>
      <w:r>
        <w:rPr>
          <w:rFonts w:ascii="Arial" w:eastAsia="Times New Roman" w:hAnsi="Arial" w:cs="Arial"/>
          <w:color w:val="000000"/>
          <w:sz w:val="20"/>
          <w:szCs w:val="20"/>
        </w:rPr>
        <w:t>tream, LLC, we increased our indirect economic interest in Gray Oak to 58.5% from 22.8% and reduced our indirect economic interest in DCP to 13.2% from 28.3%. As a result of the transaction, Enbridge will assume operatorship of Gray Oak in the second quart</w:t>
      </w:r>
      <w:r>
        <w:rPr>
          <w:rFonts w:ascii="Arial" w:eastAsia="Times New Roman" w:hAnsi="Arial" w:cs="Arial"/>
          <w:color w:val="000000"/>
          <w:sz w:val="20"/>
          <w:szCs w:val="20"/>
        </w:rPr>
        <w:t>er of 2023.</w:t>
      </w:r>
    </w:p>
    <w:p w:rsidR="00000000" w:rsidRDefault="00131F06">
      <w:pPr>
        <w:divId w:val="1320888330"/>
        <w:rPr>
          <w:rFonts w:eastAsia="Times New Roman"/>
        </w:rPr>
      </w:pPr>
    </w:p>
    <w:p w:rsidR="00000000" w:rsidRDefault="00131F06">
      <w:pPr>
        <w:divId w:val="264315410"/>
        <w:rPr>
          <w:rFonts w:eastAsia="Times New Roman"/>
        </w:rPr>
      </w:pPr>
      <w:r>
        <w:rPr>
          <w:rFonts w:ascii="Arial" w:eastAsia="Times New Roman" w:hAnsi="Arial" w:cs="Arial"/>
          <w:color w:val="000000"/>
          <w:sz w:val="20"/>
          <w:szCs w:val="20"/>
        </w:rPr>
        <w:t>We determined the fair value of our decrease in economic interest in DCP based on the unadjusted quoted market price of DCP’s publicly traded common units on the transaction closing date. The fair value of our increased economic interest in G</w:t>
      </w:r>
      <w:r>
        <w:rPr>
          <w:rFonts w:ascii="Arial" w:eastAsia="Times New Roman" w:hAnsi="Arial" w:cs="Arial"/>
          <w:color w:val="000000"/>
          <w:sz w:val="20"/>
          <w:szCs w:val="20"/>
        </w:rPr>
        <w:t>ray Oak was determined using the fair value prescribed to the change in our economic interest in DCP. As a result of the merger transaction and the realignment of our economic interests in DCP and Gray Oak, we also received cash consideration of approximat</w:t>
      </w:r>
      <w:r>
        <w:rPr>
          <w:rFonts w:ascii="Arial" w:eastAsia="Times New Roman" w:hAnsi="Arial" w:cs="Arial"/>
          <w:color w:val="000000"/>
          <w:sz w:val="20"/>
          <w:szCs w:val="20"/>
        </w:rPr>
        <w:t>ely $522 million (US$404 million) and recorded an accounting gain of $1.1 billion (US$832 million) to Gain on joint venture merger transaction in the Consolidated Statements of Earnings. Both DCP and Gray Oak continue to be accounted for as equity method i</w:t>
      </w:r>
      <w:r>
        <w:rPr>
          <w:rFonts w:ascii="Arial" w:eastAsia="Times New Roman" w:hAnsi="Arial" w:cs="Arial"/>
          <w:color w:val="000000"/>
          <w:sz w:val="20"/>
          <w:szCs w:val="20"/>
        </w:rPr>
        <w:t>nvestments.</w:t>
      </w:r>
    </w:p>
    <w:p w:rsidR="00000000" w:rsidRDefault="00131F06">
      <w:pPr>
        <w:divId w:val="497383317"/>
        <w:rPr>
          <w:rFonts w:eastAsia="Times New Roman"/>
        </w:rPr>
      </w:pPr>
    </w:p>
    <w:p w:rsidR="00000000" w:rsidRDefault="00131F06">
      <w:pPr>
        <w:divId w:val="930047063"/>
        <w:rPr>
          <w:rFonts w:eastAsia="Times New Roman"/>
        </w:rPr>
      </w:pPr>
      <w:r>
        <w:rPr>
          <w:rFonts w:ascii="Arial" w:eastAsia="Times New Roman" w:hAnsi="Arial" w:cs="Arial"/>
          <w:b/>
          <w:bCs/>
          <w:color w:val="000000"/>
          <w:sz w:val="20"/>
          <w:szCs w:val="20"/>
        </w:rPr>
        <w:t>TRI GLOBAL ENERGY, LLC</w:t>
      </w:r>
    </w:p>
    <w:p w:rsidR="00000000" w:rsidRDefault="00131F06">
      <w:pPr>
        <w:divId w:val="252008598"/>
        <w:rPr>
          <w:rFonts w:eastAsia="Times New Roman"/>
        </w:rPr>
      </w:pPr>
      <w:r>
        <w:rPr>
          <w:rFonts w:ascii="Arial" w:eastAsia="Times New Roman" w:hAnsi="Arial" w:cs="Arial"/>
          <w:color w:val="000000"/>
          <w:sz w:val="20"/>
          <w:szCs w:val="20"/>
        </w:rPr>
        <w:t>On September 27, 2022, through a wholly-owned United States (US) subsidiary, we acquired all of the outstanding common units in Tri Global Energy, LLC (TGE) for cash consideration of $295 million (US$215 million) plus p</w:t>
      </w:r>
      <w:r>
        <w:rPr>
          <w:rFonts w:ascii="Arial" w:eastAsia="Times New Roman" w:hAnsi="Arial" w:cs="Arial"/>
          <w:color w:val="000000"/>
          <w:sz w:val="20"/>
          <w:szCs w:val="20"/>
        </w:rPr>
        <w:t xml:space="preserve">otential contingent payments of up to $72 million (US$53 million) dependent on the achievement of performance milestones by TGE (the Acquisition). The Acquisition is subject to customary closing and working capital adjustments. TGE is an onshore renewable </w:t>
      </w:r>
      <w:r>
        <w:rPr>
          <w:rFonts w:ascii="Arial" w:eastAsia="Times New Roman" w:hAnsi="Arial" w:cs="Arial"/>
          <w:color w:val="000000"/>
          <w:sz w:val="20"/>
          <w:szCs w:val="20"/>
        </w:rPr>
        <w:t>project developer in the US with a development portfolio of wind and solar projects. The Acquisition enhances Enbridge's renewable power platform and accelerates our North American growth strategy.</w:t>
      </w:r>
    </w:p>
    <w:p w:rsidR="00000000" w:rsidRDefault="00131F06">
      <w:pPr>
        <w:divId w:val="344598213"/>
        <w:rPr>
          <w:rFonts w:eastAsia="Times New Roman"/>
        </w:rPr>
      </w:pPr>
    </w:p>
    <w:p w:rsidR="00000000" w:rsidRDefault="00131F06">
      <w:pPr>
        <w:divId w:val="1424103929"/>
        <w:rPr>
          <w:rFonts w:eastAsia="Times New Roman"/>
        </w:rPr>
      </w:pPr>
      <w:r>
        <w:rPr>
          <w:rFonts w:ascii="Arial" w:eastAsia="Times New Roman" w:hAnsi="Arial" w:cs="Arial"/>
          <w:color w:val="000000"/>
          <w:sz w:val="20"/>
          <w:szCs w:val="20"/>
        </w:rPr>
        <w:t xml:space="preserve">We accounted for the Acquisition using the acquisition method as prescribed by ASC 805 </w:t>
      </w:r>
      <w:r>
        <w:rPr>
          <w:rFonts w:ascii="Arial" w:eastAsia="Times New Roman" w:hAnsi="Arial" w:cs="Arial"/>
          <w:i/>
          <w:iCs/>
          <w:color w:val="000000"/>
          <w:sz w:val="20"/>
          <w:szCs w:val="20"/>
        </w:rPr>
        <w:t>Business</w:t>
      </w:r>
    </w:p>
    <w:p w:rsidR="00000000" w:rsidRDefault="00131F06">
      <w:pPr>
        <w:divId w:val="39668237"/>
        <w:rPr>
          <w:rFonts w:eastAsia="Times New Roman"/>
        </w:rPr>
      </w:pPr>
      <w:r>
        <w:rPr>
          <w:rFonts w:ascii="Arial" w:eastAsia="Times New Roman" w:hAnsi="Arial" w:cs="Arial"/>
          <w:i/>
          <w:iCs/>
          <w:color w:val="000000"/>
          <w:sz w:val="20"/>
          <w:szCs w:val="20"/>
        </w:rPr>
        <w:t>Combinations</w:t>
      </w:r>
      <w:r>
        <w:rPr>
          <w:rFonts w:ascii="Arial" w:eastAsia="Times New Roman" w:hAnsi="Arial" w:cs="Arial"/>
          <w:color w:val="000000"/>
          <w:sz w:val="20"/>
          <w:szCs w:val="20"/>
        </w:rPr>
        <w:t>. In accordance with valuation methodologies described in ASC 820</w:t>
      </w:r>
      <w:r>
        <w:rPr>
          <w:rFonts w:ascii="Arial" w:eastAsia="Times New Roman" w:hAnsi="Arial" w:cs="Arial"/>
          <w:i/>
          <w:iCs/>
          <w:color w:val="000000"/>
          <w:sz w:val="20"/>
          <w:szCs w:val="20"/>
        </w:rPr>
        <w:t xml:space="preserve"> Fair Value</w:t>
      </w:r>
    </w:p>
    <w:p w:rsidR="00000000" w:rsidRDefault="00131F06">
      <w:pPr>
        <w:divId w:val="1975216773"/>
        <w:rPr>
          <w:rFonts w:eastAsia="Times New Roman"/>
        </w:rPr>
      </w:pPr>
      <w:r>
        <w:rPr>
          <w:rFonts w:ascii="Arial" w:eastAsia="Times New Roman" w:hAnsi="Arial" w:cs="Arial"/>
          <w:i/>
          <w:iCs/>
          <w:color w:val="000000"/>
          <w:sz w:val="20"/>
          <w:szCs w:val="20"/>
        </w:rPr>
        <w:t>Measurements</w:t>
      </w:r>
      <w:r>
        <w:rPr>
          <w:rFonts w:ascii="Arial" w:eastAsia="Times New Roman" w:hAnsi="Arial" w:cs="Arial"/>
          <w:color w:val="000000"/>
          <w:sz w:val="20"/>
          <w:szCs w:val="20"/>
        </w:rPr>
        <w:t xml:space="preserve">, the acquired assets and assumed liabilities are recorded </w:t>
      </w:r>
      <w:r>
        <w:rPr>
          <w:rFonts w:ascii="Arial" w:eastAsia="Times New Roman" w:hAnsi="Arial" w:cs="Arial"/>
          <w:color w:val="000000"/>
          <w:sz w:val="20"/>
          <w:szCs w:val="20"/>
        </w:rPr>
        <w:t>at their estimated fair values</w:t>
      </w:r>
    </w:p>
    <w:p w:rsidR="00000000" w:rsidRDefault="00131F06">
      <w:pPr>
        <w:divId w:val="622806856"/>
        <w:rPr>
          <w:rFonts w:eastAsia="Times New Roman"/>
        </w:rPr>
      </w:pPr>
      <w:r>
        <w:rPr>
          <w:rFonts w:ascii="Arial" w:eastAsia="Times New Roman" w:hAnsi="Arial" w:cs="Arial"/>
          <w:color w:val="000000"/>
          <w:sz w:val="20"/>
          <w:szCs w:val="20"/>
        </w:rPr>
        <w:t>as at the date of acquisition.</w:t>
      </w:r>
    </w:p>
    <w:p w:rsidR="00000000" w:rsidRDefault="00131F06">
      <w:pPr>
        <w:divId w:val="897131646"/>
        <w:rPr>
          <w:rFonts w:eastAsia="Times New Roman"/>
        </w:rPr>
      </w:pPr>
    </w:p>
    <w:p w:rsidR="00000000" w:rsidRDefault="00131F06">
      <w:pPr>
        <w:jc w:val="center"/>
        <w:divId w:val="275675694"/>
        <w:rPr>
          <w:rFonts w:eastAsia="Times New Roman"/>
        </w:rPr>
      </w:pPr>
      <w:r>
        <w:rPr>
          <w:rFonts w:ascii="Arial" w:eastAsia="Times New Roman" w:hAnsi="Arial" w:cs="Arial"/>
          <w:color w:val="000000"/>
          <w:sz w:val="20"/>
          <w:szCs w:val="20"/>
        </w:rPr>
        <w:t>20</w:t>
      </w:r>
    </w:p>
    <w:p w:rsidR="00000000" w:rsidRDefault="00131F06">
      <w:pPr>
        <w:rPr>
          <w:rFonts w:eastAsia="Times New Roman"/>
        </w:rPr>
      </w:pPr>
      <w:r>
        <w:rPr>
          <w:rFonts w:eastAsia="Times New Roman"/>
        </w:rPr>
        <w:pict>
          <v:rect id="_x0000_i1045" style="width:0;height:1.5pt" o:hralign="center" o:hrstd="t" o:hr="t" fillcolor="#a0a0a0" stroked="f"/>
        </w:pict>
      </w:r>
    </w:p>
    <w:p w:rsidR="00000000" w:rsidRDefault="00131F06">
      <w:pPr>
        <w:jc w:val="center"/>
        <w:divId w:val="1111785378"/>
        <w:rPr>
          <w:rFonts w:eastAsia="Times New Roman"/>
        </w:rPr>
      </w:pPr>
    </w:p>
    <w:p w:rsidR="00000000" w:rsidRDefault="00131F06">
      <w:pPr>
        <w:divId w:val="305162103"/>
        <w:rPr>
          <w:rFonts w:eastAsia="Times New Roman"/>
        </w:rPr>
      </w:pPr>
      <w:r>
        <w:rPr>
          <w:rFonts w:ascii="Arial" w:eastAsia="Times New Roman" w:hAnsi="Arial" w:cs="Arial"/>
          <w:color w:val="000000"/>
          <w:sz w:val="20"/>
          <w:szCs w:val="20"/>
        </w:rPr>
        <w:t>The following table summarizes the estimated preliminary fair values that were assigned to the net assets</w:t>
      </w:r>
    </w:p>
    <w:p w:rsidR="00000000" w:rsidRDefault="00131F06">
      <w:pPr>
        <w:divId w:val="1444232904"/>
        <w:rPr>
          <w:rFonts w:eastAsia="Times New Roman"/>
        </w:rPr>
      </w:pPr>
      <w:r>
        <w:rPr>
          <w:rFonts w:ascii="Arial" w:eastAsia="Times New Roman" w:hAnsi="Arial" w:cs="Arial"/>
          <w:color w:val="000000"/>
          <w:sz w:val="20"/>
          <w:szCs w:val="20"/>
        </w:rPr>
        <w:t>of TGE:</w:t>
      </w:r>
    </w:p>
    <w:tbl>
      <w:tblPr>
        <w:tblW w:w="5000" w:type="pct"/>
        <w:tblCellMar>
          <w:top w:w="15" w:type="dxa"/>
          <w:left w:w="15" w:type="dxa"/>
          <w:bottom w:w="15" w:type="dxa"/>
          <w:right w:w="15" w:type="dxa"/>
        </w:tblCellMar>
        <w:tblLook w:val="04A0" w:firstRow="1" w:lastRow="0" w:firstColumn="1" w:lastColumn="0" w:noHBand="0" w:noVBand="1"/>
      </w:tblPr>
      <w:tblGrid>
        <w:gridCol w:w="68"/>
        <w:gridCol w:w="6869"/>
        <w:gridCol w:w="40"/>
        <w:gridCol w:w="68"/>
        <w:gridCol w:w="1225"/>
        <w:gridCol w:w="36"/>
      </w:tblGrid>
      <w:tr w:rsidR="00000000">
        <w:trPr>
          <w:divId w:val="1509368980"/>
        </w:trPr>
        <w:tc>
          <w:tcPr>
            <w:tcW w:w="50" w:type="pct"/>
            <w:vAlign w:val="center"/>
            <w:hideMark/>
          </w:tcPr>
          <w:p w:rsidR="00000000" w:rsidRDefault="00131F06">
            <w:pPr>
              <w:rPr>
                <w:rFonts w:eastAsia="Times New Roman"/>
              </w:rPr>
            </w:pPr>
          </w:p>
        </w:tc>
        <w:tc>
          <w:tcPr>
            <w:tcW w:w="414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50936898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September 27, 2022</w:t>
            </w:r>
          </w:p>
        </w:tc>
      </w:tr>
      <w:tr w:rsidR="00000000">
        <w:trPr>
          <w:divId w:val="150936898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1509368980"/>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Fair value of net assets acquired:</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Current assets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Property, plant and equipment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Intangible assets (a)</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assets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Current liabilities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liabilities (b)</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Goodwill (c)</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Purchase price:</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Cash</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shd w:val="clear" w:color="auto" w:fill="FFFFFF"/>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Contingent consideration (d)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509368980"/>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344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227910599"/>
        <w:rPr>
          <w:rFonts w:eastAsia="Times New Roman"/>
        </w:rPr>
      </w:pPr>
    </w:p>
    <w:p w:rsidR="00000000" w:rsidRDefault="00131F06">
      <w:pPr>
        <w:ind w:hanging="270"/>
        <w:divId w:val="84956963"/>
        <w:rPr>
          <w:rFonts w:eastAsia="Times New Roman"/>
        </w:rPr>
      </w:pPr>
      <w:r>
        <w:rPr>
          <w:rFonts w:ascii="Arial" w:eastAsia="Times New Roman" w:hAnsi="Arial" w:cs="Arial"/>
          <w:color w:val="000000"/>
          <w:sz w:val="20"/>
          <w:szCs w:val="20"/>
        </w:rPr>
        <w:t xml:space="preserve">a) </w:t>
      </w:r>
      <w:r>
        <w:rPr>
          <w:rFonts w:ascii="Arial" w:eastAsia="Times New Roman" w:hAnsi="Arial" w:cs="Arial"/>
          <w:color w:val="000000"/>
          <w:sz w:val="20"/>
          <w:szCs w:val="20"/>
        </w:rPr>
        <w:t>Intangible assets consist of compensation expected to be earned by TGE on existing development contracts once certain project development milestones are met. Fair value was determined using a discounted cash flow method which is an income-based approach to</w:t>
      </w:r>
      <w:r>
        <w:rPr>
          <w:rFonts w:ascii="Arial" w:eastAsia="Times New Roman" w:hAnsi="Arial" w:cs="Arial"/>
          <w:color w:val="000000"/>
          <w:sz w:val="20"/>
          <w:szCs w:val="20"/>
        </w:rPr>
        <w:t xml:space="preserve"> valuation that estimates the present value of future projected benefits from the contracts. The intangible assets will be amortized on a straight-line basis over an expected useful life of two and a half years.</w:t>
      </w:r>
    </w:p>
    <w:p w:rsidR="00000000" w:rsidRDefault="00131F06">
      <w:pPr>
        <w:divId w:val="1799570809"/>
        <w:rPr>
          <w:rFonts w:eastAsia="Times New Roman"/>
        </w:rPr>
      </w:pPr>
    </w:p>
    <w:p w:rsidR="00000000" w:rsidRDefault="00131F06">
      <w:pPr>
        <w:ind w:hanging="270"/>
        <w:divId w:val="1570194032"/>
        <w:rPr>
          <w:rFonts w:eastAsia="Times New Roman"/>
        </w:rPr>
      </w:pPr>
      <w:r>
        <w:rPr>
          <w:rFonts w:ascii="Arial" w:eastAsia="Times New Roman" w:hAnsi="Arial" w:cs="Arial"/>
          <w:color w:val="000000"/>
          <w:sz w:val="20"/>
          <w:szCs w:val="20"/>
        </w:rPr>
        <w:t>b) Long-term liabilities consist primarily</w:t>
      </w:r>
      <w:r>
        <w:rPr>
          <w:rFonts w:ascii="Arial" w:eastAsia="Times New Roman" w:hAnsi="Arial" w:cs="Arial"/>
          <w:color w:val="000000"/>
          <w:sz w:val="20"/>
          <w:szCs w:val="20"/>
        </w:rPr>
        <w:t xml:space="preserve"> of obligations payable to third parties which are contingent on milestones being met for certain projects. Fair value represents the present value of the future cash flow payments at the date of the Acquisition.</w:t>
      </w:r>
    </w:p>
    <w:p w:rsidR="00000000" w:rsidRDefault="00131F06">
      <w:pPr>
        <w:divId w:val="1475567224"/>
        <w:rPr>
          <w:rFonts w:eastAsia="Times New Roman"/>
        </w:rPr>
      </w:pPr>
    </w:p>
    <w:p w:rsidR="00000000" w:rsidRDefault="00131F06">
      <w:pPr>
        <w:ind w:hanging="270"/>
        <w:divId w:val="1334141676"/>
        <w:rPr>
          <w:rFonts w:eastAsia="Times New Roman"/>
        </w:rPr>
      </w:pPr>
      <w:r>
        <w:rPr>
          <w:rFonts w:ascii="Arial" w:eastAsia="Times New Roman" w:hAnsi="Arial" w:cs="Arial"/>
          <w:color w:val="000000"/>
          <w:sz w:val="20"/>
          <w:szCs w:val="20"/>
        </w:rPr>
        <w:t xml:space="preserve">c) Goodwill is primarily attributable to </w:t>
      </w:r>
      <w:r>
        <w:rPr>
          <w:rFonts w:ascii="Arial" w:eastAsia="Times New Roman" w:hAnsi="Arial" w:cs="Arial"/>
          <w:color w:val="000000"/>
          <w:sz w:val="20"/>
          <w:szCs w:val="20"/>
        </w:rPr>
        <w:t xml:space="preserve">expected future returns from new opportunities to develop wind and solar projects, as well as enhanced scale and operational diversity of our renewable projects portfolio. The goodwill balance recognized has been assigned to our Renewable Power Generation </w:t>
      </w:r>
      <w:r>
        <w:rPr>
          <w:rFonts w:ascii="Arial" w:eastAsia="Times New Roman" w:hAnsi="Arial" w:cs="Arial"/>
          <w:color w:val="000000"/>
          <w:sz w:val="20"/>
          <w:szCs w:val="20"/>
        </w:rPr>
        <w:t>segment and is tax deductible over 15 years.</w:t>
      </w:r>
    </w:p>
    <w:p w:rsidR="00000000" w:rsidRDefault="00131F06">
      <w:pPr>
        <w:divId w:val="552542237"/>
        <w:rPr>
          <w:rFonts w:eastAsia="Times New Roman"/>
        </w:rPr>
      </w:pPr>
    </w:p>
    <w:p w:rsidR="00000000" w:rsidRDefault="00131F06">
      <w:pPr>
        <w:ind w:hanging="270"/>
        <w:divId w:val="2088183873"/>
        <w:rPr>
          <w:rFonts w:eastAsia="Times New Roman"/>
        </w:rPr>
      </w:pPr>
      <w:r>
        <w:rPr>
          <w:rFonts w:ascii="Arial" w:eastAsia="Times New Roman" w:hAnsi="Arial" w:cs="Arial"/>
          <w:color w:val="000000"/>
          <w:sz w:val="20"/>
          <w:szCs w:val="20"/>
        </w:rPr>
        <w:t>d) We agreed to pay additional contingent consideration of up to US$53 million to TGE's former</w:t>
      </w:r>
    </w:p>
    <w:p w:rsidR="00000000" w:rsidRDefault="00131F06">
      <w:pPr>
        <w:divId w:val="1493522499"/>
        <w:rPr>
          <w:rFonts w:eastAsia="Times New Roman"/>
        </w:rPr>
      </w:pPr>
      <w:r>
        <w:rPr>
          <w:rFonts w:ascii="Arial" w:eastAsia="Times New Roman" w:hAnsi="Arial" w:cs="Arial"/>
          <w:color w:val="000000"/>
          <w:sz w:val="20"/>
          <w:szCs w:val="20"/>
        </w:rPr>
        <w:t>common unit holders if performance milestones are met on certain projects. The US$36 million of contingent conside</w:t>
      </w:r>
      <w:r>
        <w:rPr>
          <w:rFonts w:ascii="Arial" w:eastAsia="Times New Roman" w:hAnsi="Arial" w:cs="Arial"/>
          <w:color w:val="000000"/>
          <w:sz w:val="20"/>
          <w:szCs w:val="20"/>
        </w:rPr>
        <w:t>ration recognized in the purchase price represents the fair value of contingent</w:t>
      </w:r>
    </w:p>
    <w:p w:rsidR="00000000" w:rsidRDefault="00131F06">
      <w:pPr>
        <w:divId w:val="537014802"/>
        <w:rPr>
          <w:rFonts w:eastAsia="Times New Roman"/>
        </w:rPr>
      </w:pPr>
      <w:r>
        <w:rPr>
          <w:rFonts w:ascii="Arial" w:eastAsia="Times New Roman" w:hAnsi="Arial" w:cs="Arial"/>
          <w:color w:val="000000"/>
          <w:sz w:val="20"/>
          <w:szCs w:val="20"/>
        </w:rPr>
        <w:t>consideration at the date of acquisition. The fair value was determined using an income-based approach.</w:t>
      </w:r>
    </w:p>
    <w:p w:rsidR="00000000" w:rsidRDefault="00131F06">
      <w:pPr>
        <w:divId w:val="1712412853"/>
        <w:rPr>
          <w:rFonts w:eastAsia="Times New Roman"/>
        </w:rPr>
      </w:pPr>
    </w:p>
    <w:p w:rsidR="00000000" w:rsidRDefault="00131F06">
      <w:pPr>
        <w:divId w:val="743920391"/>
        <w:rPr>
          <w:rFonts w:eastAsia="Times New Roman"/>
        </w:rPr>
      </w:pPr>
      <w:r>
        <w:rPr>
          <w:rFonts w:ascii="Arial" w:eastAsia="Times New Roman" w:hAnsi="Arial" w:cs="Arial"/>
          <w:color w:val="000000"/>
          <w:sz w:val="20"/>
          <w:szCs w:val="20"/>
        </w:rPr>
        <w:t>Upon completion of the Acquisition, we began consolidating TGE. For th</w:t>
      </w:r>
      <w:r>
        <w:rPr>
          <w:rFonts w:ascii="Arial" w:eastAsia="Times New Roman" w:hAnsi="Arial" w:cs="Arial"/>
          <w:color w:val="000000"/>
          <w:sz w:val="20"/>
          <w:szCs w:val="20"/>
        </w:rPr>
        <w:t>e period beginning September 27, 2022 through to September 30, 2022, operating revenues and earnings attributable to common shareholders generated by TGE were immaterial. The impact to our supplemental pro forma consolidated operating revenues and earnings</w:t>
      </w:r>
      <w:r>
        <w:rPr>
          <w:rFonts w:ascii="Arial" w:eastAsia="Times New Roman" w:hAnsi="Arial" w:cs="Arial"/>
          <w:color w:val="000000"/>
          <w:sz w:val="20"/>
          <w:szCs w:val="20"/>
        </w:rPr>
        <w:t xml:space="preserve"> attributable to common shareholders for the three and nine months ended September 30, 2022 and 2021, as if the Acquisition had been completed on January 1, 2021, was also immaterial.</w:t>
      </w:r>
    </w:p>
    <w:p w:rsidR="00000000" w:rsidRDefault="00131F06">
      <w:pPr>
        <w:divId w:val="1716809215"/>
        <w:rPr>
          <w:rFonts w:eastAsia="Times New Roman"/>
        </w:rPr>
      </w:pPr>
    </w:p>
    <w:p w:rsidR="00000000" w:rsidRDefault="00131F06">
      <w:pPr>
        <w:jc w:val="center"/>
        <w:divId w:val="1710304649"/>
        <w:rPr>
          <w:rFonts w:eastAsia="Times New Roman"/>
        </w:rPr>
      </w:pPr>
      <w:r>
        <w:rPr>
          <w:rFonts w:ascii="Arial" w:eastAsia="Times New Roman" w:hAnsi="Arial" w:cs="Arial"/>
          <w:color w:val="000000"/>
          <w:sz w:val="20"/>
          <w:szCs w:val="20"/>
        </w:rPr>
        <w:t>21</w:t>
      </w:r>
    </w:p>
    <w:p w:rsidR="00000000" w:rsidRDefault="00131F06">
      <w:pPr>
        <w:rPr>
          <w:rFonts w:eastAsia="Times New Roman"/>
        </w:rPr>
      </w:pPr>
      <w:r>
        <w:rPr>
          <w:rFonts w:eastAsia="Times New Roman"/>
        </w:rPr>
        <w:pict>
          <v:rect id="_x0000_i1046" style="width:0;height:1.5pt" o:hralign="center" o:hrstd="t" o:hr="t" fillcolor="#a0a0a0" stroked="f"/>
        </w:pict>
      </w:r>
    </w:p>
    <w:p w:rsidR="00000000" w:rsidRDefault="00131F06">
      <w:pPr>
        <w:jc w:val="center"/>
        <w:divId w:val="514274453"/>
        <w:rPr>
          <w:rFonts w:eastAsia="Times New Roman"/>
        </w:rPr>
      </w:pPr>
    </w:p>
    <w:p w:rsidR="00000000" w:rsidRDefault="00131F06">
      <w:pPr>
        <w:divId w:val="1267083589"/>
        <w:rPr>
          <w:rFonts w:eastAsia="Times New Roman"/>
        </w:rPr>
      </w:pPr>
      <w:r>
        <w:rPr>
          <w:rFonts w:ascii="Arial" w:eastAsia="Times New Roman" w:hAnsi="Arial" w:cs="Arial"/>
          <w:b/>
          <w:bCs/>
          <w:color w:val="000000"/>
          <w:sz w:val="20"/>
          <w:szCs w:val="20"/>
        </w:rPr>
        <w:t>ATHABASCA REGIONAL OIL SANDS SYSTEM</w:t>
      </w:r>
    </w:p>
    <w:p w:rsidR="00000000" w:rsidRDefault="00131F06">
      <w:pPr>
        <w:divId w:val="1255625436"/>
        <w:rPr>
          <w:rFonts w:eastAsia="Times New Roman"/>
        </w:rPr>
      </w:pPr>
      <w:r>
        <w:rPr>
          <w:rFonts w:ascii="Arial" w:eastAsia="Times New Roman" w:hAnsi="Arial" w:cs="Arial"/>
          <w:color w:val="000000"/>
          <w:sz w:val="20"/>
          <w:szCs w:val="20"/>
        </w:rPr>
        <w:t>On September 28, 2022, we entered into an agreement to sell an 11.6% non-operating interest in seven pipelines in the Athabasca region of northern Alberta from our Regi</w:t>
      </w:r>
      <w:r>
        <w:rPr>
          <w:rFonts w:ascii="Arial" w:eastAsia="Times New Roman" w:hAnsi="Arial" w:cs="Arial"/>
          <w:color w:val="000000"/>
          <w:sz w:val="20"/>
          <w:szCs w:val="20"/>
          <w:shd w:val="clear" w:color="auto" w:fill="FFFFFF"/>
        </w:rPr>
        <w:t>onal Oil Sands</w:t>
      </w:r>
      <w:r>
        <w:rPr>
          <w:rFonts w:ascii="Arial" w:eastAsia="Times New Roman" w:hAnsi="Arial" w:cs="Arial"/>
          <w:color w:val="000000"/>
          <w:sz w:val="20"/>
          <w:szCs w:val="20"/>
          <w:shd w:val="clear" w:color="auto" w:fill="FFFFFF"/>
        </w:rPr>
        <w:t xml:space="preserve"> System to Athabasca Indigenous Investments Limited Partnership, an entity representing 23 </w:t>
      </w:r>
      <w:r>
        <w:rPr>
          <w:rFonts w:ascii="Arial" w:eastAsia="Times New Roman" w:hAnsi="Arial" w:cs="Arial"/>
          <w:color w:val="000000"/>
          <w:sz w:val="20"/>
          <w:szCs w:val="20"/>
        </w:rPr>
        <w:t>First Nation and Métis communities</w:t>
      </w:r>
      <w:r>
        <w:rPr>
          <w:rFonts w:ascii="Arial" w:eastAsia="Times New Roman" w:hAnsi="Arial" w:cs="Arial"/>
          <w:color w:val="000000"/>
          <w:sz w:val="20"/>
          <w:szCs w:val="20"/>
          <w:shd w:val="clear" w:color="auto" w:fill="FFFFFF"/>
        </w:rPr>
        <w:t>. We will maintain an 88.4% controlling interest in these assets, which are a component of our Liquids Pipelines segment, and conti</w:t>
      </w:r>
      <w:r>
        <w:rPr>
          <w:rFonts w:ascii="Arial" w:eastAsia="Times New Roman" w:hAnsi="Arial" w:cs="Arial"/>
          <w:color w:val="000000"/>
          <w:sz w:val="20"/>
          <w:szCs w:val="20"/>
          <w:shd w:val="clear" w:color="auto" w:fill="FFFFFF"/>
        </w:rPr>
        <w:t>nue to manage, operate and provide administrative services to them. On October 5, 2022, we closed the sale for total consideration of approximately $1.1 billion, less customary closing adjustments.</w:t>
      </w:r>
    </w:p>
    <w:p w:rsidR="00000000" w:rsidRDefault="00131F06">
      <w:pPr>
        <w:divId w:val="1932854269"/>
        <w:rPr>
          <w:rFonts w:eastAsia="Times New Roman"/>
        </w:rPr>
      </w:pPr>
    </w:p>
    <w:p w:rsidR="00000000" w:rsidRDefault="00131F06">
      <w:pPr>
        <w:divId w:val="23291181"/>
        <w:rPr>
          <w:rFonts w:eastAsia="Times New Roman"/>
        </w:rPr>
      </w:pPr>
      <w:r>
        <w:rPr>
          <w:rFonts w:ascii="Arial" w:eastAsia="Times New Roman" w:hAnsi="Arial" w:cs="Arial"/>
          <w:b/>
          <w:bCs/>
          <w:color w:val="000000"/>
          <w:sz w:val="26"/>
          <w:szCs w:val="26"/>
        </w:rPr>
        <w:t>7. DEBT</w:t>
      </w:r>
    </w:p>
    <w:p w:rsidR="00000000" w:rsidRDefault="00131F06">
      <w:pPr>
        <w:ind w:hanging="360"/>
        <w:divId w:val="507139429"/>
        <w:rPr>
          <w:rFonts w:eastAsia="Times New Roman"/>
        </w:rPr>
      </w:pPr>
    </w:p>
    <w:p w:rsidR="00000000" w:rsidRDefault="00131F06">
      <w:pPr>
        <w:divId w:val="302392827"/>
        <w:rPr>
          <w:rFonts w:eastAsia="Times New Roman"/>
        </w:rPr>
      </w:pPr>
      <w:r>
        <w:rPr>
          <w:rFonts w:ascii="Arial" w:eastAsia="Times New Roman" w:hAnsi="Arial" w:cs="Arial"/>
          <w:b/>
          <w:bCs/>
          <w:color w:val="000000"/>
          <w:sz w:val="20"/>
          <w:szCs w:val="20"/>
        </w:rPr>
        <w:t>CREDIT FACILITIES</w:t>
      </w:r>
    </w:p>
    <w:p w:rsidR="00000000" w:rsidRDefault="00131F06">
      <w:pPr>
        <w:jc w:val="both"/>
        <w:rPr>
          <w:rFonts w:eastAsia="Times New Roman"/>
        </w:rPr>
      </w:pPr>
      <w:r>
        <w:rPr>
          <w:rFonts w:ascii="Arial" w:eastAsia="Times New Roman" w:hAnsi="Arial" w:cs="Arial"/>
          <w:color w:val="000000"/>
          <w:sz w:val="20"/>
          <w:szCs w:val="20"/>
        </w:rPr>
        <w:t>The following table provides</w:t>
      </w:r>
      <w:r>
        <w:rPr>
          <w:rFonts w:ascii="Arial" w:eastAsia="Times New Roman" w:hAnsi="Arial" w:cs="Arial"/>
          <w:color w:val="000000"/>
          <w:sz w:val="20"/>
          <w:szCs w:val="20"/>
        </w:rPr>
        <w:t xml:space="preserve"> details of our committed credit facilities as at September 30, 2022:</w:t>
      </w:r>
    </w:p>
    <w:p w:rsidR="00000000" w:rsidRDefault="00131F06">
      <w:pPr>
        <w:jc w:val="both"/>
        <w:rPr>
          <w:rFonts w:eastAsia="Times New Roman"/>
        </w:rPr>
      </w:pPr>
      <w:r>
        <w:rPr>
          <w:rFonts w:ascii="Arial" w:eastAsia="Times New Roman" w:hAnsi="Arial" w:cs="Arial"/>
          <w:color w:val="000000"/>
          <w:sz w:val="2"/>
          <w:szCs w:val="2"/>
        </w:rPr>
        <w:t> </w:t>
      </w:r>
    </w:p>
    <w:p w:rsidR="00000000" w:rsidRDefault="00131F06">
      <w:pPr>
        <w:divId w:val="772284908"/>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4142"/>
        <w:gridCol w:w="38"/>
        <w:gridCol w:w="69"/>
        <w:gridCol w:w="1079"/>
        <w:gridCol w:w="36"/>
        <w:gridCol w:w="72"/>
        <w:gridCol w:w="848"/>
        <w:gridCol w:w="36"/>
        <w:gridCol w:w="69"/>
        <w:gridCol w:w="852"/>
        <w:gridCol w:w="36"/>
        <w:gridCol w:w="74"/>
        <w:gridCol w:w="850"/>
        <w:gridCol w:w="36"/>
      </w:tblGrid>
      <w:tr w:rsidR="00000000">
        <w:trPr>
          <w:divId w:val="289865732"/>
        </w:trPr>
        <w:tc>
          <w:tcPr>
            <w:tcW w:w="50" w:type="pct"/>
            <w:vAlign w:val="center"/>
            <w:hideMark/>
          </w:tcPr>
          <w:p w:rsidR="00000000" w:rsidRDefault="00131F06">
            <w:pPr>
              <w:rPr>
                <w:rFonts w:eastAsia="Times New Roman"/>
              </w:rPr>
            </w:pPr>
          </w:p>
        </w:tc>
        <w:tc>
          <w:tcPr>
            <w:tcW w:w="250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65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289865732"/>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Available</w:t>
            </w:r>
          </w:p>
        </w:tc>
      </w:tr>
      <w:tr w:rsidR="00000000">
        <w:trPr>
          <w:divId w:val="28986573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r>
      <w:tr w:rsidR="00000000">
        <w:trPr>
          <w:divId w:val="28986573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xml:space="preserve"> 2023-2027 </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10,949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9,451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1,498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8986573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xml:space="preserve"> 2024-2027 </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8,245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3,909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4,336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8986573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1,142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89865732"/>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1,885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8986573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23,194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16,103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7,091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842475150"/>
        <w:rPr>
          <w:rFonts w:eastAsia="Times New Roman"/>
        </w:rPr>
      </w:pPr>
      <w:r>
        <w:rPr>
          <w:rFonts w:ascii="Arial" w:eastAsia="Times New Roman" w:hAnsi="Arial" w:cs="Arial"/>
          <w:color w:val="000000"/>
          <w:sz w:val="2"/>
          <w:szCs w:val="2"/>
        </w:rPr>
        <w:t> </w:t>
      </w:r>
    </w:p>
    <w:p w:rsidR="00000000" w:rsidRDefault="00131F06">
      <w:pPr>
        <w:ind w:hanging="180"/>
        <w:divId w:val="380250913"/>
        <w:rPr>
          <w:rFonts w:eastAsia="Times New Roman"/>
        </w:rPr>
      </w:pPr>
      <w:r>
        <w:rPr>
          <w:rFonts w:ascii="Arial" w:eastAsia="Times New Roman" w:hAnsi="Arial" w:cs="Arial"/>
          <w:i/>
          <w:iCs/>
          <w:color w:val="000000"/>
          <w:sz w:val="16"/>
          <w:szCs w:val="16"/>
        </w:rPr>
        <w:t>1Maturity date is inclusive of the one-year term out option for certain credit facilities.</w:t>
      </w:r>
    </w:p>
    <w:p w:rsidR="00000000" w:rsidRDefault="00131F06">
      <w:pPr>
        <w:ind w:hanging="180"/>
        <w:divId w:val="561253529"/>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131F06">
      <w:pPr>
        <w:divId w:val="1395201240"/>
        <w:rPr>
          <w:rFonts w:eastAsia="Times New Roman"/>
        </w:rPr>
      </w:pPr>
    </w:p>
    <w:p w:rsidR="00000000" w:rsidRDefault="00131F06">
      <w:pPr>
        <w:divId w:val="702248853"/>
        <w:rPr>
          <w:rFonts w:eastAsia="Times New Roman"/>
        </w:rPr>
      </w:pPr>
      <w:r>
        <w:rPr>
          <w:rFonts w:ascii="Arial" w:eastAsia="Times New Roman" w:hAnsi="Arial" w:cs="Arial"/>
          <w:color w:val="000000"/>
          <w:sz w:val="20"/>
          <w:szCs w:val="20"/>
        </w:rPr>
        <w:t xml:space="preserve">On February 10, 2022, we renewed our three year $1.0 </w:t>
      </w:r>
      <w:r>
        <w:rPr>
          <w:rFonts w:ascii="Arial" w:eastAsia="Times New Roman" w:hAnsi="Arial" w:cs="Arial"/>
          <w:color w:val="000000"/>
          <w:sz w:val="20"/>
          <w:szCs w:val="20"/>
        </w:rPr>
        <w:t>billion sustainability-linked credit facility, extending the maturity date out to July 2025.</w:t>
      </w:r>
    </w:p>
    <w:p w:rsidR="00000000" w:rsidRDefault="00131F06">
      <w:pPr>
        <w:divId w:val="668946527"/>
        <w:rPr>
          <w:rFonts w:eastAsia="Times New Roman"/>
        </w:rPr>
      </w:pPr>
    </w:p>
    <w:p w:rsidR="00000000" w:rsidRDefault="00131F06">
      <w:pPr>
        <w:divId w:val="1990397895"/>
        <w:rPr>
          <w:rFonts w:eastAsia="Times New Roman"/>
        </w:rPr>
      </w:pPr>
      <w:r>
        <w:rPr>
          <w:rFonts w:ascii="Arial" w:eastAsia="Times New Roman" w:hAnsi="Arial" w:cs="Arial"/>
          <w:color w:val="000000"/>
          <w:sz w:val="20"/>
          <w:szCs w:val="20"/>
        </w:rPr>
        <w:t>On May 17, 2022, we entered into a three year term loan with a syndicate of Japanese banks for approximately $806 million (¥84.8 billion), which will mature in M</w:t>
      </w:r>
      <w:r>
        <w:rPr>
          <w:rFonts w:ascii="Arial" w:eastAsia="Times New Roman" w:hAnsi="Arial" w:cs="Arial"/>
          <w:color w:val="000000"/>
          <w:sz w:val="20"/>
          <w:szCs w:val="20"/>
        </w:rPr>
        <w:t>ay 2025 and replaces the approximately $499 million (¥52.5 billion) term loan that matured in May 2022. Additionally, on May 24, 2022, we entered into a 364-day term loan for approximately $1.9 billion, which will mature in May 2023.</w:t>
      </w:r>
    </w:p>
    <w:p w:rsidR="00000000" w:rsidRDefault="00131F06">
      <w:pPr>
        <w:divId w:val="1458186440"/>
        <w:rPr>
          <w:rFonts w:eastAsia="Times New Roman"/>
        </w:rPr>
      </w:pPr>
    </w:p>
    <w:p w:rsidR="00000000" w:rsidRDefault="00131F06">
      <w:pPr>
        <w:divId w:val="203298765"/>
        <w:rPr>
          <w:rFonts w:eastAsia="Times New Roman"/>
        </w:rPr>
      </w:pPr>
      <w:r>
        <w:rPr>
          <w:rFonts w:ascii="Arial" w:eastAsia="Times New Roman" w:hAnsi="Arial" w:cs="Arial"/>
          <w:color w:val="000000"/>
          <w:sz w:val="20"/>
          <w:szCs w:val="20"/>
        </w:rPr>
        <w:t>On June 23, 2022, we</w:t>
      </w:r>
      <w:r>
        <w:rPr>
          <w:rFonts w:ascii="Arial" w:eastAsia="Times New Roman" w:hAnsi="Arial" w:cs="Arial"/>
          <w:color w:val="000000"/>
          <w:sz w:val="20"/>
          <w:szCs w:val="20"/>
        </w:rPr>
        <w:t xml:space="preserve"> renewed approximately $5.5 billion of our 364-day extendible credit facilities to July 2024, which includes a one-year term out provision from July 2023.</w:t>
      </w:r>
    </w:p>
    <w:p w:rsidR="00000000" w:rsidRDefault="00131F06">
      <w:pPr>
        <w:divId w:val="482697765"/>
        <w:rPr>
          <w:rFonts w:eastAsia="Times New Roman"/>
        </w:rPr>
      </w:pPr>
    </w:p>
    <w:p w:rsidR="00000000" w:rsidRDefault="00131F06">
      <w:pPr>
        <w:divId w:val="1109663412"/>
        <w:rPr>
          <w:rFonts w:eastAsia="Times New Roman"/>
        </w:rPr>
      </w:pPr>
      <w:r>
        <w:rPr>
          <w:rFonts w:ascii="Arial" w:eastAsia="Times New Roman" w:hAnsi="Arial" w:cs="Arial"/>
          <w:color w:val="000000"/>
          <w:sz w:val="20"/>
          <w:szCs w:val="20"/>
        </w:rPr>
        <w:t xml:space="preserve">In July and August 2022, we renewed $12.7 billion of our credit facilities, extending the maturity </w:t>
      </w:r>
      <w:r>
        <w:rPr>
          <w:rFonts w:ascii="Arial" w:eastAsia="Times New Roman" w:hAnsi="Arial" w:cs="Arial"/>
          <w:color w:val="000000"/>
          <w:sz w:val="20"/>
          <w:szCs w:val="20"/>
        </w:rPr>
        <w:t>dates of our 364-day credit facilities to July 2024, inclusive of a one-year term out provision from July 2023, and our five year facilities out to July 2027. As a part of the renewals, we increased our credit facilities by approximately $641 million.</w:t>
      </w:r>
    </w:p>
    <w:p w:rsidR="00000000" w:rsidRDefault="00131F06">
      <w:pPr>
        <w:divId w:val="2116821582"/>
        <w:rPr>
          <w:rFonts w:eastAsia="Times New Roman"/>
        </w:rPr>
      </w:pPr>
    </w:p>
    <w:p w:rsidR="00000000" w:rsidRDefault="00131F06">
      <w:pPr>
        <w:divId w:val="421685983"/>
        <w:rPr>
          <w:rFonts w:eastAsia="Times New Roman"/>
        </w:rPr>
      </w:pPr>
      <w:r>
        <w:rPr>
          <w:rFonts w:ascii="Arial" w:eastAsia="Times New Roman" w:hAnsi="Arial" w:cs="Arial"/>
          <w:color w:val="000000"/>
          <w:sz w:val="20"/>
          <w:szCs w:val="20"/>
        </w:rPr>
        <w:t>In</w:t>
      </w:r>
      <w:r>
        <w:rPr>
          <w:rFonts w:ascii="Arial" w:eastAsia="Times New Roman" w:hAnsi="Arial" w:cs="Arial"/>
          <w:color w:val="000000"/>
          <w:sz w:val="20"/>
          <w:szCs w:val="20"/>
        </w:rPr>
        <w:t xml:space="preserve"> addition to the committed credit facilities noted above, we maintain $1.3 billion of uncommitted demand letter of credit facilities, of which $780 million was unutilized as at September 30, 2022. As at December 31, 2021, we had $1.3 billion of uncommitted</w:t>
      </w:r>
      <w:r>
        <w:rPr>
          <w:rFonts w:ascii="Arial" w:eastAsia="Times New Roman" w:hAnsi="Arial" w:cs="Arial"/>
          <w:color w:val="000000"/>
          <w:sz w:val="20"/>
          <w:szCs w:val="20"/>
        </w:rPr>
        <w:t xml:space="preserve"> demand letter of credit facilities, of which $854 million was unutilized.</w:t>
      </w:r>
    </w:p>
    <w:p w:rsidR="00000000" w:rsidRDefault="00131F06">
      <w:pPr>
        <w:divId w:val="463013057"/>
        <w:rPr>
          <w:rFonts w:eastAsia="Times New Roman"/>
        </w:rPr>
      </w:pPr>
    </w:p>
    <w:p w:rsidR="00000000" w:rsidRDefault="00131F06">
      <w:pPr>
        <w:divId w:val="1828551577"/>
        <w:rPr>
          <w:rFonts w:eastAsia="Times New Roman"/>
        </w:rPr>
      </w:pPr>
      <w:r>
        <w:rPr>
          <w:rFonts w:ascii="Arial" w:eastAsia="Times New Roman" w:hAnsi="Arial" w:cs="Arial"/>
          <w:color w:val="000000"/>
          <w:sz w:val="20"/>
          <w:szCs w:val="20"/>
        </w:rPr>
        <w:t>Our credit facilities carry a weighted average standby fee of 0.1% per annum on the unused portion and draws bear interest at market rates. Certain credit facilities serve as a ba</w:t>
      </w:r>
      <w:r>
        <w:rPr>
          <w:rFonts w:ascii="Arial" w:eastAsia="Times New Roman" w:hAnsi="Arial" w:cs="Arial"/>
          <w:color w:val="000000"/>
          <w:sz w:val="20"/>
          <w:szCs w:val="20"/>
        </w:rPr>
        <w:t>ck-stop to the commercial paper programs and we have the option to extend such facilities, which are currently scheduled to mature from 2024 to 2027.</w:t>
      </w:r>
    </w:p>
    <w:p w:rsidR="00000000" w:rsidRDefault="00131F06">
      <w:pPr>
        <w:divId w:val="1246570475"/>
        <w:rPr>
          <w:rFonts w:eastAsia="Times New Roman"/>
        </w:rPr>
      </w:pPr>
    </w:p>
    <w:p w:rsidR="00000000" w:rsidRDefault="00131F06">
      <w:pPr>
        <w:jc w:val="center"/>
        <w:divId w:val="22100827"/>
        <w:rPr>
          <w:rFonts w:eastAsia="Times New Roman"/>
        </w:rPr>
      </w:pPr>
      <w:r>
        <w:rPr>
          <w:rFonts w:ascii="Arial" w:eastAsia="Times New Roman" w:hAnsi="Arial" w:cs="Arial"/>
          <w:color w:val="000000"/>
          <w:sz w:val="20"/>
          <w:szCs w:val="20"/>
        </w:rPr>
        <w:t>22</w:t>
      </w:r>
    </w:p>
    <w:p w:rsidR="00000000" w:rsidRDefault="00131F06">
      <w:pPr>
        <w:rPr>
          <w:rFonts w:eastAsia="Times New Roman"/>
        </w:rPr>
      </w:pPr>
      <w:r>
        <w:rPr>
          <w:rFonts w:eastAsia="Times New Roman"/>
        </w:rPr>
        <w:pict>
          <v:rect id="_x0000_i1047" style="width:0;height:1.5pt" o:hralign="center" o:hrstd="t" o:hr="t" fillcolor="#a0a0a0" stroked="f"/>
        </w:pict>
      </w:r>
    </w:p>
    <w:p w:rsidR="00000000" w:rsidRDefault="00131F06">
      <w:pPr>
        <w:jc w:val="center"/>
        <w:divId w:val="1194198616"/>
        <w:rPr>
          <w:rFonts w:eastAsia="Times New Roman"/>
        </w:rPr>
      </w:pPr>
    </w:p>
    <w:p w:rsidR="00000000" w:rsidRDefault="00131F06">
      <w:pPr>
        <w:divId w:val="1925872585"/>
        <w:rPr>
          <w:rFonts w:eastAsia="Times New Roman"/>
        </w:rPr>
      </w:pPr>
      <w:r>
        <w:rPr>
          <w:rFonts w:ascii="Arial" w:eastAsia="Times New Roman" w:hAnsi="Arial" w:cs="Arial"/>
          <w:color w:val="000000"/>
          <w:sz w:val="20"/>
          <w:szCs w:val="20"/>
        </w:rPr>
        <w:t>As at September 30, 2022 and December 31, 2021, commercial pap</w:t>
      </w:r>
      <w:r>
        <w:rPr>
          <w:rFonts w:ascii="Arial" w:eastAsia="Times New Roman" w:hAnsi="Arial" w:cs="Arial"/>
          <w:color w:val="000000"/>
          <w:sz w:val="20"/>
          <w:szCs w:val="20"/>
        </w:rPr>
        <w:t>er and credit facility draws, net of short-term borrowings and non-revolving credit facilities that mature within one year, of $11.9 billion and $11.3 billion, respectively, were supported by the availability of long-term committed credit facilities and, t</w:t>
      </w:r>
      <w:r>
        <w:rPr>
          <w:rFonts w:ascii="Arial" w:eastAsia="Times New Roman" w:hAnsi="Arial" w:cs="Arial"/>
          <w:color w:val="000000"/>
          <w:sz w:val="20"/>
          <w:szCs w:val="20"/>
        </w:rPr>
        <w:t>herefore, have been classified as long-term debt.</w:t>
      </w:r>
    </w:p>
    <w:p w:rsidR="00000000" w:rsidRDefault="00131F06">
      <w:pPr>
        <w:divId w:val="1749883396"/>
        <w:rPr>
          <w:rFonts w:eastAsia="Times New Roman"/>
        </w:rPr>
      </w:pPr>
    </w:p>
    <w:p w:rsidR="00000000" w:rsidRDefault="00131F06">
      <w:pPr>
        <w:divId w:val="555894541"/>
        <w:rPr>
          <w:rFonts w:eastAsia="Times New Roman"/>
        </w:rPr>
      </w:pPr>
      <w:r>
        <w:rPr>
          <w:rFonts w:ascii="Arial" w:eastAsia="Times New Roman" w:hAnsi="Arial" w:cs="Arial"/>
          <w:b/>
          <w:bCs/>
          <w:color w:val="000000"/>
          <w:sz w:val="20"/>
          <w:szCs w:val="20"/>
        </w:rPr>
        <w:t>LONG-TERM DEBT ISSUANCES</w:t>
      </w:r>
    </w:p>
    <w:p w:rsidR="00000000" w:rsidRDefault="00131F06">
      <w:pPr>
        <w:divId w:val="1626040602"/>
        <w:rPr>
          <w:rFonts w:eastAsia="Times New Roman"/>
        </w:rPr>
      </w:pPr>
      <w:r>
        <w:rPr>
          <w:rFonts w:ascii="Arial" w:eastAsia="Times New Roman" w:hAnsi="Arial" w:cs="Arial"/>
          <w:color w:val="000000"/>
          <w:sz w:val="20"/>
          <w:szCs w:val="20"/>
        </w:rPr>
        <w:t>During the nine months ended September 30, 2022, we completed the following long-term debt issuances totaling $1.4 billion and US$2.6 billion: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58"/>
        <w:gridCol w:w="36"/>
        <w:gridCol w:w="58"/>
        <w:gridCol w:w="1188"/>
        <w:gridCol w:w="39"/>
        <w:gridCol w:w="87"/>
        <w:gridCol w:w="456"/>
        <w:gridCol w:w="181"/>
        <w:gridCol w:w="45"/>
        <w:gridCol w:w="4318"/>
        <w:gridCol w:w="36"/>
        <w:gridCol w:w="57"/>
        <w:gridCol w:w="937"/>
        <w:gridCol w:w="36"/>
      </w:tblGrid>
      <w:tr w:rsidR="00000000">
        <w:trPr>
          <w:divId w:val="427043904"/>
        </w:trPr>
        <w:tc>
          <w:tcPr>
            <w:tcW w:w="50" w:type="pct"/>
            <w:vAlign w:val="center"/>
            <w:hideMark/>
          </w:tcPr>
          <w:p w:rsidR="00000000" w:rsidRDefault="00131F06">
            <w:pPr>
              <w:rPr>
                <w:rFonts w:eastAsia="Times New Roman"/>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6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6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9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427043904"/>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Principal Amount</w:t>
            </w:r>
          </w:p>
        </w:tc>
      </w:tr>
      <w:tr w:rsidR="00000000">
        <w:trPr>
          <w:divId w:val="427043904"/>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27043904"/>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427043904"/>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January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5.00%</w:t>
            </w:r>
          </w:p>
        </w:tc>
        <w:tc>
          <w:tcPr>
            <w:tcW w:w="0" w:type="auto"/>
            <w:gridSpan w:val="3"/>
            <w:tcMar>
              <w:top w:w="30" w:type="dxa"/>
              <w:left w:w="20" w:type="dxa"/>
              <w:bottom w:w="30" w:type="dxa"/>
              <w:right w:w="20" w:type="dxa"/>
            </w:tcMar>
            <w:vAlign w:val="center"/>
            <w:hideMark/>
          </w:tcPr>
          <w:p w:rsidR="00000000" w:rsidRDefault="00131F06">
            <w:pPr>
              <w:spacing w:after="100"/>
              <w:divId w:val="1000700179"/>
              <w:rPr>
                <w:rFonts w:eastAsia="Times New Roman"/>
              </w:rPr>
            </w:pPr>
            <w:r>
              <w:rPr>
                <w:rFonts w:ascii="Arial" w:eastAsia="Times New Roman" w:hAnsi="Arial" w:cs="Arial"/>
                <w:color w:val="000000"/>
                <w:sz w:val="18"/>
                <w:szCs w:val="18"/>
              </w:rPr>
              <w:t>fixed-to-fixed subordinated notes due January 208</w:t>
            </w:r>
            <w:r>
              <w:rPr>
                <w:rFonts w:ascii="Arial" w:eastAsia="Times New Roman" w:hAnsi="Arial" w:cs="Arial"/>
                <w:color w:val="000000"/>
                <w:sz w:val="18"/>
                <w:szCs w:val="18"/>
              </w:rPr>
              <w:t>2</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$750</w:t>
            </w:r>
          </w:p>
        </w:tc>
      </w:tr>
      <w:tr w:rsidR="00000000">
        <w:trPr>
          <w:divId w:val="427043904"/>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131F06">
            <w:pPr>
              <w:spacing w:after="100"/>
              <w:divId w:val="67776270"/>
              <w:rPr>
                <w:rFonts w:eastAsia="Times New Roman"/>
              </w:rPr>
            </w:pPr>
            <w:r>
              <w:rPr>
                <w:rFonts w:ascii="Arial" w:eastAsia="Times New Roman" w:hAnsi="Arial" w:cs="Arial"/>
                <w:color w:val="000000"/>
                <w:sz w:val="18"/>
                <w:szCs w:val="18"/>
              </w:rPr>
              <w:t>Floating rate senior notes due February 202</w:t>
            </w:r>
            <w:r>
              <w:rPr>
                <w:rFonts w:ascii="Arial" w:eastAsia="Times New Roman" w:hAnsi="Arial" w:cs="Arial"/>
                <w:color w:val="000000"/>
                <w:sz w:val="18"/>
                <w:szCs w:val="18"/>
              </w:rPr>
              <w:t>4</w:t>
            </w:r>
            <w:r>
              <w:rPr>
                <w:rFonts w:ascii="Arial" w:eastAsia="Times New Roman" w:hAnsi="Arial" w:cs="Arial"/>
                <w:color w:val="000000"/>
                <w:sz w:val="12"/>
                <w:szCs w:val="12"/>
              </w:rPr>
              <w:t>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US$600</w:t>
            </w:r>
          </w:p>
        </w:tc>
      </w:tr>
      <w:tr w:rsidR="00000000">
        <w:trPr>
          <w:divId w:val="427043904"/>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2.15%</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 due February 2024</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US$400</w:t>
            </w:r>
          </w:p>
        </w:tc>
      </w:tr>
      <w:tr w:rsidR="00000000">
        <w:trPr>
          <w:divId w:val="427043904"/>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2.50%</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 due February 2025</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US$500</w:t>
            </w:r>
          </w:p>
        </w:tc>
      </w:tr>
      <w:tr w:rsidR="00000000">
        <w:trPr>
          <w:divId w:val="427043904"/>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September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7.38%</w:t>
            </w:r>
          </w:p>
        </w:tc>
        <w:tc>
          <w:tcPr>
            <w:tcW w:w="0" w:type="auto"/>
            <w:gridSpan w:val="3"/>
            <w:tcMar>
              <w:top w:w="30" w:type="dxa"/>
              <w:left w:w="20" w:type="dxa"/>
              <w:bottom w:w="30" w:type="dxa"/>
              <w:right w:w="20" w:type="dxa"/>
            </w:tcMar>
            <w:vAlign w:val="center"/>
            <w:hideMark/>
          </w:tcPr>
          <w:p w:rsidR="00000000" w:rsidRDefault="00131F06">
            <w:pPr>
              <w:spacing w:after="100"/>
              <w:divId w:val="1020012875"/>
              <w:rPr>
                <w:rFonts w:eastAsia="Times New Roman"/>
              </w:rPr>
            </w:pPr>
            <w:r>
              <w:rPr>
                <w:rFonts w:ascii="Arial" w:eastAsia="Times New Roman" w:hAnsi="Arial" w:cs="Arial"/>
                <w:color w:val="000000"/>
                <w:sz w:val="18"/>
                <w:szCs w:val="18"/>
              </w:rPr>
              <w:t>fixed-to-fixed subordinated notes due January 208</w:t>
            </w:r>
            <w:r>
              <w:rPr>
                <w:rFonts w:ascii="Arial" w:eastAsia="Times New Roman" w:hAnsi="Arial" w:cs="Arial"/>
                <w:color w:val="000000"/>
                <w:sz w:val="18"/>
                <w:szCs w:val="18"/>
              </w:rPr>
              <w:t>3</w:t>
            </w:r>
            <w:r>
              <w:rPr>
                <w:rFonts w:ascii="Arial" w:eastAsia="Times New Roman" w:hAnsi="Arial" w:cs="Arial"/>
                <w:color w:val="000000"/>
                <w:sz w:val="12"/>
                <w:szCs w:val="12"/>
              </w:rPr>
              <w:t>3</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US$500</w:t>
            </w:r>
          </w:p>
        </w:tc>
      </w:tr>
      <w:tr w:rsidR="00000000">
        <w:trPr>
          <w:divId w:val="427043904"/>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September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7.63%</w:t>
            </w:r>
          </w:p>
        </w:tc>
        <w:tc>
          <w:tcPr>
            <w:tcW w:w="0" w:type="auto"/>
            <w:gridSpan w:val="3"/>
            <w:tcMar>
              <w:top w:w="30" w:type="dxa"/>
              <w:left w:w="20" w:type="dxa"/>
              <w:bottom w:w="30" w:type="dxa"/>
              <w:right w:w="20" w:type="dxa"/>
            </w:tcMar>
            <w:vAlign w:val="center"/>
            <w:hideMark/>
          </w:tcPr>
          <w:p w:rsidR="00000000" w:rsidRDefault="00131F06">
            <w:pPr>
              <w:spacing w:after="100"/>
              <w:divId w:val="1209798303"/>
              <w:rPr>
                <w:rFonts w:eastAsia="Times New Roman"/>
              </w:rPr>
            </w:pPr>
            <w:r>
              <w:rPr>
                <w:rFonts w:ascii="Arial" w:eastAsia="Times New Roman" w:hAnsi="Arial" w:cs="Arial"/>
                <w:color w:val="000000"/>
                <w:sz w:val="18"/>
                <w:szCs w:val="18"/>
              </w:rPr>
              <w:t>fixed-to-fixed subordinated notes due January 208</w:t>
            </w:r>
            <w:r>
              <w:rPr>
                <w:rFonts w:ascii="Arial" w:eastAsia="Times New Roman" w:hAnsi="Arial" w:cs="Arial"/>
                <w:color w:val="000000"/>
                <w:sz w:val="18"/>
                <w:szCs w:val="18"/>
              </w:rPr>
              <w:t>3</w:t>
            </w:r>
            <w:r>
              <w:rPr>
                <w:rFonts w:ascii="Arial" w:eastAsia="Times New Roman" w:hAnsi="Arial" w:cs="Arial"/>
                <w:color w:val="000000"/>
                <w:sz w:val="12"/>
                <w:szCs w:val="12"/>
              </w:rPr>
              <w:t>4</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US$600</w:t>
            </w:r>
          </w:p>
        </w:tc>
      </w:tr>
      <w:tr w:rsidR="00000000">
        <w:trPr>
          <w:divId w:val="427043904"/>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427043904"/>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August 2022</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4.15 </w:t>
            </w:r>
          </w:p>
        </w:tc>
        <w:tc>
          <w:tcPr>
            <w:tcW w:w="0" w:type="auto"/>
            <w:tcMar>
              <w:top w:w="30" w:type="dxa"/>
              <w:left w:w="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medium-term notes due August 2032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$325</w:t>
            </w:r>
          </w:p>
        </w:tc>
      </w:tr>
      <w:tr w:rsidR="00000000">
        <w:trPr>
          <w:divId w:val="427043904"/>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August 2022</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4.55 </w:t>
            </w:r>
          </w:p>
        </w:tc>
        <w:tc>
          <w:tcPr>
            <w:tcW w:w="0" w:type="auto"/>
            <w:tcBorders>
              <w:bottom w:val="single" w:sz="8" w:space="0" w:color="000000"/>
            </w:tcBorders>
            <w:tcMar>
              <w:top w:w="30" w:type="dxa"/>
              <w:left w:w="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medium-term notes due August 2052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$325</w:t>
            </w:r>
          </w:p>
        </w:tc>
      </w:tr>
      <w:tr w:rsidR="00000000">
        <w:trPr>
          <w:divId w:val="427043904"/>
        </w:trPr>
        <w:tc>
          <w:tcPr>
            <w:tcW w:w="0" w:type="auto"/>
            <w:gridSpan w:val="3"/>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427043904"/>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427043904"/>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427043904"/>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427043904"/>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bl>
    <w:p w:rsidR="00000000" w:rsidRDefault="00131F06">
      <w:pPr>
        <w:ind w:hanging="180"/>
        <w:divId w:val="572668493"/>
        <w:rPr>
          <w:rFonts w:eastAsia="Times New Roman"/>
        </w:rPr>
      </w:pPr>
      <w:r>
        <w:rPr>
          <w:rFonts w:ascii="Arial" w:eastAsia="Times New Roman" w:hAnsi="Arial" w:cs="Arial"/>
          <w:i/>
          <w:iCs/>
          <w:color w:val="000000"/>
          <w:sz w:val="16"/>
          <w:szCs w:val="16"/>
        </w:rPr>
        <w:t xml:space="preserve">1For the initial 10 </w:t>
      </w:r>
      <w:r>
        <w:rPr>
          <w:rFonts w:ascii="Arial" w:eastAsia="Times New Roman" w:hAnsi="Arial" w:cs="Arial"/>
          <w:i/>
          <w:iCs/>
          <w:color w:val="000000"/>
          <w:sz w:val="16"/>
          <w:szCs w:val="16"/>
        </w:rPr>
        <w:t>years, the notes carry a fixed interest rate. At year 10, the interest rate will be reset to equal to the Five-Year Government of Canada bond yield plus a margin of 3.54%. Subsequent to year 10, every five years, the Five Year Government of Canada bond yie</w:t>
      </w:r>
      <w:r>
        <w:rPr>
          <w:rFonts w:ascii="Arial" w:eastAsia="Times New Roman" w:hAnsi="Arial" w:cs="Arial"/>
          <w:i/>
          <w:iCs/>
          <w:color w:val="000000"/>
          <w:sz w:val="16"/>
          <w:szCs w:val="16"/>
        </w:rPr>
        <w:t xml:space="preserve">ld is reset. At year 30, the interest rate will be reset to equal to the Five-Year Government of Canada bond yield plus a margin of 4.29%. </w:t>
      </w:r>
    </w:p>
    <w:p w:rsidR="00000000" w:rsidRDefault="00131F06">
      <w:pPr>
        <w:ind w:hanging="180"/>
        <w:divId w:val="1127896794"/>
        <w:rPr>
          <w:rFonts w:eastAsia="Times New Roman"/>
        </w:rPr>
      </w:pPr>
      <w:r>
        <w:rPr>
          <w:rFonts w:ascii="Arial" w:eastAsia="Times New Roman" w:hAnsi="Arial" w:cs="Arial"/>
          <w:i/>
          <w:iCs/>
          <w:color w:val="000000"/>
          <w:sz w:val="16"/>
          <w:szCs w:val="16"/>
        </w:rPr>
        <w:t>2Notes carry an interest rate set to equal the Secured Overnight Financing Rate plus a margin of 63 basis points.</w:t>
      </w:r>
    </w:p>
    <w:p w:rsidR="00000000" w:rsidRDefault="00131F06">
      <w:pPr>
        <w:ind w:hanging="180"/>
        <w:divId w:val="248926808"/>
        <w:rPr>
          <w:rFonts w:eastAsia="Times New Roman"/>
        </w:rPr>
      </w:pPr>
      <w:r>
        <w:rPr>
          <w:rFonts w:ascii="Arial" w:eastAsia="Times New Roman" w:hAnsi="Arial" w:cs="Arial"/>
          <w:i/>
          <w:iCs/>
          <w:color w:val="000000"/>
          <w:sz w:val="16"/>
          <w:szCs w:val="16"/>
        </w:rPr>
        <w:t>3F</w:t>
      </w:r>
      <w:r>
        <w:rPr>
          <w:rFonts w:ascii="Arial" w:eastAsia="Times New Roman" w:hAnsi="Arial" w:cs="Arial"/>
          <w:i/>
          <w:iCs/>
          <w:color w:val="000000"/>
          <w:sz w:val="16"/>
          <w:szCs w:val="16"/>
        </w:rPr>
        <w:t xml:space="preserve">or the initial five years, the notes carry a fixed interest rate. At year five, the interest rate will be set to equal to the Five-Year US Treasury rate plus a margin of 3.71%. At year 10, the interest rate will be reset to equal the Five-Year US Treasury </w:t>
      </w:r>
      <w:r>
        <w:rPr>
          <w:rFonts w:ascii="Arial" w:eastAsia="Times New Roman" w:hAnsi="Arial" w:cs="Arial"/>
          <w:i/>
          <w:iCs/>
          <w:color w:val="000000"/>
          <w:sz w:val="16"/>
          <w:szCs w:val="16"/>
        </w:rPr>
        <w:t>rate plus a margin of 3.96%. Subsequent to year 10, every five years, the Five Year US Treasury rate is reset. At year 25, the interest rate will be reset to equal to the Five-Year US Treasury rate plus a margin of 4.71%.</w:t>
      </w:r>
    </w:p>
    <w:p w:rsidR="00000000" w:rsidRDefault="00131F06">
      <w:pPr>
        <w:ind w:hanging="180"/>
        <w:divId w:val="667906019"/>
        <w:rPr>
          <w:rFonts w:eastAsia="Times New Roman"/>
        </w:rPr>
      </w:pPr>
      <w:r>
        <w:rPr>
          <w:rFonts w:ascii="Arial" w:eastAsia="Times New Roman" w:hAnsi="Arial" w:cs="Arial"/>
          <w:i/>
          <w:iCs/>
          <w:color w:val="000000"/>
          <w:sz w:val="16"/>
          <w:szCs w:val="16"/>
        </w:rPr>
        <w:t xml:space="preserve">4For the initial 10 </w:t>
      </w:r>
      <w:r>
        <w:rPr>
          <w:rFonts w:ascii="Arial" w:eastAsia="Times New Roman" w:hAnsi="Arial" w:cs="Arial"/>
          <w:i/>
          <w:iCs/>
          <w:color w:val="000000"/>
          <w:sz w:val="16"/>
          <w:szCs w:val="16"/>
        </w:rPr>
        <w:t xml:space="preserve">years, the notes carry a fixed interest rate. At year 10, the interest rate will be reset to equal to the Five-Year US Treasury rate plus a margin of 4.42%. Subsequent to year 10, every five years, the Five-Year US Treasury rate will be reset. At year 30, </w:t>
      </w:r>
      <w:r>
        <w:rPr>
          <w:rFonts w:ascii="Arial" w:eastAsia="Times New Roman" w:hAnsi="Arial" w:cs="Arial"/>
          <w:i/>
          <w:iCs/>
          <w:color w:val="000000"/>
          <w:sz w:val="16"/>
          <w:szCs w:val="16"/>
        </w:rPr>
        <w:t>the interest rate will be reset to equal to the Five-Year US Treasury rate plus a margin of 5.17%.</w:t>
      </w:r>
    </w:p>
    <w:p w:rsidR="00000000" w:rsidRDefault="00131F06">
      <w:pPr>
        <w:ind w:hanging="180"/>
        <w:divId w:val="48580714"/>
        <w:rPr>
          <w:rFonts w:eastAsia="Times New Roman"/>
        </w:rPr>
      </w:pPr>
    </w:p>
    <w:p w:rsidR="00000000" w:rsidRDefault="00131F06">
      <w:pPr>
        <w:ind w:firstLine="540"/>
        <w:divId w:val="776411598"/>
        <w:rPr>
          <w:rFonts w:eastAsia="Times New Roman"/>
        </w:rPr>
      </w:pPr>
      <w:r>
        <w:rPr>
          <w:rFonts w:ascii="Arial" w:eastAsia="Times New Roman" w:hAnsi="Arial" w:cs="Arial"/>
          <w:b/>
          <w:bCs/>
          <w:color w:val="000000"/>
          <w:sz w:val="20"/>
          <w:szCs w:val="20"/>
        </w:rPr>
        <w:t>LONG-TERM DEBT REPAYMENTS</w:t>
      </w:r>
    </w:p>
    <w:p w:rsidR="00000000" w:rsidRDefault="00131F06">
      <w:pPr>
        <w:divId w:val="245456943"/>
        <w:rPr>
          <w:rFonts w:eastAsia="Times New Roman"/>
        </w:rPr>
      </w:pPr>
      <w:r>
        <w:rPr>
          <w:rFonts w:ascii="Arial" w:eastAsia="Times New Roman" w:hAnsi="Arial" w:cs="Arial"/>
          <w:color w:val="000000"/>
          <w:sz w:val="20"/>
          <w:szCs w:val="20"/>
        </w:rPr>
        <w:t>During the nine months ended September 30, 2022, we completed the following long-term debt repayments totaling US$1.5 billion and</w:t>
      </w:r>
      <w:r>
        <w:rPr>
          <w:rFonts w:ascii="Arial" w:eastAsia="Times New Roman" w:hAnsi="Arial" w:cs="Arial"/>
          <w:color w:val="000000"/>
          <w:sz w:val="20"/>
          <w:szCs w:val="20"/>
        </w:rPr>
        <w:t xml:space="preserve"> $0.3 billion: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6"/>
        <w:gridCol w:w="87"/>
        <w:gridCol w:w="456"/>
        <w:gridCol w:w="36"/>
        <w:gridCol w:w="63"/>
        <w:gridCol w:w="4336"/>
        <w:gridCol w:w="37"/>
        <w:gridCol w:w="64"/>
        <w:gridCol w:w="968"/>
        <w:gridCol w:w="36"/>
      </w:tblGrid>
      <w:tr w:rsidR="00000000">
        <w:trPr>
          <w:divId w:val="1826318692"/>
        </w:trPr>
        <w:tc>
          <w:tcPr>
            <w:tcW w:w="50" w:type="pct"/>
            <w:vAlign w:val="center"/>
            <w:hideMark/>
          </w:tcPr>
          <w:p w:rsidR="00000000" w:rsidRDefault="00131F06">
            <w:pPr>
              <w:rPr>
                <w:rFonts w:eastAsia="Times New Roman"/>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6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6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9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826318692"/>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826318692"/>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1826318692"/>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826318692"/>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131F06">
            <w:pPr>
              <w:spacing w:after="100"/>
              <w:divId w:val="179781035"/>
              <w:rPr>
                <w:rFonts w:eastAsia="Times New Roman"/>
              </w:rPr>
            </w:pPr>
            <w:r>
              <w:rPr>
                <w:rFonts w:ascii="Arial" w:eastAsia="Times New Roman" w:hAnsi="Arial" w:cs="Arial"/>
                <w:color w:val="000000"/>
                <w:sz w:val="18"/>
                <w:szCs w:val="18"/>
              </w:rPr>
              <w:t>Floating rate note</w:t>
            </w:r>
            <w:r>
              <w:rPr>
                <w:rFonts w:ascii="Arial" w:eastAsia="Times New Roman" w:hAnsi="Arial" w:cs="Arial"/>
                <w:color w:val="000000"/>
                <w:sz w:val="18"/>
                <w:szCs w:val="18"/>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US$750</w:t>
            </w:r>
          </w:p>
        </w:tc>
      </w:tr>
      <w:tr w:rsidR="00000000">
        <w:trPr>
          <w:divId w:val="1826318692"/>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$200</w:t>
            </w:r>
          </w:p>
        </w:tc>
      </w:tr>
      <w:tr w:rsidR="00000000">
        <w:trPr>
          <w:divId w:val="1826318692"/>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July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2.90%</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 due July 2022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US$700</w:t>
            </w:r>
          </w:p>
        </w:tc>
      </w:tr>
      <w:tr w:rsidR="00000000">
        <w:trPr>
          <w:divId w:val="1826318692"/>
        </w:trPr>
        <w:tc>
          <w:tcPr>
            <w:tcW w:w="0" w:type="auto"/>
            <w:gridSpan w:val="3"/>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1826318692"/>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826318692"/>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826318692"/>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April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$125</w:t>
            </w:r>
          </w:p>
        </w:tc>
      </w:tr>
      <w:tr w:rsidR="00000000">
        <w:trPr>
          <w:divId w:val="1826318692"/>
        </w:trPr>
        <w:tc>
          <w:tcPr>
            <w:tcW w:w="0" w:type="auto"/>
            <w:gridSpan w:val="12"/>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Pipelines (Southern Lights) L.L.C.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1826318692"/>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June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3.98%</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US$34</w:t>
            </w:r>
          </w:p>
        </w:tc>
      </w:tr>
      <w:tr w:rsidR="00000000">
        <w:trPr>
          <w:divId w:val="1826318692"/>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Southern Lights LP</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826318692"/>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June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4.01%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$9</w:t>
            </w:r>
          </w:p>
        </w:tc>
      </w:tr>
      <w:tr w:rsidR="00000000">
        <w:trPr>
          <w:divId w:val="1826318692"/>
        </w:trPr>
        <w:tc>
          <w:tcPr>
            <w:tcW w:w="0" w:type="auto"/>
            <w:gridSpan w:val="3"/>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1826318692"/>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bl>
    <w:p w:rsidR="00000000" w:rsidRDefault="00131F06">
      <w:pPr>
        <w:ind w:hanging="180"/>
        <w:divId w:val="1539932033"/>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carried an interest rate set to equal the three-month London Interbank Offered Rate plus a margin of 50 basis points.</w:t>
      </w:r>
    </w:p>
    <w:p w:rsidR="00000000" w:rsidRDefault="00131F06">
      <w:pPr>
        <w:divId w:val="421292658"/>
        <w:rPr>
          <w:rFonts w:eastAsia="Times New Roman"/>
        </w:rPr>
      </w:pPr>
    </w:p>
    <w:p w:rsidR="00000000" w:rsidRDefault="00131F06">
      <w:pPr>
        <w:divId w:val="1209991668"/>
        <w:rPr>
          <w:rFonts w:eastAsia="Times New Roman"/>
        </w:rPr>
      </w:pPr>
      <w:r>
        <w:rPr>
          <w:rFonts w:ascii="Arial" w:eastAsia="Times New Roman" w:hAnsi="Arial" w:cs="Arial"/>
          <w:b/>
          <w:bCs/>
          <w:color w:val="000000"/>
          <w:sz w:val="20"/>
          <w:szCs w:val="20"/>
        </w:rPr>
        <w:t>SUBORDINATED TERM NOTES</w:t>
      </w:r>
    </w:p>
    <w:p w:rsidR="00000000" w:rsidRDefault="00131F06">
      <w:pPr>
        <w:divId w:val="1917589043"/>
        <w:rPr>
          <w:rFonts w:eastAsia="Times New Roman"/>
        </w:rPr>
      </w:pPr>
      <w:r>
        <w:rPr>
          <w:rFonts w:ascii="Arial" w:eastAsia="Times New Roman" w:hAnsi="Arial" w:cs="Arial"/>
          <w:color w:val="000000"/>
          <w:sz w:val="20"/>
          <w:szCs w:val="20"/>
        </w:rPr>
        <w:t>As at September 30, 2022 and December </w:t>
      </w:r>
      <w:r>
        <w:rPr>
          <w:rFonts w:ascii="Arial" w:eastAsia="Times New Roman" w:hAnsi="Arial" w:cs="Arial"/>
          <w:color w:val="000000"/>
          <w:sz w:val="20"/>
          <w:szCs w:val="20"/>
        </w:rPr>
        <w:t>31, 2021, our fixed-to-floating rate and fixed-to-fixed rate subordinated term notes had a principal value of $10.4 billion and $7.7 billion, respectively.</w:t>
      </w:r>
    </w:p>
    <w:p w:rsidR="00000000" w:rsidRDefault="00131F06">
      <w:pPr>
        <w:divId w:val="595600860"/>
        <w:rPr>
          <w:rFonts w:eastAsia="Times New Roman"/>
        </w:rPr>
      </w:pPr>
    </w:p>
    <w:p w:rsidR="00000000" w:rsidRDefault="00131F06">
      <w:pPr>
        <w:jc w:val="center"/>
        <w:divId w:val="2007517321"/>
        <w:rPr>
          <w:rFonts w:eastAsia="Times New Roman"/>
        </w:rPr>
      </w:pPr>
      <w:r>
        <w:rPr>
          <w:rFonts w:ascii="Arial" w:eastAsia="Times New Roman" w:hAnsi="Arial" w:cs="Arial"/>
          <w:color w:val="000000"/>
          <w:sz w:val="20"/>
          <w:szCs w:val="20"/>
        </w:rPr>
        <w:t>23</w:t>
      </w:r>
    </w:p>
    <w:p w:rsidR="00000000" w:rsidRDefault="00131F06">
      <w:pPr>
        <w:rPr>
          <w:rFonts w:eastAsia="Times New Roman"/>
        </w:rPr>
      </w:pPr>
      <w:r>
        <w:rPr>
          <w:rFonts w:eastAsia="Times New Roman"/>
        </w:rPr>
        <w:pict>
          <v:rect id="_x0000_i1048" style="width:0;height:1.5pt" o:hralign="center" o:hrstd="t" o:hr="t" fillcolor="#a0a0a0" stroked="f"/>
        </w:pict>
      </w:r>
    </w:p>
    <w:p w:rsidR="00000000" w:rsidRDefault="00131F06">
      <w:pPr>
        <w:jc w:val="center"/>
        <w:divId w:val="1195927068"/>
        <w:rPr>
          <w:rFonts w:eastAsia="Times New Roman"/>
        </w:rPr>
      </w:pPr>
    </w:p>
    <w:p w:rsidR="00000000" w:rsidRDefault="00131F06">
      <w:pPr>
        <w:divId w:val="1730952533"/>
        <w:rPr>
          <w:rFonts w:eastAsia="Times New Roman"/>
        </w:rPr>
      </w:pPr>
      <w:r>
        <w:rPr>
          <w:rFonts w:ascii="Arial" w:eastAsia="Times New Roman" w:hAnsi="Arial" w:cs="Arial"/>
          <w:b/>
          <w:bCs/>
          <w:color w:val="000000"/>
          <w:sz w:val="20"/>
          <w:szCs w:val="20"/>
        </w:rPr>
        <w:t>FAIR VALUE ADJUSTMENT</w:t>
      </w:r>
    </w:p>
    <w:p w:rsidR="00000000" w:rsidRDefault="00131F06">
      <w:pPr>
        <w:divId w:val="2008634962"/>
        <w:rPr>
          <w:rFonts w:eastAsia="Times New Roman"/>
        </w:rPr>
      </w:pPr>
      <w:r>
        <w:rPr>
          <w:rFonts w:ascii="Arial" w:eastAsia="Times New Roman" w:hAnsi="Arial" w:cs="Arial"/>
          <w:color w:val="000000"/>
          <w:sz w:val="20"/>
          <w:szCs w:val="20"/>
        </w:rPr>
        <w:t xml:space="preserve">As at September 30, 2022 and December 31, 2021, the net fair value adjustments to total debt assumed in a historical acquisition were $630 million and $667 million, respectively. </w:t>
      </w:r>
    </w:p>
    <w:p w:rsidR="00000000" w:rsidRDefault="00131F06">
      <w:pPr>
        <w:divId w:val="398946502"/>
        <w:rPr>
          <w:rFonts w:eastAsia="Times New Roman"/>
        </w:rPr>
      </w:pPr>
    </w:p>
    <w:p w:rsidR="00000000" w:rsidRDefault="00131F06">
      <w:pPr>
        <w:divId w:val="210700809"/>
        <w:rPr>
          <w:rFonts w:eastAsia="Times New Roman"/>
        </w:rPr>
      </w:pPr>
      <w:r>
        <w:rPr>
          <w:rFonts w:ascii="Arial" w:eastAsia="Times New Roman" w:hAnsi="Arial" w:cs="Arial"/>
          <w:color w:val="000000"/>
          <w:sz w:val="20"/>
          <w:szCs w:val="20"/>
        </w:rPr>
        <w:t>During the thr</w:t>
      </w:r>
      <w:r>
        <w:rPr>
          <w:rFonts w:ascii="Arial" w:eastAsia="Times New Roman" w:hAnsi="Arial" w:cs="Arial"/>
          <w:color w:val="000000"/>
          <w:sz w:val="20"/>
          <w:szCs w:val="20"/>
        </w:rPr>
        <w:t xml:space="preserve">ee and nine months ended September 30, 2022, amortization of the fair value adjustment recorded as a reduction to Interest expense in the Consolidated Statements of Earnings was $11 million (September 30, 2021 - $11 million) and $33 million (September 30, </w:t>
      </w:r>
      <w:r>
        <w:rPr>
          <w:rFonts w:ascii="Arial" w:eastAsia="Times New Roman" w:hAnsi="Arial" w:cs="Arial"/>
          <w:color w:val="000000"/>
          <w:sz w:val="20"/>
          <w:szCs w:val="20"/>
        </w:rPr>
        <w:t>2021 - $36 million), respectively.</w:t>
      </w:r>
    </w:p>
    <w:p w:rsidR="00000000" w:rsidRDefault="00131F06">
      <w:pPr>
        <w:divId w:val="405879023"/>
        <w:rPr>
          <w:rFonts w:eastAsia="Times New Roman"/>
        </w:rPr>
      </w:pPr>
    </w:p>
    <w:p w:rsidR="00000000" w:rsidRDefault="00131F06">
      <w:pPr>
        <w:divId w:val="1043797223"/>
        <w:rPr>
          <w:rFonts w:eastAsia="Times New Roman"/>
        </w:rPr>
      </w:pPr>
      <w:r>
        <w:rPr>
          <w:rFonts w:ascii="Arial" w:eastAsia="Times New Roman" w:hAnsi="Arial" w:cs="Arial"/>
          <w:b/>
          <w:bCs/>
          <w:color w:val="000000"/>
          <w:sz w:val="20"/>
          <w:szCs w:val="20"/>
        </w:rPr>
        <w:t>DEBT COVENANTS</w:t>
      </w:r>
    </w:p>
    <w:p w:rsidR="00000000" w:rsidRDefault="00131F06">
      <w:pPr>
        <w:divId w:val="1794984179"/>
        <w:rPr>
          <w:rFonts w:eastAsia="Times New Roman"/>
        </w:rPr>
      </w:pPr>
      <w:r>
        <w:rPr>
          <w:rFonts w:ascii="Arial" w:eastAsia="Times New Roman" w:hAnsi="Arial" w:cs="Arial"/>
          <w:color w:val="000000"/>
          <w:sz w:val="20"/>
          <w:szCs w:val="20"/>
        </w:rPr>
        <w:t>Our credit facility agreements and term debt indentures include standard events of default and covenant provisions whereby accelerated repayment and/or termination of the agreements may result if we are t</w:t>
      </w:r>
      <w:r>
        <w:rPr>
          <w:rFonts w:ascii="Arial" w:eastAsia="Times New Roman" w:hAnsi="Arial" w:cs="Arial"/>
          <w:color w:val="000000"/>
          <w:sz w:val="20"/>
          <w:szCs w:val="20"/>
        </w:rPr>
        <w:t>o default on payment or violate certain covenants. As at September 30, 2022, we are in compliance with all covenant provisions.</w:t>
      </w:r>
    </w:p>
    <w:p w:rsidR="00000000" w:rsidRDefault="00131F06">
      <w:pPr>
        <w:divId w:val="1098596931"/>
        <w:rPr>
          <w:rFonts w:eastAsia="Times New Roman"/>
        </w:rPr>
      </w:pPr>
    </w:p>
    <w:p w:rsidR="00000000" w:rsidRDefault="00131F06">
      <w:pPr>
        <w:ind w:hanging="270"/>
        <w:divId w:val="342973726"/>
        <w:rPr>
          <w:rFonts w:eastAsia="Times New Roman"/>
        </w:rPr>
      </w:pPr>
      <w:r>
        <w:rPr>
          <w:rFonts w:ascii="Arial" w:eastAsia="Times New Roman" w:hAnsi="Arial" w:cs="Arial"/>
          <w:b/>
          <w:bCs/>
          <w:color w:val="000000"/>
          <w:sz w:val="26"/>
          <w:szCs w:val="26"/>
        </w:rPr>
        <w:t>8. COMPONENTS OF ACCUMULATED OTHER COMPREHENSIVE INCOME/(LOSS)</w:t>
      </w:r>
    </w:p>
    <w:p w:rsidR="00000000" w:rsidRDefault="00131F06">
      <w:pPr>
        <w:divId w:val="1918858270"/>
        <w:rPr>
          <w:rFonts w:eastAsia="Times New Roman"/>
        </w:rPr>
      </w:pPr>
    </w:p>
    <w:p w:rsidR="00000000" w:rsidRDefault="00131F06">
      <w:pPr>
        <w:divId w:val="1270237173"/>
        <w:rPr>
          <w:rFonts w:eastAsia="Times New Roman"/>
        </w:rPr>
      </w:pPr>
      <w:r>
        <w:rPr>
          <w:rFonts w:ascii="Arial" w:eastAsia="Times New Roman" w:hAnsi="Arial" w:cs="Arial"/>
          <w:color w:val="000000"/>
          <w:sz w:val="20"/>
          <w:szCs w:val="20"/>
        </w:rPr>
        <w:t>Changes in Accumulated other comprehensive income/(loss) (AOC</w:t>
      </w:r>
      <w:r>
        <w:rPr>
          <w:rFonts w:ascii="Arial" w:eastAsia="Times New Roman" w:hAnsi="Arial" w:cs="Arial"/>
          <w:color w:val="000000"/>
          <w:sz w:val="20"/>
          <w:szCs w:val="20"/>
        </w:rPr>
        <w:t>I) attributable to our common shareholders for the nine months ended September 30, 2022 and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8"/>
        <w:gridCol w:w="67"/>
        <w:gridCol w:w="601"/>
        <w:gridCol w:w="36"/>
        <w:gridCol w:w="86"/>
        <w:gridCol w:w="854"/>
        <w:gridCol w:w="36"/>
        <w:gridCol w:w="85"/>
        <w:gridCol w:w="730"/>
        <w:gridCol w:w="36"/>
        <w:gridCol w:w="84"/>
        <w:gridCol w:w="749"/>
        <w:gridCol w:w="36"/>
        <w:gridCol w:w="80"/>
        <w:gridCol w:w="638"/>
        <w:gridCol w:w="36"/>
        <w:gridCol w:w="84"/>
        <w:gridCol w:w="749"/>
        <w:gridCol w:w="36"/>
        <w:gridCol w:w="70"/>
        <w:gridCol w:w="458"/>
        <w:gridCol w:w="36"/>
      </w:tblGrid>
      <w:tr w:rsidR="00000000">
        <w:trPr>
          <w:divId w:val="1811242034"/>
        </w:trPr>
        <w:tc>
          <w:tcPr>
            <w:tcW w:w="50" w:type="pct"/>
            <w:vAlign w:val="center"/>
            <w:hideMark/>
          </w:tcPr>
          <w:p w:rsidR="00000000" w:rsidRDefault="00131F06">
            <w:pPr>
              <w:rPr>
                <w:rFonts w:eastAsia="Times New Roman"/>
              </w:rPr>
            </w:pPr>
          </w:p>
        </w:tc>
        <w:tc>
          <w:tcPr>
            <w:tcW w:w="160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9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3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0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811242034"/>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r>
            <w:r>
              <w:rPr>
                <w:rFonts w:ascii="Arial" w:eastAsia="Times New Roman" w:hAnsi="Arial" w:cs="Arial"/>
                <w:color w:val="000000"/>
                <w:sz w:val="16"/>
                <w:szCs w:val="16"/>
              </w:rP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Total</w:t>
            </w:r>
          </w:p>
        </w:tc>
      </w:tr>
      <w:tr w:rsidR="00000000">
        <w:trPr>
          <w:divId w:val="18112420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 </w:t>
            </w:r>
          </w:p>
        </w:tc>
      </w:tr>
      <w:tr w:rsidR="00000000">
        <w:trPr>
          <w:divId w:val="1811242034"/>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as at January 1, 2022</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(897)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(166)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(1,096)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11242034"/>
        </w:trPr>
        <w:tc>
          <w:tcPr>
            <w:tcW w:w="0" w:type="auto"/>
            <w:gridSpan w:val="3"/>
            <w:tcMar>
              <w:top w:w="30" w:type="dxa"/>
              <w:left w:w="20" w:type="dxa"/>
              <w:bottom w:w="30" w:type="dxa"/>
              <w:right w:w="20" w:type="dxa"/>
            </w:tcMar>
            <w:vAlign w:val="center"/>
            <w:hideMark/>
          </w:tcPr>
          <w:p w:rsidR="00000000" w:rsidRDefault="00131F06">
            <w:pPr>
              <w:spacing w:after="100"/>
              <w:ind w:hanging="180"/>
              <w:divId w:val="578487682"/>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1,073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(38)</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(1,187)</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5,168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5,010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811242034"/>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ind w:hanging="18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811242034"/>
        </w:trPr>
        <w:tc>
          <w:tcPr>
            <w:tcW w:w="0" w:type="auto"/>
            <w:gridSpan w:val="3"/>
            <w:tcMar>
              <w:top w:w="30" w:type="dxa"/>
              <w:left w:w="20" w:type="dxa"/>
              <w:bottom w:w="30" w:type="dxa"/>
              <w:right w:w="20" w:type="dxa"/>
            </w:tcMar>
            <w:vAlign w:val="center"/>
            <w:hideMark/>
          </w:tcPr>
          <w:p w:rsidR="00000000" w:rsidRDefault="00131F06">
            <w:pPr>
              <w:spacing w:after="100"/>
              <w:divId w:val="1610967602"/>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11242034"/>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811242034"/>
        </w:trPr>
        <w:tc>
          <w:tcPr>
            <w:tcW w:w="0" w:type="auto"/>
            <w:gridSpan w:val="3"/>
            <w:tcMar>
              <w:top w:w="30" w:type="dxa"/>
              <w:left w:w="20" w:type="dxa"/>
              <w:bottom w:w="30" w:type="dxa"/>
              <w:right w:w="20" w:type="dxa"/>
            </w:tcMar>
            <w:vAlign w:val="center"/>
            <w:hideMark/>
          </w:tcPr>
          <w:p w:rsidR="00000000" w:rsidRDefault="00131F06">
            <w:pPr>
              <w:spacing w:after="100"/>
              <w:divId w:val="622467121"/>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11242034"/>
        </w:trPr>
        <w:tc>
          <w:tcPr>
            <w:tcW w:w="0" w:type="auto"/>
            <w:gridSpan w:val="3"/>
            <w:tcMar>
              <w:top w:w="30" w:type="dxa"/>
              <w:left w:w="20" w:type="dxa"/>
              <w:bottom w:w="30" w:type="dxa"/>
              <w:right w:w="20" w:type="dxa"/>
            </w:tcMar>
            <w:vAlign w:val="center"/>
            <w:hideMark/>
          </w:tcPr>
          <w:p w:rsidR="00000000" w:rsidRDefault="00131F06">
            <w:pPr>
              <w:spacing w:after="100"/>
              <w:divId w:val="720710894"/>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11242034"/>
        </w:trPr>
        <w:tc>
          <w:tcPr>
            <w:tcW w:w="0" w:type="auto"/>
            <w:gridSpan w:val="3"/>
            <w:tcMar>
              <w:top w:w="30" w:type="dxa"/>
              <w:left w:w="20" w:type="dxa"/>
              <w:bottom w:w="30" w:type="dxa"/>
              <w:right w:w="20" w:type="dxa"/>
            </w:tcMar>
            <w:vAlign w:val="center"/>
            <w:hideMark/>
          </w:tcPr>
          <w:p w:rsidR="00000000" w:rsidRDefault="00131F06">
            <w:pPr>
              <w:spacing w:after="100"/>
              <w:ind w:hanging="180"/>
              <w:divId w:val="1270746410"/>
              <w:rPr>
                <w:rFonts w:eastAsia="Times New Roman"/>
              </w:rPr>
            </w:pPr>
            <w:r>
              <w:rPr>
                <w:rFonts w:ascii="Arial" w:eastAsia="Times New Roman" w:hAnsi="Arial" w:cs="Arial"/>
                <w:color w:val="000000"/>
                <w:sz w:val="16"/>
                <w:szCs w:val="16"/>
              </w:rPr>
              <w:t>Amortization of pension and OPEB actuarial gai</w:t>
            </w:r>
            <w:r>
              <w:rPr>
                <w:rFonts w:ascii="Arial" w:eastAsia="Times New Roman" w:hAnsi="Arial" w:cs="Arial"/>
                <w:color w:val="000000"/>
                <w:sz w:val="16"/>
                <w:szCs w:val="16"/>
              </w:rPr>
              <w:t>n</w:t>
            </w:r>
            <w:r>
              <w:rPr>
                <w:rFonts w:ascii="Arial" w:eastAsia="Times New Roman" w:hAnsi="Arial" w:cs="Arial"/>
                <w:color w:val="000000"/>
                <w:sz w:val="8"/>
                <w:szCs w:val="8"/>
              </w:rPr>
              <w:t>4</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(9)</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(9)</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811242034"/>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11242034"/>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1,259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(1,187)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5,168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5,203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11242034"/>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Tax impact</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r>
      <w:tr w:rsidR="00000000">
        <w:trPr>
          <w:divId w:val="1811242034"/>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(242)</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(243)</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811242034"/>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(41)</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(39)</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811242034"/>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(283)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(282)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11242034"/>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81124203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as at September 30, 2022</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(38)</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(1,353)</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5,224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(91)</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3,825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jc w:val="center"/>
        <w:divId w:val="164787618"/>
        <w:rPr>
          <w:rFonts w:eastAsia="Times New Roman"/>
        </w:rPr>
      </w:pPr>
      <w:r>
        <w:rPr>
          <w:rFonts w:ascii="Arial" w:eastAsia="Times New Roman" w:hAnsi="Arial" w:cs="Arial"/>
          <w:color w:val="000000"/>
          <w:sz w:val="20"/>
          <w:szCs w:val="20"/>
        </w:rPr>
        <w:t>24</w:t>
      </w:r>
    </w:p>
    <w:p w:rsidR="00000000" w:rsidRDefault="00131F06">
      <w:pPr>
        <w:rPr>
          <w:rFonts w:eastAsia="Times New Roman"/>
        </w:rPr>
      </w:pPr>
      <w:r>
        <w:rPr>
          <w:rFonts w:eastAsia="Times New Roman"/>
        </w:rPr>
        <w:pict>
          <v:rect id="_x0000_i1049" style="width:0;height:1.5pt" o:hralign="center" o:hrstd="t" o:hr="t" fillcolor="#a0a0a0" stroked="f"/>
        </w:pict>
      </w:r>
    </w:p>
    <w:p w:rsidR="00000000" w:rsidRDefault="00131F06">
      <w:pPr>
        <w:jc w:val="center"/>
        <w:divId w:val="164916306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8"/>
        <w:gridCol w:w="67"/>
        <w:gridCol w:w="601"/>
        <w:gridCol w:w="36"/>
        <w:gridCol w:w="86"/>
        <w:gridCol w:w="854"/>
        <w:gridCol w:w="36"/>
        <w:gridCol w:w="85"/>
        <w:gridCol w:w="730"/>
        <w:gridCol w:w="36"/>
        <w:gridCol w:w="84"/>
        <w:gridCol w:w="749"/>
        <w:gridCol w:w="36"/>
        <w:gridCol w:w="80"/>
        <w:gridCol w:w="638"/>
        <w:gridCol w:w="36"/>
        <w:gridCol w:w="84"/>
        <w:gridCol w:w="749"/>
        <w:gridCol w:w="36"/>
        <w:gridCol w:w="70"/>
        <w:gridCol w:w="458"/>
        <w:gridCol w:w="36"/>
      </w:tblGrid>
      <w:tr w:rsidR="00000000">
        <w:trPr>
          <w:divId w:val="1804617184"/>
        </w:trPr>
        <w:tc>
          <w:tcPr>
            <w:tcW w:w="50" w:type="pct"/>
            <w:vAlign w:val="center"/>
            <w:hideMark/>
          </w:tcPr>
          <w:p w:rsidR="00000000" w:rsidRDefault="00131F06">
            <w:pPr>
              <w:jc w:val="center"/>
              <w:rPr>
                <w:rFonts w:eastAsia="Times New Roman"/>
              </w:rPr>
            </w:pPr>
          </w:p>
        </w:tc>
        <w:tc>
          <w:tcPr>
            <w:tcW w:w="160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9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3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0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4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2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804617184"/>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r>
            <w:r>
              <w:rPr>
                <w:rFonts w:ascii="Arial" w:eastAsia="Times New Roman" w:hAnsi="Arial" w:cs="Arial"/>
                <w:color w:val="000000"/>
                <w:sz w:val="16"/>
                <w:szCs w:val="16"/>
              </w:rP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Total</w:t>
            </w:r>
          </w:p>
        </w:tc>
      </w:tr>
      <w:tr w:rsidR="00000000">
        <w:trPr>
          <w:divId w:val="18046171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804617184"/>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as at January 1, 2021</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(1,326)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(215)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568 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(499)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(1,401)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04617184"/>
        </w:trPr>
        <w:tc>
          <w:tcPr>
            <w:tcW w:w="0" w:type="auto"/>
            <w:gridSpan w:val="3"/>
            <w:tcMar>
              <w:top w:w="30" w:type="dxa"/>
              <w:left w:w="20" w:type="dxa"/>
              <w:bottom w:w="30" w:type="dxa"/>
              <w:right w:w="20" w:type="dxa"/>
            </w:tcMar>
            <w:vAlign w:val="center"/>
            <w:hideMark/>
          </w:tcPr>
          <w:p w:rsidR="00000000" w:rsidRDefault="00131F06">
            <w:pPr>
              <w:spacing w:after="100"/>
              <w:ind w:hanging="180"/>
              <w:divId w:val="228544803"/>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284 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18 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(340)</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(33)</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(74)</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804617184"/>
        </w:trPr>
        <w:tc>
          <w:tcPr>
            <w:tcW w:w="0" w:type="auto"/>
            <w:gridSpan w:val="3"/>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tcMar>
              <w:top w:w="0" w:type="dxa"/>
              <w:left w:w="20" w:type="dxa"/>
              <w:bottom w:w="0" w:type="dxa"/>
              <w:right w:w="20" w:type="dxa"/>
            </w:tcMar>
            <w:vAlign w:val="center"/>
            <w:hideMark/>
          </w:tcPr>
          <w:p w:rsidR="00000000" w:rsidRDefault="00131F06">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804617184"/>
        </w:trPr>
        <w:tc>
          <w:tcPr>
            <w:tcW w:w="0" w:type="auto"/>
            <w:gridSpan w:val="3"/>
            <w:tcMar>
              <w:top w:w="30" w:type="dxa"/>
              <w:left w:w="20" w:type="dxa"/>
              <w:bottom w:w="30" w:type="dxa"/>
              <w:right w:w="20" w:type="dxa"/>
            </w:tcMar>
            <w:vAlign w:val="center"/>
            <w:hideMark/>
          </w:tcPr>
          <w:p w:rsidR="00000000" w:rsidRDefault="00131F06">
            <w:pPr>
              <w:spacing w:after="100"/>
              <w:divId w:val="1523201343"/>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04617184"/>
        </w:trPr>
        <w:tc>
          <w:tcPr>
            <w:tcW w:w="0" w:type="auto"/>
            <w:gridSpan w:val="3"/>
            <w:tcMar>
              <w:top w:w="30" w:type="dxa"/>
              <w:left w:w="20" w:type="dxa"/>
              <w:bottom w:w="30" w:type="dxa"/>
              <w:right w:w="20" w:type="dxa"/>
            </w:tcMar>
            <w:vAlign w:val="center"/>
            <w:hideMark/>
          </w:tcPr>
          <w:p w:rsidR="00000000" w:rsidRDefault="00131F06">
            <w:pPr>
              <w:spacing w:after="100"/>
              <w:divId w:val="1110321851"/>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04617184"/>
        </w:trPr>
        <w:tc>
          <w:tcPr>
            <w:tcW w:w="0" w:type="auto"/>
            <w:gridSpan w:val="3"/>
            <w:tcMar>
              <w:top w:w="30" w:type="dxa"/>
              <w:left w:w="20" w:type="dxa"/>
              <w:bottom w:w="30" w:type="dxa"/>
              <w:right w:w="20" w:type="dxa"/>
            </w:tcMar>
            <w:vAlign w:val="center"/>
            <w:hideMark/>
          </w:tcPr>
          <w:p w:rsidR="00000000" w:rsidRDefault="00131F06">
            <w:pPr>
              <w:spacing w:after="100"/>
              <w:divId w:val="1452047850"/>
              <w:rPr>
                <w:rFonts w:eastAsia="Times New Roman"/>
              </w:rPr>
            </w:pPr>
            <w:r>
              <w:rPr>
                <w:rFonts w:ascii="Arial" w:eastAsia="Times New Roman" w:hAnsi="Arial" w:cs="Arial"/>
                <w:color w:val="000000"/>
                <w:sz w:val="16"/>
                <w:szCs w:val="16"/>
              </w:rPr>
              <w:t> Other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04617184"/>
        </w:trPr>
        <w:tc>
          <w:tcPr>
            <w:tcW w:w="0" w:type="auto"/>
            <w:gridSpan w:val="3"/>
            <w:tcMar>
              <w:top w:w="30" w:type="dxa"/>
              <w:left w:w="20" w:type="dxa"/>
              <w:bottom w:w="30" w:type="dxa"/>
              <w:right w:w="20" w:type="dxa"/>
            </w:tcMar>
            <w:vAlign w:val="center"/>
            <w:hideMark/>
          </w:tcPr>
          <w:p w:rsidR="00000000" w:rsidRDefault="00131F06">
            <w:pPr>
              <w:spacing w:after="100"/>
              <w:divId w:val="943463696"/>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8"/>
                <w:szCs w:val="8"/>
              </w:rPr>
              <w:t>5</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04617184"/>
        </w:trPr>
        <w:tc>
          <w:tcPr>
            <w:tcW w:w="0" w:type="auto"/>
            <w:gridSpan w:val="3"/>
            <w:tcMar>
              <w:top w:w="30" w:type="dxa"/>
              <w:left w:w="20" w:type="dxa"/>
              <w:bottom w:w="30" w:type="dxa"/>
              <w:right w:w="20" w:type="dxa"/>
            </w:tcMar>
            <w:vAlign w:val="center"/>
            <w:hideMark/>
          </w:tcPr>
          <w:p w:rsidR="00000000" w:rsidRDefault="00131F06">
            <w:pPr>
              <w:spacing w:after="100"/>
              <w:ind w:hanging="180"/>
              <w:divId w:val="1933705978"/>
              <w:rPr>
                <w:rFonts w:eastAsia="Times New Roman"/>
              </w:rPr>
            </w:pPr>
            <w:r>
              <w:rPr>
                <w:rFonts w:ascii="Arial" w:eastAsia="Times New Roman" w:hAnsi="Arial" w:cs="Arial"/>
                <w:color w:val="000000"/>
                <w:sz w:val="16"/>
                <w:szCs w:val="16"/>
              </w:rPr>
              <w:t>Amortization of pension and OPEB actuarial los</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21 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21 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804617184"/>
        </w:trPr>
        <w:tc>
          <w:tcPr>
            <w:tcW w:w="0" w:type="auto"/>
            <w:gridSpan w:val="3"/>
            <w:tcMar>
              <w:top w:w="30" w:type="dxa"/>
              <w:left w:w="155"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04617184"/>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520 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(360)</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(30)</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21 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166 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04617184"/>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804617184"/>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(72)</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(69)</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804617184"/>
        </w:trPr>
        <w:tc>
          <w:tcPr>
            <w:tcW w:w="0" w:type="auto"/>
            <w:gridSpan w:val="3"/>
            <w:tcMar>
              <w:top w:w="30" w:type="dxa"/>
              <w:left w:w="38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(51)</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(56)</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804617184"/>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(123)</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(125)</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04617184"/>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80461718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Balance as at September 30, 2021</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(929)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(199)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(483)</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(1,360)</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366373430"/>
        <w:rPr>
          <w:rFonts w:eastAsia="Times New Roman"/>
        </w:rPr>
      </w:pPr>
      <w:r>
        <w:rPr>
          <w:rFonts w:ascii="Arial" w:eastAsia="Times New Roman" w:hAnsi="Arial" w:cs="Arial"/>
          <w:color w:val="000000"/>
          <w:sz w:val="2"/>
          <w:szCs w:val="2"/>
          <w:shd w:val="clear" w:color="auto" w:fill="FFFF00"/>
        </w:rPr>
        <w:t> </w:t>
      </w:r>
    </w:p>
    <w:p w:rsidR="00000000" w:rsidRDefault="00131F06">
      <w:pPr>
        <w:ind w:hanging="180"/>
        <w:divId w:val="614213701"/>
        <w:rPr>
          <w:rFonts w:eastAsia="Times New Roman"/>
        </w:rPr>
      </w:pPr>
      <w:r>
        <w:rPr>
          <w:rFonts w:ascii="Arial" w:eastAsia="Times New Roman" w:hAnsi="Arial" w:cs="Arial"/>
          <w:i/>
          <w:iCs/>
          <w:color w:val="000000"/>
          <w:sz w:val="16"/>
          <w:szCs w:val="16"/>
        </w:rPr>
        <w:t>1Reported within Interest expense in the Consolidated Statements of Earnings.</w:t>
      </w:r>
    </w:p>
    <w:p w:rsidR="00000000" w:rsidRDefault="00131F06">
      <w:pPr>
        <w:ind w:hanging="180"/>
        <w:divId w:val="1843616360"/>
        <w:rPr>
          <w:rFonts w:eastAsia="Times New Roman"/>
        </w:rPr>
      </w:pPr>
      <w:r>
        <w:rPr>
          <w:rFonts w:ascii="Arial" w:eastAsia="Times New Roman" w:hAnsi="Arial" w:cs="Arial"/>
          <w:i/>
          <w:iCs/>
          <w:color w:val="000000"/>
          <w:sz w:val="16"/>
          <w:szCs w:val="16"/>
        </w:rPr>
        <w:t>2Reported within Transportation and other services revenues and Net foreign currency gain/(loss) in the Consolidated Statements of Earn</w:t>
      </w:r>
      <w:r>
        <w:rPr>
          <w:rFonts w:ascii="Arial" w:eastAsia="Times New Roman" w:hAnsi="Arial" w:cs="Arial"/>
          <w:i/>
          <w:iCs/>
          <w:color w:val="000000"/>
          <w:sz w:val="16"/>
          <w:szCs w:val="16"/>
        </w:rPr>
        <w:t>ings.</w:t>
      </w:r>
    </w:p>
    <w:p w:rsidR="00000000" w:rsidRDefault="00131F06">
      <w:pPr>
        <w:ind w:hanging="180"/>
        <w:divId w:val="1773548532"/>
        <w:rPr>
          <w:rFonts w:eastAsia="Times New Roman"/>
        </w:rPr>
      </w:pPr>
      <w:r>
        <w:rPr>
          <w:rFonts w:ascii="Arial" w:eastAsia="Times New Roman" w:hAnsi="Arial" w:cs="Arial"/>
          <w:i/>
          <w:iCs/>
          <w:color w:val="000000"/>
          <w:sz w:val="16"/>
          <w:szCs w:val="16"/>
        </w:rPr>
        <w:t>3Reported within Operating and administrative expense in the Consolidated Statements of Earnings.</w:t>
      </w:r>
    </w:p>
    <w:p w:rsidR="00000000" w:rsidRDefault="00131F06">
      <w:pPr>
        <w:ind w:hanging="180"/>
        <w:divId w:val="577061163"/>
        <w:rPr>
          <w:rFonts w:eastAsia="Times New Roman"/>
        </w:rPr>
      </w:pPr>
      <w:r>
        <w:rPr>
          <w:rFonts w:ascii="Arial" w:eastAsia="Times New Roman" w:hAnsi="Arial" w:cs="Arial"/>
          <w:i/>
          <w:iCs/>
          <w:color w:val="000000"/>
          <w:sz w:val="16"/>
          <w:szCs w:val="16"/>
        </w:rPr>
        <w:t>4These components are included in the computation of net periodic benefit (credit)/cost and are reported within Other income/(expense) in the Consolidat</w:t>
      </w:r>
      <w:r>
        <w:rPr>
          <w:rFonts w:ascii="Arial" w:eastAsia="Times New Roman" w:hAnsi="Arial" w:cs="Arial"/>
          <w:i/>
          <w:iCs/>
          <w:color w:val="000000"/>
          <w:sz w:val="16"/>
          <w:szCs w:val="16"/>
        </w:rPr>
        <w:t>ed Statements of Earnings.</w:t>
      </w:r>
    </w:p>
    <w:p w:rsidR="00000000" w:rsidRDefault="00131F06">
      <w:pPr>
        <w:ind w:hanging="180"/>
        <w:divId w:val="603610751"/>
        <w:rPr>
          <w:rFonts w:eastAsia="Times New Roman"/>
        </w:rPr>
      </w:pPr>
      <w:r>
        <w:rPr>
          <w:rFonts w:ascii="Arial" w:eastAsia="Times New Roman" w:hAnsi="Arial" w:cs="Arial"/>
          <w:i/>
          <w:iCs/>
          <w:color w:val="000000"/>
          <w:sz w:val="16"/>
          <w:szCs w:val="16"/>
        </w:rPr>
        <w:t>5Reported within Transportation and other services revenues, Commodity sales revenue, Commodity costs and Operating and administrative expense in the Consolidated Statements of Earnings.</w:t>
      </w:r>
    </w:p>
    <w:p w:rsidR="00000000" w:rsidRDefault="00131F06">
      <w:pPr>
        <w:divId w:val="1318649999"/>
        <w:rPr>
          <w:rFonts w:eastAsia="Times New Roman"/>
        </w:rPr>
      </w:pPr>
    </w:p>
    <w:p w:rsidR="00000000" w:rsidRDefault="00131F06">
      <w:pPr>
        <w:divId w:val="1869181418"/>
        <w:rPr>
          <w:rFonts w:eastAsia="Times New Roman"/>
        </w:rPr>
      </w:pPr>
      <w:r>
        <w:rPr>
          <w:rFonts w:ascii="Arial" w:eastAsia="Times New Roman" w:hAnsi="Arial" w:cs="Arial"/>
          <w:b/>
          <w:bCs/>
          <w:color w:val="000000"/>
          <w:sz w:val="26"/>
          <w:szCs w:val="26"/>
        </w:rPr>
        <w:t>9. RISK MANAGEMENT AND FINANCIAL INSTRUM</w:t>
      </w:r>
      <w:r>
        <w:rPr>
          <w:rFonts w:ascii="Arial" w:eastAsia="Times New Roman" w:hAnsi="Arial" w:cs="Arial"/>
          <w:b/>
          <w:bCs/>
          <w:color w:val="000000"/>
          <w:sz w:val="26"/>
          <w:szCs w:val="26"/>
        </w:rPr>
        <w:t>ENTS</w:t>
      </w:r>
    </w:p>
    <w:p w:rsidR="00000000" w:rsidRDefault="00131F06">
      <w:pPr>
        <w:divId w:val="1524512663"/>
        <w:rPr>
          <w:rFonts w:eastAsia="Times New Roman"/>
        </w:rPr>
      </w:pPr>
    </w:p>
    <w:p w:rsidR="00000000" w:rsidRDefault="00131F06">
      <w:pPr>
        <w:divId w:val="1190725862"/>
        <w:rPr>
          <w:rFonts w:eastAsia="Times New Roman"/>
        </w:rPr>
      </w:pPr>
      <w:r>
        <w:rPr>
          <w:rFonts w:ascii="Arial" w:eastAsia="Times New Roman" w:hAnsi="Arial" w:cs="Arial"/>
          <w:b/>
          <w:bCs/>
          <w:color w:val="000000"/>
          <w:sz w:val="20"/>
          <w:szCs w:val="20"/>
        </w:rPr>
        <w:t>MARKET RISK</w:t>
      </w:r>
    </w:p>
    <w:p w:rsidR="00000000" w:rsidRDefault="00131F06">
      <w:pPr>
        <w:divId w:val="1791128728"/>
        <w:rPr>
          <w:rFonts w:eastAsia="Times New Roman"/>
        </w:rPr>
      </w:pPr>
      <w:r>
        <w:rPr>
          <w:rFonts w:ascii="Arial" w:eastAsia="Times New Roman" w:hAnsi="Arial" w:cs="Arial"/>
          <w:color w:val="000000"/>
          <w:sz w:val="20"/>
          <w:szCs w:val="20"/>
        </w:rPr>
        <w:t xml:space="preserve">Our earnings, cash flows and other comprehensive income/(loss) (OCI) are subject to movements in foreign exchange rates, interest rates, commodity prices and our share price (collectively, market risks). Formal risk management policies, </w:t>
      </w:r>
      <w:r>
        <w:rPr>
          <w:rFonts w:ascii="Arial" w:eastAsia="Times New Roman" w:hAnsi="Arial" w:cs="Arial"/>
          <w:color w:val="000000"/>
          <w:sz w:val="20"/>
          <w:szCs w:val="20"/>
        </w:rPr>
        <w:t>processes and systems have been designed to mitigate these risks.</w:t>
      </w:r>
    </w:p>
    <w:p w:rsidR="00000000" w:rsidRDefault="00131F06">
      <w:pPr>
        <w:divId w:val="583613104"/>
        <w:rPr>
          <w:rFonts w:eastAsia="Times New Roman"/>
        </w:rPr>
      </w:pPr>
    </w:p>
    <w:p w:rsidR="00000000" w:rsidRDefault="00131F06">
      <w:pPr>
        <w:divId w:val="47533827"/>
        <w:rPr>
          <w:rFonts w:eastAsia="Times New Roman"/>
        </w:rPr>
      </w:pPr>
      <w:r>
        <w:rPr>
          <w:rFonts w:ascii="Arial" w:eastAsia="Times New Roman" w:hAnsi="Arial" w:cs="Arial"/>
          <w:color w:val="000000"/>
          <w:sz w:val="20"/>
          <w:szCs w:val="20"/>
        </w:rPr>
        <w:t xml:space="preserve">The following summarizes the types of market risks to which we are exposed and the risk management instruments used to mitigate them. We use a combination of qualifying and non-qualifying </w:t>
      </w:r>
      <w:r>
        <w:rPr>
          <w:rFonts w:ascii="Arial" w:eastAsia="Times New Roman" w:hAnsi="Arial" w:cs="Arial"/>
          <w:color w:val="000000"/>
          <w:sz w:val="20"/>
          <w:szCs w:val="20"/>
        </w:rPr>
        <w:t>derivative instruments to manage the risks noted below.</w:t>
      </w:r>
    </w:p>
    <w:p w:rsidR="00000000" w:rsidRDefault="00131F06">
      <w:pPr>
        <w:divId w:val="880215518"/>
        <w:rPr>
          <w:rFonts w:eastAsia="Times New Roman"/>
        </w:rPr>
      </w:pPr>
    </w:p>
    <w:p w:rsidR="00000000" w:rsidRDefault="00131F06">
      <w:pPr>
        <w:divId w:val="303242710"/>
        <w:rPr>
          <w:rFonts w:eastAsia="Times New Roman"/>
        </w:rPr>
      </w:pPr>
      <w:r>
        <w:rPr>
          <w:rFonts w:ascii="Arial" w:eastAsia="Times New Roman" w:hAnsi="Arial" w:cs="Arial"/>
          <w:b/>
          <w:bCs/>
          <w:color w:val="000000"/>
          <w:sz w:val="20"/>
          <w:szCs w:val="20"/>
        </w:rPr>
        <w:t>Foreign Exchange Risk</w:t>
      </w:r>
    </w:p>
    <w:p w:rsidR="00000000" w:rsidRDefault="00131F06">
      <w:pPr>
        <w:divId w:val="729811507"/>
        <w:rPr>
          <w:rFonts w:eastAsia="Times New Roman"/>
        </w:rPr>
      </w:pPr>
      <w:r>
        <w:rPr>
          <w:rFonts w:ascii="Arial" w:eastAsia="Times New Roman" w:hAnsi="Arial" w:cs="Arial"/>
          <w:color w:val="000000"/>
          <w:sz w:val="20"/>
          <w:szCs w:val="20"/>
        </w:rPr>
        <w:t>We generate certain revenues, incur expenses, and hold a number of investments and subsidiaries that are denominated in currencies other than Canadian dollars. As a result, our</w:t>
      </w:r>
      <w:r>
        <w:rPr>
          <w:rFonts w:ascii="Arial" w:eastAsia="Times New Roman" w:hAnsi="Arial" w:cs="Arial"/>
          <w:color w:val="000000"/>
          <w:sz w:val="20"/>
          <w:szCs w:val="20"/>
        </w:rPr>
        <w:t xml:space="preserve"> earnings, cash flows and OCI are exposed to fluctuations resulting from foreign exchange rate variability.</w:t>
      </w:r>
    </w:p>
    <w:p w:rsidR="00000000" w:rsidRDefault="00131F06">
      <w:pPr>
        <w:divId w:val="1377504284"/>
        <w:rPr>
          <w:rFonts w:eastAsia="Times New Roman"/>
        </w:rPr>
      </w:pPr>
    </w:p>
    <w:p w:rsidR="00000000" w:rsidRDefault="00131F06">
      <w:pPr>
        <w:divId w:val="243950783"/>
        <w:rPr>
          <w:rFonts w:eastAsia="Times New Roman"/>
        </w:rPr>
      </w:pPr>
      <w:r>
        <w:rPr>
          <w:rFonts w:ascii="Arial" w:eastAsia="Times New Roman" w:hAnsi="Arial" w:cs="Arial"/>
          <w:color w:val="000000"/>
          <w:sz w:val="20"/>
          <w:szCs w:val="20"/>
        </w:rPr>
        <w:t>We employ financial derivative instruments to hedge foreign currency denominated earnings exposure. A combination of qualifying cash flow, fair va</w:t>
      </w:r>
      <w:r>
        <w:rPr>
          <w:rFonts w:ascii="Arial" w:eastAsia="Times New Roman" w:hAnsi="Arial" w:cs="Arial"/>
          <w:color w:val="000000"/>
          <w:sz w:val="20"/>
          <w:szCs w:val="20"/>
        </w:rPr>
        <w:t>lue and non-qualifying derivative instruments is used to hedge anticipated foreign currency denominated revenues and expenses, and to manage variability in cash flows. We hedge certain net investments in US dollar denominated investments and subsidiaries u</w:t>
      </w:r>
      <w:r>
        <w:rPr>
          <w:rFonts w:ascii="Arial" w:eastAsia="Times New Roman" w:hAnsi="Arial" w:cs="Arial"/>
          <w:color w:val="000000"/>
          <w:sz w:val="20"/>
          <w:szCs w:val="20"/>
        </w:rPr>
        <w:t>sing US dollar denominated debt.</w:t>
      </w:r>
    </w:p>
    <w:p w:rsidR="00000000" w:rsidRDefault="00131F06">
      <w:pPr>
        <w:divId w:val="651904758"/>
        <w:rPr>
          <w:rFonts w:eastAsia="Times New Roman"/>
        </w:rPr>
      </w:pPr>
    </w:p>
    <w:p w:rsidR="00000000" w:rsidRDefault="00131F06">
      <w:pPr>
        <w:jc w:val="center"/>
        <w:divId w:val="1467547849"/>
        <w:rPr>
          <w:rFonts w:eastAsia="Times New Roman"/>
        </w:rPr>
      </w:pPr>
      <w:r>
        <w:rPr>
          <w:rFonts w:ascii="Arial" w:eastAsia="Times New Roman" w:hAnsi="Arial" w:cs="Arial"/>
          <w:color w:val="000000"/>
          <w:sz w:val="20"/>
          <w:szCs w:val="20"/>
        </w:rPr>
        <w:t>25</w:t>
      </w:r>
    </w:p>
    <w:p w:rsidR="00000000" w:rsidRDefault="00131F06">
      <w:pPr>
        <w:rPr>
          <w:rFonts w:eastAsia="Times New Roman"/>
        </w:rPr>
      </w:pPr>
      <w:r>
        <w:rPr>
          <w:rFonts w:eastAsia="Times New Roman"/>
        </w:rPr>
        <w:pict>
          <v:rect id="_x0000_i1050" style="width:0;height:1.5pt" o:hralign="center" o:hrstd="t" o:hr="t" fillcolor="#a0a0a0" stroked="f"/>
        </w:pict>
      </w:r>
    </w:p>
    <w:p w:rsidR="00000000" w:rsidRDefault="00131F06">
      <w:pPr>
        <w:jc w:val="center"/>
        <w:divId w:val="601567146"/>
        <w:rPr>
          <w:rFonts w:eastAsia="Times New Roman"/>
        </w:rPr>
      </w:pPr>
    </w:p>
    <w:p w:rsidR="00000000" w:rsidRDefault="00131F06">
      <w:pPr>
        <w:divId w:val="789515952"/>
        <w:rPr>
          <w:rFonts w:eastAsia="Times New Roman"/>
        </w:rPr>
      </w:pPr>
      <w:r>
        <w:rPr>
          <w:rFonts w:ascii="Arial" w:eastAsia="Times New Roman" w:hAnsi="Arial" w:cs="Arial"/>
          <w:b/>
          <w:bCs/>
          <w:color w:val="000000"/>
          <w:sz w:val="20"/>
          <w:szCs w:val="20"/>
        </w:rPr>
        <w:t>Interest Rate Risk</w:t>
      </w:r>
    </w:p>
    <w:p w:rsidR="00000000" w:rsidRDefault="00131F06">
      <w:pPr>
        <w:divId w:val="1980304537"/>
        <w:rPr>
          <w:rFonts w:eastAsia="Times New Roman"/>
        </w:rPr>
      </w:pPr>
      <w:r>
        <w:rPr>
          <w:rFonts w:ascii="Arial" w:eastAsia="Times New Roman" w:hAnsi="Arial" w:cs="Arial"/>
          <w:color w:val="000000"/>
          <w:sz w:val="20"/>
          <w:szCs w:val="20"/>
        </w:rPr>
        <w:t>Our earnings and cash flows are exposed to short-term interest rate variability due to the regular repricing of our variable rate debt, primarily commercial paper. We monitor our debt portfolio mix o</w:t>
      </w:r>
      <w:r>
        <w:rPr>
          <w:rFonts w:ascii="Arial" w:eastAsia="Times New Roman" w:hAnsi="Arial" w:cs="Arial"/>
          <w:color w:val="000000"/>
          <w:sz w:val="20"/>
          <w:szCs w:val="20"/>
        </w:rPr>
        <w:t>f fixed and variable rate debt instruments to manage a consolidated portfolio of floating rate debt within the Board of Directors approved policy limit of a maximum of 30% of floating rate debt as a percentage of total debt outstanding. We primarily use qu</w:t>
      </w:r>
      <w:r>
        <w:rPr>
          <w:rFonts w:ascii="Arial" w:eastAsia="Times New Roman" w:hAnsi="Arial" w:cs="Arial"/>
          <w:color w:val="000000"/>
          <w:sz w:val="20"/>
          <w:szCs w:val="20"/>
        </w:rPr>
        <w:t>alifying derivative instruments to manage interest rate risk. Pay fixed-receive floating interest rate swaps may be used to hedge against the effect of future interest rate movements. We have implemented a hedging program to partially mitigate the impact o</w:t>
      </w:r>
      <w:r>
        <w:rPr>
          <w:rFonts w:ascii="Arial" w:eastAsia="Times New Roman" w:hAnsi="Arial" w:cs="Arial"/>
          <w:color w:val="000000"/>
          <w:sz w:val="20"/>
          <w:szCs w:val="20"/>
        </w:rPr>
        <w:t>f short-term interest rate volatility on interest expense via execution of floating-to-fixed interest rate swaps. These hedges have an average fixed rate of 2.5%.</w:t>
      </w:r>
    </w:p>
    <w:p w:rsidR="00000000" w:rsidRDefault="00131F06">
      <w:pPr>
        <w:divId w:val="1516847302"/>
        <w:rPr>
          <w:rFonts w:eastAsia="Times New Roman"/>
        </w:rPr>
      </w:pPr>
    </w:p>
    <w:p w:rsidR="00000000" w:rsidRDefault="00131F06">
      <w:pPr>
        <w:divId w:val="144205125"/>
        <w:rPr>
          <w:rFonts w:eastAsia="Times New Roman"/>
        </w:rPr>
      </w:pPr>
      <w:r>
        <w:rPr>
          <w:rFonts w:ascii="Arial" w:eastAsia="Times New Roman" w:hAnsi="Arial" w:cs="Arial"/>
          <w:color w:val="000000"/>
          <w:sz w:val="20"/>
          <w:szCs w:val="20"/>
        </w:rPr>
        <w:t>We are exposed to changes in the fair value of fixed rate debt that arise as a result of th</w:t>
      </w:r>
      <w:r>
        <w:rPr>
          <w:rFonts w:ascii="Arial" w:eastAsia="Times New Roman" w:hAnsi="Arial" w:cs="Arial"/>
          <w:color w:val="000000"/>
          <w:sz w:val="20"/>
          <w:szCs w:val="20"/>
        </w:rPr>
        <w:t>e changes in market interest rates. Pay floating-receive fixed interest rate swaps are used, when applicable, to hedge against future changes to the fair value of fixed rate debt which mitigates the impact of fluctuations in the fair value of fixed rate de</w:t>
      </w:r>
      <w:r>
        <w:rPr>
          <w:rFonts w:ascii="Arial" w:eastAsia="Times New Roman" w:hAnsi="Arial" w:cs="Arial"/>
          <w:color w:val="000000"/>
          <w:sz w:val="20"/>
          <w:szCs w:val="20"/>
        </w:rPr>
        <w:t>bt via execution of fixed-to-floating interest rate swaps. As at September 30, 2022, we did not have any pay floating-receive fixed interest rate swaps outstanding.</w:t>
      </w:r>
    </w:p>
    <w:p w:rsidR="00000000" w:rsidRDefault="00131F06">
      <w:pPr>
        <w:divId w:val="789973050"/>
        <w:rPr>
          <w:rFonts w:eastAsia="Times New Roman"/>
        </w:rPr>
      </w:pPr>
    </w:p>
    <w:p w:rsidR="00000000" w:rsidRDefault="00131F06">
      <w:pPr>
        <w:divId w:val="890575082"/>
        <w:rPr>
          <w:rFonts w:eastAsia="Times New Roman"/>
        </w:rPr>
      </w:pPr>
      <w:r>
        <w:rPr>
          <w:rFonts w:ascii="Arial" w:eastAsia="Times New Roman" w:hAnsi="Arial" w:cs="Arial"/>
          <w:color w:val="000000"/>
          <w:sz w:val="20"/>
          <w:szCs w:val="20"/>
        </w:rPr>
        <w:t>Our earnings and cash flows are also exposed to variability in longer term interest rates</w:t>
      </w:r>
      <w:r>
        <w:rPr>
          <w:rFonts w:ascii="Arial" w:eastAsia="Times New Roman" w:hAnsi="Arial" w:cs="Arial"/>
          <w:color w:val="000000"/>
          <w:sz w:val="20"/>
          <w:szCs w:val="20"/>
        </w:rPr>
        <w:t xml:space="preserve"> ahead of anticipated fixed rate term debt issuances. Forward starting interest rate swaps are used to hedge against the effect of future interest rate movements. We have established a program including some of our subsidiaries to partially mitigate our ex</w:t>
      </w:r>
      <w:r>
        <w:rPr>
          <w:rFonts w:ascii="Arial" w:eastAsia="Times New Roman" w:hAnsi="Arial" w:cs="Arial"/>
          <w:color w:val="000000"/>
          <w:sz w:val="20"/>
          <w:szCs w:val="20"/>
        </w:rPr>
        <w:t>posure to long-term interest rate variability on forecasted term debt issuances via execution of floating-to-fixed interest rate swaps with an average swap rate of 2.1%.</w:t>
      </w:r>
    </w:p>
    <w:p w:rsidR="00000000" w:rsidRDefault="00131F06">
      <w:pPr>
        <w:divId w:val="1178495729"/>
        <w:rPr>
          <w:rFonts w:eastAsia="Times New Roman"/>
        </w:rPr>
      </w:pPr>
    </w:p>
    <w:p w:rsidR="00000000" w:rsidRDefault="00131F06">
      <w:pPr>
        <w:divId w:val="1037049149"/>
        <w:rPr>
          <w:rFonts w:eastAsia="Times New Roman"/>
        </w:rPr>
      </w:pPr>
      <w:r>
        <w:rPr>
          <w:rFonts w:ascii="Arial" w:eastAsia="Times New Roman" w:hAnsi="Arial" w:cs="Arial"/>
          <w:b/>
          <w:bCs/>
          <w:color w:val="000000"/>
          <w:sz w:val="20"/>
          <w:szCs w:val="20"/>
        </w:rPr>
        <w:t>Commodity Price Risk</w:t>
      </w:r>
    </w:p>
    <w:p w:rsidR="00000000" w:rsidRDefault="00131F06">
      <w:pPr>
        <w:divId w:val="916940578"/>
        <w:rPr>
          <w:rFonts w:eastAsia="Times New Roman"/>
        </w:rPr>
      </w:pPr>
      <w:r>
        <w:rPr>
          <w:rFonts w:ascii="Arial" w:eastAsia="Times New Roman" w:hAnsi="Arial" w:cs="Arial"/>
          <w:color w:val="000000"/>
          <w:sz w:val="20"/>
          <w:szCs w:val="20"/>
        </w:rPr>
        <w:t>Our earnings and cash flows are exposed to changes in commodity prices as a result of our ownership interests in certain assets and investments, as well as through the activities of our energy services subsidiaries. These commodities include natural gas, c</w:t>
      </w:r>
      <w:r>
        <w:rPr>
          <w:rFonts w:ascii="Arial" w:eastAsia="Times New Roman" w:hAnsi="Arial" w:cs="Arial"/>
          <w:color w:val="000000"/>
          <w:sz w:val="20"/>
          <w:szCs w:val="20"/>
        </w:rPr>
        <w:t>rude oil, power and natural gas liquids (NGL). We employ financial and physical derivative instruments to fix a portion of the variable price exposures that arise from physical transactions involving these commodities. We use primarily non-qualifying deriv</w:t>
      </w:r>
      <w:r>
        <w:rPr>
          <w:rFonts w:ascii="Arial" w:eastAsia="Times New Roman" w:hAnsi="Arial" w:cs="Arial"/>
          <w:color w:val="000000"/>
          <w:sz w:val="20"/>
          <w:szCs w:val="20"/>
        </w:rPr>
        <w:t>ative instruments to manage commodity price risk.</w:t>
      </w:r>
    </w:p>
    <w:p w:rsidR="00000000" w:rsidRDefault="00131F06">
      <w:pPr>
        <w:divId w:val="550927162"/>
        <w:rPr>
          <w:rFonts w:eastAsia="Times New Roman"/>
        </w:rPr>
      </w:pPr>
      <w:r>
        <w:rPr>
          <w:rFonts w:ascii="Arial" w:eastAsia="Times New Roman" w:hAnsi="Arial" w:cs="Arial"/>
          <w:color w:val="000000"/>
          <w:sz w:val="20"/>
          <w:szCs w:val="20"/>
        </w:rPr>
        <w:t> </w:t>
      </w:r>
    </w:p>
    <w:p w:rsidR="00000000" w:rsidRDefault="00131F06">
      <w:pPr>
        <w:divId w:val="467480079"/>
        <w:rPr>
          <w:rFonts w:eastAsia="Times New Roman"/>
        </w:rPr>
      </w:pPr>
      <w:r>
        <w:rPr>
          <w:rFonts w:ascii="Arial" w:eastAsia="Times New Roman" w:hAnsi="Arial" w:cs="Arial"/>
          <w:b/>
          <w:bCs/>
          <w:color w:val="000000"/>
          <w:sz w:val="20"/>
          <w:szCs w:val="20"/>
        </w:rPr>
        <w:t>Equity Price Risk</w:t>
      </w:r>
    </w:p>
    <w:p w:rsidR="00000000" w:rsidRDefault="00131F06">
      <w:pPr>
        <w:divId w:val="275521837"/>
        <w:rPr>
          <w:rFonts w:eastAsia="Times New Roman"/>
        </w:rPr>
      </w:pPr>
      <w:r>
        <w:rPr>
          <w:rFonts w:ascii="Arial" w:eastAsia="Times New Roman" w:hAnsi="Arial" w:cs="Arial"/>
          <w:color w:val="000000"/>
          <w:sz w:val="20"/>
          <w:szCs w:val="20"/>
        </w:rPr>
        <w:t>Equity price risk is the risk of earnings fluctuations due to changes in our share price. We have exposure to our own common share price through the issuance of various forms of stock-ba</w:t>
      </w:r>
      <w:r>
        <w:rPr>
          <w:rFonts w:ascii="Arial" w:eastAsia="Times New Roman" w:hAnsi="Arial" w:cs="Arial"/>
          <w:color w:val="000000"/>
          <w:sz w:val="20"/>
          <w:szCs w:val="20"/>
        </w:rPr>
        <w:t>sed compensation, which affect earnings through revaluation of the outstanding units every period. We use equity derivatives to manage the earnings volatility derived from one form of stock-based compensation, restricted share units. We use a combination o</w:t>
      </w:r>
      <w:r>
        <w:rPr>
          <w:rFonts w:ascii="Arial" w:eastAsia="Times New Roman" w:hAnsi="Arial" w:cs="Arial"/>
          <w:color w:val="000000"/>
          <w:sz w:val="20"/>
          <w:szCs w:val="20"/>
        </w:rPr>
        <w:t>f qualifying and non-qualifying derivative instruments to manage equity price risk.</w:t>
      </w:r>
    </w:p>
    <w:p w:rsidR="00000000" w:rsidRDefault="00131F06">
      <w:pPr>
        <w:divId w:val="1415859493"/>
        <w:rPr>
          <w:rFonts w:eastAsia="Times New Roman"/>
        </w:rPr>
      </w:pPr>
    </w:p>
    <w:p w:rsidR="00000000" w:rsidRDefault="00131F06">
      <w:pPr>
        <w:divId w:val="792479649"/>
        <w:rPr>
          <w:rFonts w:eastAsia="Times New Roman"/>
        </w:rPr>
      </w:pPr>
      <w:r>
        <w:rPr>
          <w:rFonts w:ascii="Arial" w:eastAsia="Times New Roman" w:hAnsi="Arial" w:cs="Arial"/>
          <w:b/>
          <w:bCs/>
          <w:color w:val="000000"/>
          <w:sz w:val="20"/>
          <w:szCs w:val="20"/>
        </w:rPr>
        <w:t>TOTAL DERIVATIVE INSTRUMENTS</w:t>
      </w:r>
    </w:p>
    <w:p w:rsidR="00000000" w:rsidRDefault="00131F06">
      <w:pPr>
        <w:divId w:val="255675593"/>
        <w:rPr>
          <w:rFonts w:eastAsia="Times New Roman"/>
        </w:rPr>
      </w:pPr>
      <w:r>
        <w:rPr>
          <w:rFonts w:ascii="Arial" w:eastAsia="Times New Roman" w:hAnsi="Arial" w:cs="Arial"/>
          <w:color w:val="000000"/>
          <w:sz w:val="20"/>
          <w:szCs w:val="20"/>
        </w:rPr>
        <w:t>We generally have a policy of entering into individual International Swaps and Derivatives Association, Inc. (ISDA) agreements, or other simi</w:t>
      </w:r>
      <w:r>
        <w:rPr>
          <w:rFonts w:ascii="Arial" w:eastAsia="Times New Roman" w:hAnsi="Arial" w:cs="Arial"/>
          <w:color w:val="000000"/>
          <w:sz w:val="20"/>
          <w:szCs w:val="20"/>
        </w:rPr>
        <w:t>lar derivative agreements, with the majority of our financial derivative counterparties. These agreements provide for the net settlement of derivative instruments outstanding with specific counterparties in the event of bankruptcy or other significant cred</w:t>
      </w:r>
      <w:r>
        <w:rPr>
          <w:rFonts w:ascii="Arial" w:eastAsia="Times New Roman" w:hAnsi="Arial" w:cs="Arial"/>
          <w:color w:val="000000"/>
          <w:sz w:val="20"/>
          <w:szCs w:val="20"/>
        </w:rPr>
        <w:t>it events, and reduce our credit risk exposure on financial derivative asset positions outstanding with the counterparties in those circumstances.</w:t>
      </w:r>
    </w:p>
    <w:p w:rsidR="00000000" w:rsidRDefault="00131F06">
      <w:pPr>
        <w:divId w:val="1444421244"/>
        <w:rPr>
          <w:rFonts w:eastAsia="Times New Roman"/>
        </w:rPr>
      </w:pPr>
    </w:p>
    <w:p w:rsidR="00000000" w:rsidRDefault="00131F06">
      <w:pPr>
        <w:jc w:val="center"/>
        <w:divId w:val="2112818613"/>
        <w:rPr>
          <w:rFonts w:eastAsia="Times New Roman"/>
        </w:rPr>
      </w:pPr>
      <w:r>
        <w:rPr>
          <w:rFonts w:ascii="Arial" w:eastAsia="Times New Roman" w:hAnsi="Arial" w:cs="Arial"/>
          <w:color w:val="000000"/>
          <w:sz w:val="20"/>
          <w:szCs w:val="20"/>
        </w:rPr>
        <w:t>26</w:t>
      </w:r>
    </w:p>
    <w:p w:rsidR="00000000" w:rsidRDefault="00131F06">
      <w:pPr>
        <w:rPr>
          <w:rFonts w:eastAsia="Times New Roman"/>
        </w:rPr>
      </w:pPr>
      <w:r>
        <w:rPr>
          <w:rFonts w:eastAsia="Times New Roman"/>
        </w:rPr>
        <w:pict>
          <v:rect id="_x0000_i1051" style="width:0;height:1.5pt" o:hralign="center" o:hrstd="t" o:hr="t" fillcolor="#a0a0a0" stroked="f"/>
        </w:pict>
      </w:r>
    </w:p>
    <w:p w:rsidR="00000000" w:rsidRDefault="00131F06">
      <w:pPr>
        <w:jc w:val="center"/>
        <w:divId w:val="1379621044"/>
        <w:rPr>
          <w:rFonts w:eastAsia="Times New Roman"/>
        </w:rPr>
      </w:pPr>
    </w:p>
    <w:p w:rsidR="00000000" w:rsidRDefault="00131F06">
      <w:pPr>
        <w:divId w:val="465782695"/>
        <w:rPr>
          <w:rFonts w:eastAsia="Times New Roman"/>
        </w:rPr>
      </w:pPr>
      <w:r>
        <w:rPr>
          <w:rFonts w:ascii="Arial" w:eastAsia="Times New Roman" w:hAnsi="Arial" w:cs="Arial"/>
          <w:color w:val="000000"/>
          <w:sz w:val="20"/>
          <w:szCs w:val="20"/>
        </w:rPr>
        <w:t>The following table summarizes the Consolidated Statements of Fina</w:t>
      </w:r>
      <w:r>
        <w:rPr>
          <w:rFonts w:ascii="Arial" w:eastAsia="Times New Roman" w:hAnsi="Arial" w:cs="Arial"/>
          <w:color w:val="000000"/>
          <w:sz w:val="20"/>
          <w:szCs w:val="20"/>
        </w:rPr>
        <w:t>ncial Position location and carrying value of our derivative instruments, as well as the maximum potential settlement amounts in the event of the specific circumstances described above. All amounts are presented gross in the Consolidated Statements of Fina</w:t>
      </w:r>
      <w:r>
        <w:rPr>
          <w:rFonts w:ascii="Arial" w:eastAsia="Times New Roman" w:hAnsi="Arial" w:cs="Arial"/>
          <w:color w:val="000000"/>
          <w:sz w:val="20"/>
          <w:szCs w:val="20"/>
        </w:rPr>
        <w:t>ncial Position.</w:t>
      </w:r>
    </w:p>
    <w:tbl>
      <w:tblPr>
        <w:tblW w:w="5000" w:type="pct"/>
        <w:tblCellMar>
          <w:top w:w="15" w:type="dxa"/>
          <w:left w:w="15" w:type="dxa"/>
          <w:bottom w:w="15" w:type="dxa"/>
          <w:right w:w="15" w:type="dxa"/>
        </w:tblCellMar>
        <w:tblLook w:val="04A0" w:firstRow="1" w:lastRow="0" w:firstColumn="1" w:lastColumn="0" w:noHBand="0" w:noVBand="1"/>
      </w:tblPr>
      <w:tblGrid>
        <w:gridCol w:w="66"/>
        <w:gridCol w:w="2425"/>
        <w:gridCol w:w="39"/>
        <w:gridCol w:w="77"/>
        <w:gridCol w:w="834"/>
        <w:gridCol w:w="36"/>
        <w:gridCol w:w="36"/>
        <w:gridCol w:w="77"/>
        <w:gridCol w:w="834"/>
        <w:gridCol w:w="36"/>
        <w:gridCol w:w="77"/>
        <w:gridCol w:w="834"/>
        <w:gridCol w:w="36"/>
        <w:gridCol w:w="77"/>
        <w:gridCol w:w="834"/>
        <w:gridCol w:w="36"/>
        <w:gridCol w:w="36"/>
        <w:gridCol w:w="73"/>
        <w:gridCol w:w="36"/>
        <w:gridCol w:w="67"/>
        <w:gridCol w:w="753"/>
        <w:gridCol w:w="36"/>
        <w:gridCol w:w="76"/>
        <w:gridCol w:w="839"/>
        <w:gridCol w:w="36"/>
      </w:tblGrid>
      <w:tr w:rsidR="00000000">
        <w:trPr>
          <w:divId w:val="795222507"/>
        </w:trPr>
        <w:tc>
          <w:tcPr>
            <w:tcW w:w="50" w:type="pct"/>
            <w:vAlign w:val="center"/>
            <w:hideMark/>
          </w:tcPr>
          <w:p w:rsidR="00000000" w:rsidRDefault="00131F06">
            <w:pPr>
              <w:rPr>
                <w:rFonts w:eastAsia="Times New Roman"/>
              </w:rPr>
            </w:pPr>
          </w:p>
        </w:tc>
        <w:tc>
          <w:tcPr>
            <w:tcW w:w="147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6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795222507"/>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16"/>
                <w:szCs w:val="16"/>
              </w:rPr>
              <w:t>September 30, 2022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r>
            <w:r>
              <w:rPr>
                <w:rFonts w:ascii="Arial" w:eastAsia="Times New Roman" w:hAnsi="Arial" w:cs="Arial"/>
                <w:color w:val="000000"/>
                <w:sz w:val="16"/>
                <w:szCs w:val="16"/>
              </w:rPr>
              <w:t>as Presented</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t>for Offset</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79522250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795222507"/>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(230)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485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613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(284)</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329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Borders>
              <w:top w:val="single" w:sz="4" w:space="0" w:color="000000"/>
            </w:tcBorders>
            <w:tcMar>
              <w:top w:w="30" w:type="dxa"/>
              <w:left w:w="110" w:type="dxa"/>
              <w:bottom w:w="30" w:type="dxa"/>
              <w:right w:w="20" w:type="dxa"/>
            </w:tcMar>
            <w:vAlign w:val="center"/>
            <w:hideMark/>
          </w:tcPr>
          <w:p w:rsidR="00000000" w:rsidRDefault="00131F06">
            <w:pPr>
              <w:spacing w:after="100"/>
              <w:ind w:hanging="9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ind w:hanging="9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203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(164)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831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269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1,217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(191)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1,026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(693)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(730)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(693)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(380)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(412)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(182)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(1,089)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(1,159)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b/>
                <w:bCs/>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284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(875)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(1,423)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(1,429)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(1,265)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(1,568)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(1,605)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191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(1,414)</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Borders>
              <w:top w:val="single" w:sz="4" w:space="0" w:color="000000"/>
            </w:tcBorders>
            <w:tcMar>
              <w:top w:w="30" w:type="dxa"/>
              <w:left w:w="110" w:type="dxa"/>
              <w:bottom w:w="30" w:type="dxa"/>
              <w:right w:w="20" w:type="dxa"/>
            </w:tcMar>
            <w:vAlign w:val="center"/>
            <w:hideMark/>
          </w:tcPr>
          <w:p w:rsidR="00000000" w:rsidRDefault="00131F06">
            <w:pPr>
              <w:spacing w:after="100"/>
              <w:ind w:hanging="9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ind w:hanging="9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(1,848)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(1,774)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(1,774)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795222507"/>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895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(1,903)</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(934)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(934)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180"/>
        <w:divId w:val="1029453076"/>
        <w:rPr>
          <w:rFonts w:eastAsia="Times New Roman"/>
        </w:rPr>
      </w:pPr>
      <w:r>
        <w:rPr>
          <w:rFonts w:ascii="Arial" w:eastAsia="Times New Roman" w:hAnsi="Arial" w:cs="Arial"/>
          <w:i/>
          <w:iCs/>
          <w:color w:val="000000"/>
          <w:sz w:val="16"/>
          <w:szCs w:val="16"/>
        </w:rPr>
        <w:t>1As at September 30, 2022, $28 million and $36 mill</w:t>
      </w:r>
      <w:r>
        <w:rPr>
          <w:rFonts w:ascii="Arial" w:eastAsia="Times New Roman" w:hAnsi="Arial" w:cs="Arial"/>
          <w:i/>
          <w:iCs/>
          <w:color w:val="000000"/>
          <w:sz w:val="16"/>
          <w:szCs w:val="16"/>
        </w:rPr>
        <w:t>ion were reported within Accounts receivable from affiliates and Accounts payable to affiliates, respectively, in the Consolidated Statements of Financial Position.</w:t>
      </w:r>
    </w:p>
    <w:p w:rsidR="00000000" w:rsidRDefault="00131F06">
      <w:pPr>
        <w:jc w:val="center"/>
        <w:divId w:val="1384521305"/>
        <w:rPr>
          <w:rFonts w:eastAsia="Times New Roman"/>
        </w:rPr>
      </w:pPr>
      <w:r>
        <w:rPr>
          <w:rFonts w:ascii="Arial" w:eastAsia="Times New Roman" w:hAnsi="Arial" w:cs="Arial"/>
          <w:color w:val="000000"/>
          <w:sz w:val="20"/>
          <w:szCs w:val="20"/>
        </w:rPr>
        <w:t>27</w:t>
      </w:r>
    </w:p>
    <w:p w:rsidR="00000000" w:rsidRDefault="00131F06">
      <w:pPr>
        <w:rPr>
          <w:rFonts w:eastAsia="Times New Roman"/>
        </w:rPr>
      </w:pPr>
      <w:r>
        <w:rPr>
          <w:rFonts w:eastAsia="Times New Roman"/>
        </w:rPr>
        <w:pict>
          <v:rect id="_x0000_i1052" style="width:0;height:1.5pt" o:hralign="center" o:hrstd="t" o:hr="t" fillcolor="#a0a0a0" stroked="f"/>
        </w:pict>
      </w:r>
    </w:p>
    <w:p w:rsidR="00000000" w:rsidRDefault="00131F06">
      <w:pPr>
        <w:jc w:val="center"/>
        <w:divId w:val="111872274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441"/>
        <w:gridCol w:w="39"/>
        <w:gridCol w:w="77"/>
        <w:gridCol w:w="840"/>
        <w:gridCol w:w="36"/>
        <w:gridCol w:w="36"/>
        <w:gridCol w:w="77"/>
        <w:gridCol w:w="840"/>
        <w:gridCol w:w="36"/>
        <w:gridCol w:w="77"/>
        <w:gridCol w:w="840"/>
        <w:gridCol w:w="36"/>
        <w:gridCol w:w="77"/>
        <w:gridCol w:w="840"/>
        <w:gridCol w:w="36"/>
        <w:gridCol w:w="69"/>
        <w:gridCol w:w="848"/>
        <w:gridCol w:w="36"/>
        <w:gridCol w:w="76"/>
        <w:gridCol w:w="844"/>
        <w:gridCol w:w="36"/>
      </w:tblGrid>
      <w:tr w:rsidR="00000000">
        <w:trPr>
          <w:divId w:val="1283195137"/>
        </w:trPr>
        <w:tc>
          <w:tcPr>
            <w:tcW w:w="50" w:type="pct"/>
            <w:vAlign w:val="center"/>
            <w:hideMark/>
          </w:tcPr>
          <w:p w:rsidR="00000000" w:rsidRDefault="00131F06">
            <w:pPr>
              <w:jc w:val="center"/>
              <w:rPr>
                <w:rFonts w:eastAsia="Times New Roman"/>
              </w:rPr>
            </w:pPr>
          </w:p>
        </w:tc>
        <w:tc>
          <w:tcPr>
            <w:tcW w:w="148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283195137"/>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6"/>
                <w:szCs w:val="16"/>
              </w:rPr>
              <w:t>December 31, 2021</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as Presented</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t>for Offset</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128319513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3195137"/>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64 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465 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529 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(170)</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359 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87 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88 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272 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360 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(75)</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285 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(303)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(262)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(250)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(264)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129 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283195137"/>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(179)</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(112)</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(426)</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(717)</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170 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(547)</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(362)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(67)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(84)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283195137"/>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(18)</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(513)</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(531)</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75 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(456)</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(100)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(84)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3195137"/>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(45)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(112)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2071341816"/>
        <w:rPr>
          <w:rFonts w:eastAsia="Times New Roman"/>
        </w:rPr>
      </w:pPr>
    </w:p>
    <w:p w:rsidR="00000000" w:rsidRDefault="00131F06">
      <w:pPr>
        <w:divId w:val="243496221"/>
        <w:rPr>
          <w:rFonts w:eastAsia="Times New Roman"/>
        </w:rPr>
      </w:pPr>
      <w:r>
        <w:rPr>
          <w:rFonts w:ascii="Arial" w:eastAsia="Times New Roman" w:hAnsi="Arial" w:cs="Arial"/>
          <w:color w:val="000000"/>
          <w:sz w:val="20"/>
          <w:szCs w:val="20"/>
        </w:rPr>
        <w:t>The following table summarizes the maturity and notional principal or quantity outstanding related to our derivative instruments.</w:t>
      </w:r>
    </w:p>
    <w:p w:rsidR="00000000" w:rsidRDefault="00131F06">
      <w:pPr>
        <w:divId w:val="34564226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3688"/>
        <w:gridCol w:w="36"/>
        <w:gridCol w:w="67"/>
        <w:gridCol w:w="491"/>
        <w:gridCol w:w="36"/>
        <w:gridCol w:w="67"/>
        <w:gridCol w:w="491"/>
        <w:gridCol w:w="36"/>
        <w:gridCol w:w="67"/>
        <w:gridCol w:w="491"/>
        <w:gridCol w:w="36"/>
        <w:gridCol w:w="79"/>
        <w:gridCol w:w="479"/>
        <w:gridCol w:w="36"/>
        <w:gridCol w:w="67"/>
        <w:gridCol w:w="491"/>
        <w:gridCol w:w="36"/>
        <w:gridCol w:w="82"/>
        <w:gridCol w:w="689"/>
        <w:gridCol w:w="36"/>
        <w:gridCol w:w="79"/>
        <w:gridCol w:w="475"/>
        <w:gridCol w:w="36"/>
        <w:gridCol w:w="36"/>
        <w:gridCol w:w="77"/>
        <w:gridCol w:w="36"/>
      </w:tblGrid>
      <w:tr w:rsidR="00000000">
        <w:trPr>
          <w:divId w:val="1094202474"/>
        </w:trPr>
        <w:tc>
          <w:tcPr>
            <w:tcW w:w="50" w:type="pct"/>
            <w:vAlign w:val="center"/>
            <w:hideMark/>
          </w:tcPr>
          <w:p w:rsidR="00000000" w:rsidRDefault="00131F06">
            <w:pPr>
              <w:rPr>
                <w:rFonts w:eastAsia="Times New Roman"/>
              </w:rPr>
            </w:pPr>
          </w:p>
        </w:tc>
        <w:tc>
          <w:tcPr>
            <w:tcW w:w="222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0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0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0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0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0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2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0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6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16"/>
                <w:szCs w:val="16"/>
              </w:rPr>
              <w:t>September 30, 2022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2022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2023</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2024</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2025</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2026</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Thereafter</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6"/>
                <w:szCs w:val="16"/>
              </w:rPr>
              <w:t>Total</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r>
      <w:tr w:rsidR="00000000">
        <w:trPr>
          <w:divId w:val="10942024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ind w:hanging="180"/>
              <w:divId w:val="502865736"/>
              <w:rPr>
                <w:rFonts w:eastAsia="Times New Roman"/>
              </w:rPr>
            </w:pPr>
            <w:r>
              <w:rPr>
                <w:rFonts w:ascii="Arial" w:eastAsia="Times New Roman" w:hAnsi="Arial" w:cs="Arial"/>
                <w:color w:val="000000"/>
                <w:sz w:val="16"/>
                <w:szCs w:val="16"/>
              </w:rPr>
              <w:t xml:space="preserve">Foreign exchange contracts - US dollar forwards - purchase </w:t>
            </w:r>
            <w:r>
              <w:rPr>
                <w:rFonts w:ascii="Arial" w:eastAsia="Times New Roman" w:hAnsi="Arial" w:cs="Arial"/>
                <w:i/>
                <w:iCs/>
                <w:color w:val="000000"/>
                <w:sz w:val="16"/>
                <w:szCs w:val="16"/>
              </w:rPr>
              <w:t>(millions of US dollars)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799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1,000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500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2,303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ind w:hanging="180"/>
              <w:divId w:val="562444004"/>
              <w:rPr>
                <w:rFonts w:eastAsia="Times New Roman"/>
              </w:rPr>
            </w:pPr>
            <w:r>
              <w:rPr>
                <w:rFonts w:ascii="Arial" w:eastAsia="Times New Roman" w:hAnsi="Arial" w:cs="Arial"/>
                <w:color w:val="000000"/>
                <w:sz w:val="16"/>
                <w:szCs w:val="16"/>
              </w:rPr>
              <w:t xml:space="preserve">Foreign exchange contracts - US dollar forwards - sell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3,017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7,185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6,134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4,361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3,761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1,481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25,939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ind w:hanging="180"/>
              <w:divId w:val="1649089862"/>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ind w:hanging="180"/>
              <w:divId w:val="438380301"/>
              <w:rPr>
                <w:rFonts w:eastAsia="Times New Roman"/>
              </w:rPr>
            </w:pPr>
            <w:r>
              <w:rPr>
                <w:rFonts w:ascii="Arial" w:eastAsia="Times New Roman" w:hAnsi="Arial" w:cs="Arial"/>
                <w:color w:val="000000"/>
                <w:sz w:val="16"/>
                <w:szCs w:val="16"/>
              </w:rPr>
              <w:t xml:space="preserve">Foreign exchange contracts - Euro forwards - sell </w:t>
            </w:r>
            <w:r>
              <w:rPr>
                <w:rFonts w:ascii="Arial" w:eastAsia="Times New Roman" w:hAnsi="Arial" w:cs="Arial"/>
                <w:i/>
                <w:iCs/>
                <w:color w:val="000000"/>
                <w:sz w:val="16"/>
                <w:szCs w:val="16"/>
              </w:rPr>
              <w:t>(millions of Euro)</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720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ind w:hanging="180"/>
              <w:divId w:val="1120341848"/>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84,800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84,800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ind w:hanging="180"/>
              <w:divId w:val="663582677"/>
              <w:rPr>
                <w:rFonts w:eastAsia="Times New Roman"/>
              </w:rPr>
            </w:pPr>
            <w:r>
              <w:rPr>
                <w:rFonts w:ascii="Arial" w:eastAsia="Times New Roman" w:hAnsi="Arial" w:cs="Arial"/>
                <w:color w:val="000000"/>
                <w:sz w:val="16"/>
                <w:szCs w:val="16"/>
              </w:rPr>
              <w:t xml:space="preserve">Interest rate contracts - short-term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2,715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3,190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31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6,267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ind w:hanging="180"/>
              <w:divId w:val="1366637715"/>
              <w:rPr>
                <w:rFonts w:eastAsia="Times New Roman"/>
              </w:rPr>
            </w:pPr>
            <w:r>
              <w:rPr>
                <w:rFonts w:ascii="Arial" w:eastAsia="Times New Roman" w:hAnsi="Arial" w:cs="Arial"/>
                <w:color w:val="000000"/>
                <w:sz w:val="16"/>
                <w:szCs w:val="16"/>
              </w:rPr>
              <w:t xml:space="preserve">Interest rate contracts - long-term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900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4,099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1,781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594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6"/>
                <w:szCs w:val="16"/>
              </w:rPr>
              <w:t>7,374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ind w:hanging="180"/>
              <w:divId w:val="2013024497"/>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ind w:hanging="180"/>
              <w:divId w:val="1101728005"/>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r>
              <w:rPr>
                <w:rFonts w:ascii="Arial" w:eastAsia="Times New Roman" w:hAnsi="Arial" w:cs="Arial"/>
                <w:i/>
                <w:iCs/>
                <w:color w:val="000000"/>
                <w:sz w:val="16"/>
                <w:szCs w:val="16"/>
              </w:rPr>
              <w:t>)</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tcMar>
              <w:top w:w="30" w:type="dxa"/>
              <w:left w:w="20" w:type="dxa"/>
              <w:bottom w:w="30" w:type="dxa"/>
              <w:right w:w="20" w:type="dxa"/>
            </w:tcMar>
            <w:vAlign w:val="center"/>
            <w:hideMark/>
          </w:tcPr>
          <w:p w:rsidR="00000000" w:rsidRDefault="00131F06">
            <w:pPr>
              <w:spacing w:after="100"/>
              <w:ind w:hanging="180"/>
              <w:divId w:val="410351697"/>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r>
              <w:rPr>
                <w:rFonts w:ascii="Arial" w:eastAsia="Times New Roman" w:hAnsi="Arial" w:cs="Arial"/>
                <w:i/>
                <w:iCs/>
                <w:color w:val="000000"/>
                <w:sz w:val="16"/>
                <w:szCs w:val="16"/>
              </w:rPr>
              <w:t>)</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r>
      <w:tr w:rsidR="00000000">
        <w:trPr>
          <w:divId w:val="1094202474"/>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094202474"/>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ind w:hanging="180"/>
              <w:divId w:val="1471362641"/>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(25)</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(33)</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(31)</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131F06">
            <w:pPr>
              <w:spacing w:after="100"/>
              <w:divId w:val="1288469416"/>
              <w:rPr>
                <w:rFonts w:eastAsia="Times New Roman"/>
              </w:rPr>
            </w:pPr>
            <w:r>
              <w:rPr>
                <w:rFonts w:ascii="Arial" w:eastAsia="Times New Roman" w:hAnsi="Arial" w:cs="Arial"/>
                <w:b/>
                <w:bCs/>
                <w:color w:val="000000"/>
                <w:sz w:val="8"/>
                <w:szCs w:val="8"/>
              </w:rPr>
              <w:t>2</w:t>
            </w:r>
          </w:p>
        </w:tc>
      </w:tr>
    </w:tbl>
    <w:p w:rsidR="00000000" w:rsidRDefault="00131F06">
      <w:pPr>
        <w:ind w:hanging="180"/>
        <w:divId w:val="1792287319"/>
        <w:rPr>
          <w:rFonts w:eastAsia="Times New Roman"/>
        </w:rPr>
      </w:pPr>
      <w:r>
        <w:rPr>
          <w:rFonts w:ascii="Arial" w:eastAsia="Times New Roman" w:hAnsi="Arial" w:cs="Arial"/>
          <w:i/>
          <w:iCs/>
          <w:color w:val="000000"/>
          <w:sz w:val="16"/>
          <w:szCs w:val="16"/>
        </w:rPr>
        <w:t>1Total is a net purchase/(sale) of underlying commodity.</w:t>
      </w:r>
    </w:p>
    <w:p w:rsidR="00000000" w:rsidRDefault="00131F06">
      <w:pPr>
        <w:ind w:hanging="180"/>
        <w:divId w:val="1921712162"/>
        <w:rPr>
          <w:rFonts w:eastAsia="Times New Roman"/>
        </w:rPr>
      </w:pPr>
      <w:r>
        <w:rPr>
          <w:rFonts w:ascii="Arial" w:eastAsia="Times New Roman" w:hAnsi="Arial" w:cs="Arial"/>
          <w:i/>
          <w:iCs/>
          <w:color w:val="000000"/>
          <w:sz w:val="16"/>
          <w:szCs w:val="16"/>
        </w:rPr>
        <w:t>2Total is an average net purchase/(sale) of power.</w:t>
      </w:r>
    </w:p>
    <w:p w:rsidR="00000000" w:rsidRDefault="00131F06">
      <w:pPr>
        <w:jc w:val="center"/>
        <w:divId w:val="661814728"/>
        <w:rPr>
          <w:rFonts w:eastAsia="Times New Roman"/>
        </w:rPr>
      </w:pPr>
      <w:r>
        <w:rPr>
          <w:rFonts w:ascii="Arial" w:eastAsia="Times New Roman" w:hAnsi="Arial" w:cs="Arial"/>
          <w:color w:val="000000"/>
          <w:sz w:val="20"/>
          <w:szCs w:val="20"/>
        </w:rPr>
        <w:t>28</w:t>
      </w:r>
    </w:p>
    <w:p w:rsidR="00000000" w:rsidRDefault="00131F06">
      <w:pPr>
        <w:rPr>
          <w:rFonts w:eastAsia="Times New Roman"/>
        </w:rPr>
      </w:pPr>
      <w:r>
        <w:rPr>
          <w:rFonts w:eastAsia="Times New Roman"/>
        </w:rPr>
        <w:pict>
          <v:rect id="_x0000_i1053" style="width:0;height:1.5pt" o:hralign="center" o:hrstd="t" o:hr="t" fillcolor="#a0a0a0" stroked="f"/>
        </w:pict>
      </w:r>
    </w:p>
    <w:p w:rsidR="00000000" w:rsidRDefault="00131F06">
      <w:pPr>
        <w:jc w:val="center"/>
        <w:divId w:val="1817642270"/>
        <w:rPr>
          <w:rFonts w:eastAsia="Times New Roman"/>
        </w:rPr>
      </w:pPr>
    </w:p>
    <w:p w:rsidR="00000000" w:rsidRDefault="00131F06">
      <w:pPr>
        <w:divId w:val="1470050765"/>
        <w:rPr>
          <w:rFonts w:eastAsia="Times New Roman"/>
        </w:rPr>
      </w:pPr>
      <w:r>
        <w:rPr>
          <w:rFonts w:ascii="Arial" w:eastAsia="Times New Roman" w:hAnsi="Arial" w:cs="Arial"/>
          <w:b/>
          <w:bCs/>
          <w:color w:val="000000"/>
          <w:sz w:val="20"/>
          <w:szCs w:val="20"/>
        </w:rPr>
        <w:t>Fair Value Derivatives</w:t>
      </w:r>
    </w:p>
    <w:p w:rsidR="00000000" w:rsidRDefault="00131F06">
      <w:pPr>
        <w:divId w:val="248734631"/>
        <w:rPr>
          <w:rFonts w:eastAsia="Times New Roman"/>
        </w:rPr>
      </w:pPr>
      <w:r>
        <w:rPr>
          <w:rFonts w:ascii="Arial" w:eastAsia="Times New Roman" w:hAnsi="Arial" w:cs="Arial"/>
          <w:color w:val="000000"/>
          <w:sz w:val="20"/>
          <w:szCs w:val="20"/>
        </w:rPr>
        <w:t>For foreign exchange derivative instruments that are designated and qualify as fair value hedges, the gain or loss on the derivative is included in Net foreign currency gain/(loss) or Interest expense in the Consolidated Statemen</w:t>
      </w:r>
      <w:r>
        <w:rPr>
          <w:rFonts w:ascii="Arial" w:eastAsia="Times New Roman" w:hAnsi="Arial" w:cs="Arial"/>
          <w:color w:val="000000"/>
          <w:sz w:val="20"/>
          <w:szCs w:val="20"/>
        </w:rPr>
        <w:t>ts of Earnings. The offsetting loss or gain on the hedged item attributable to the hedged risk is included in Net foreign currency gain/(loss) in the Consolidated Statements of Earnings. Any excluded components are included in the Consolidated Statements o</w:t>
      </w:r>
      <w:r>
        <w:rPr>
          <w:rFonts w:ascii="Arial" w:eastAsia="Times New Roman" w:hAnsi="Arial" w:cs="Arial"/>
          <w:color w:val="000000"/>
          <w:sz w:val="20"/>
          <w:szCs w:val="20"/>
        </w:rPr>
        <w:t>f Comprehensive Income.</w:t>
      </w:r>
    </w:p>
    <w:p w:rsidR="00000000" w:rsidRDefault="00131F06">
      <w:pPr>
        <w:divId w:val="704333218"/>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556431858"/>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556431858"/>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556431858"/>
        </w:trPr>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55643185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556431858"/>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Unrealized gain on derivative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556431858"/>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Unrealized loss on hedged item</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(211)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556431858"/>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Realized loss on derivative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556431858"/>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Realized gain on hedged item</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45 </w:t>
            </w:r>
          </w:p>
        </w:tc>
        <w:tc>
          <w:tcPr>
            <w:tcW w:w="0" w:type="auto"/>
            <w:tcBorders>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936399610"/>
        <w:rPr>
          <w:rFonts w:eastAsia="Times New Roman"/>
        </w:rPr>
      </w:pPr>
    </w:p>
    <w:p w:rsidR="00000000" w:rsidRDefault="00131F06">
      <w:pPr>
        <w:divId w:val="730152162"/>
        <w:rPr>
          <w:rFonts w:eastAsia="Times New Roman"/>
        </w:rPr>
      </w:pPr>
      <w:r>
        <w:rPr>
          <w:rFonts w:ascii="Arial" w:eastAsia="Times New Roman" w:hAnsi="Arial" w:cs="Arial"/>
          <w:b/>
          <w:bCs/>
          <w:color w:val="000000"/>
          <w:sz w:val="20"/>
          <w:szCs w:val="20"/>
        </w:rPr>
        <w:t>The Effect of Derivative Instruments on the Statements of Earnings and Comprehensive Income</w:t>
      </w:r>
    </w:p>
    <w:p w:rsidR="00000000" w:rsidRDefault="00131F06">
      <w:pPr>
        <w:divId w:val="1106000499"/>
        <w:rPr>
          <w:rFonts w:eastAsia="Times New Roman"/>
        </w:rPr>
      </w:pPr>
      <w:r>
        <w:rPr>
          <w:rFonts w:ascii="Arial" w:eastAsia="Times New Roman" w:hAnsi="Arial" w:cs="Arial"/>
          <w:color w:val="000000"/>
          <w:sz w:val="20"/>
          <w:szCs w:val="20"/>
        </w:rPr>
        <w:t>The following table presents the effect of cash flow hedges and fair value hedges on our consolidated earnings and consolidated comprehensive income, before the eff</w:t>
      </w:r>
      <w:r>
        <w:rPr>
          <w:rFonts w:ascii="Arial" w:eastAsia="Times New Roman" w:hAnsi="Arial" w:cs="Arial"/>
          <w:color w:val="000000"/>
          <w:sz w:val="20"/>
          <w:szCs w:val="20"/>
        </w:rPr>
        <w:t>ect of income taxes:</w:t>
      </w:r>
    </w:p>
    <w:p w:rsidR="00000000" w:rsidRDefault="00131F06">
      <w:pPr>
        <w:divId w:val="1508668123"/>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8"/>
        <w:gridCol w:w="65"/>
        <w:gridCol w:w="808"/>
        <w:gridCol w:w="37"/>
        <w:gridCol w:w="65"/>
        <w:gridCol w:w="808"/>
        <w:gridCol w:w="36"/>
        <w:gridCol w:w="36"/>
        <w:gridCol w:w="36"/>
        <w:gridCol w:w="36"/>
        <w:gridCol w:w="61"/>
        <w:gridCol w:w="808"/>
        <w:gridCol w:w="37"/>
        <w:gridCol w:w="65"/>
        <w:gridCol w:w="809"/>
        <w:gridCol w:w="36"/>
      </w:tblGrid>
      <w:tr w:rsidR="00000000">
        <w:trPr>
          <w:divId w:val="1286540031"/>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286540031"/>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286540031"/>
        </w:trPr>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128654003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ind w:hanging="180"/>
              <w:divId w:val="1673870353"/>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1833443201"/>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824980016"/>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1762871895"/>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293 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2071727704"/>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1520705143"/>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1371034118"/>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148419676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286540031"/>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286540031"/>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(21)</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1,021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246 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tcBorders>
              <w:top w:val="single" w:sz="8" w:space="0" w:color="000000"/>
            </w:tcBorders>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Amount of (gain)/loss reclassified from AOCI to earnings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131F06">
            <w:pPr>
              <w:spacing w:after="100"/>
              <w:ind w:hanging="18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1214853967"/>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40859966"/>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218 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tcMar>
              <w:top w:w="30" w:type="dxa"/>
              <w:left w:w="20" w:type="dxa"/>
              <w:bottom w:w="30" w:type="dxa"/>
              <w:right w:w="20" w:type="dxa"/>
            </w:tcMar>
            <w:vAlign w:val="center"/>
            <w:hideMark/>
          </w:tcPr>
          <w:p w:rsidR="00000000" w:rsidRDefault="00131F06">
            <w:pPr>
              <w:spacing w:after="100"/>
              <w:divId w:val="1703897271"/>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28654003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divId w:val="1560899643"/>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219 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180"/>
        <w:divId w:val="180099533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Reported within Transportation and other services revenues and Net foreign currency gain/(loss) in the Consolidated Statements of Earnings.</w:t>
      </w:r>
    </w:p>
    <w:p w:rsidR="00000000" w:rsidRDefault="00131F06">
      <w:pPr>
        <w:ind w:hanging="180"/>
        <w:divId w:val="248274166"/>
        <w:rPr>
          <w:rFonts w:eastAsia="Times New Roman"/>
        </w:rPr>
      </w:pPr>
      <w:r>
        <w:rPr>
          <w:rFonts w:ascii="Arial" w:eastAsia="Times New Roman" w:hAnsi="Arial" w:cs="Arial"/>
          <w:i/>
          <w:iCs/>
          <w:color w:val="000000"/>
          <w:sz w:val="16"/>
          <w:szCs w:val="16"/>
        </w:rPr>
        <w:t>2Reported within Interest expense in the Consolidated Statements of Earnings.</w:t>
      </w:r>
    </w:p>
    <w:p w:rsidR="00000000" w:rsidRDefault="00131F06">
      <w:pPr>
        <w:ind w:hanging="180"/>
        <w:divId w:val="1564561339"/>
        <w:rPr>
          <w:rFonts w:eastAsia="Times New Roman"/>
        </w:rPr>
      </w:pPr>
      <w:r>
        <w:rPr>
          <w:rFonts w:ascii="Arial" w:eastAsia="Times New Roman" w:hAnsi="Arial" w:cs="Arial"/>
          <w:i/>
          <w:iCs/>
          <w:color w:val="000000"/>
          <w:sz w:val="16"/>
          <w:szCs w:val="16"/>
        </w:rPr>
        <w:t>3Reported within Operating and adminis</w:t>
      </w:r>
      <w:r>
        <w:rPr>
          <w:rFonts w:ascii="Arial" w:eastAsia="Times New Roman" w:hAnsi="Arial" w:cs="Arial"/>
          <w:i/>
          <w:iCs/>
          <w:color w:val="000000"/>
          <w:sz w:val="16"/>
          <w:szCs w:val="16"/>
        </w:rPr>
        <w:t>trative expense in the Consolidated Statements of Earnings.</w:t>
      </w:r>
    </w:p>
    <w:p w:rsidR="00000000" w:rsidRDefault="00131F06">
      <w:pPr>
        <w:divId w:val="1499536900"/>
        <w:rPr>
          <w:rFonts w:eastAsia="Times New Roman"/>
        </w:rPr>
      </w:pPr>
    </w:p>
    <w:p w:rsidR="00000000" w:rsidRDefault="00131F06">
      <w:pPr>
        <w:divId w:val="2100440400"/>
        <w:rPr>
          <w:rFonts w:eastAsia="Times New Roman"/>
        </w:rPr>
      </w:pPr>
      <w:r>
        <w:rPr>
          <w:rFonts w:ascii="Arial" w:eastAsia="Times New Roman" w:hAnsi="Arial" w:cs="Arial"/>
          <w:color w:val="000000"/>
          <w:sz w:val="20"/>
          <w:szCs w:val="20"/>
        </w:rPr>
        <w:t>We estimate that a gain of $57 million of AOCI related to unrealized cash flow hedges will be reclassified to earnings in the next 12 months. Actual amounts reclassified to earnings depend on th</w:t>
      </w:r>
      <w:r>
        <w:rPr>
          <w:rFonts w:ascii="Arial" w:eastAsia="Times New Roman" w:hAnsi="Arial" w:cs="Arial"/>
          <w:color w:val="000000"/>
          <w:sz w:val="20"/>
          <w:szCs w:val="20"/>
        </w:rPr>
        <w:t xml:space="preserve">e foreign exchange rates, interest rates and commodity prices in effect when derivative contracts that are currently outstanding mature. For all forecasted transactions, the maximum term over which we are hedging exposures to the variability of cash flows </w:t>
      </w:r>
      <w:r>
        <w:rPr>
          <w:rFonts w:ascii="Arial" w:eastAsia="Times New Roman" w:hAnsi="Arial" w:cs="Arial"/>
          <w:color w:val="000000"/>
          <w:sz w:val="20"/>
          <w:szCs w:val="20"/>
        </w:rPr>
        <w:t>is 39 months as at</w:t>
      </w:r>
      <w:r>
        <w:rPr>
          <w:rFonts w:ascii="Arial" w:eastAsia="Times New Roman" w:hAnsi="Arial" w:cs="Arial"/>
          <w:color w:val="000000"/>
          <w:sz w:val="20"/>
          <w:szCs w:val="20"/>
          <w:shd w:val="clear" w:color="auto" w:fill="FFFFFF"/>
        </w:rPr>
        <w:t xml:space="preserve"> September 30, 2022.</w:t>
      </w:r>
    </w:p>
    <w:p w:rsidR="00000000" w:rsidRDefault="00131F06">
      <w:pPr>
        <w:divId w:val="1538395443"/>
        <w:rPr>
          <w:rFonts w:eastAsia="Times New Roman"/>
        </w:rPr>
      </w:pPr>
      <w:r>
        <w:rPr>
          <w:rFonts w:ascii="Arial" w:eastAsia="Times New Roman" w:hAnsi="Arial" w:cs="Arial"/>
          <w:color w:val="000000"/>
          <w:sz w:val="20"/>
          <w:szCs w:val="20"/>
        </w:rPr>
        <w:t> </w:t>
      </w:r>
    </w:p>
    <w:p w:rsidR="00000000" w:rsidRDefault="00131F06">
      <w:pPr>
        <w:jc w:val="center"/>
        <w:divId w:val="2051145778"/>
        <w:rPr>
          <w:rFonts w:eastAsia="Times New Roman"/>
        </w:rPr>
      </w:pPr>
      <w:r>
        <w:rPr>
          <w:rFonts w:ascii="Arial" w:eastAsia="Times New Roman" w:hAnsi="Arial" w:cs="Arial"/>
          <w:color w:val="000000"/>
          <w:sz w:val="20"/>
          <w:szCs w:val="20"/>
        </w:rPr>
        <w:t>29</w:t>
      </w:r>
    </w:p>
    <w:p w:rsidR="00000000" w:rsidRDefault="00131F06">
      <w:pPr>
        <w:rPr>
          <w:rFonts w:eastAsia="Times New Roman"/>
        </w:rPr>
      </w:pPr>
      <w:r>
        <w:rPr>
          <w:rFonts w:eastAsia="Times New Roman"/>
        </w:rPr>
        <w:pict>
          <v:rect id="_x0000_i1054" style="width:0;height:1.5pt" o:hralign="center" o:hrstd="t" o:hr="t" fillcolor="#a0a0a0" stroked="f"/>
        </w:pict>
      </w:r>
    </w:p>
    <w:p w:rsidR="00000000" w:rsidRDefault="00131F06">
      <w:pPr>
        <w:jc w:val="center"/>
        <w:divId w:val="923879188"/>
        <w:rPr>
          <w:rFonts w:eastAsia="Times New Roman"/>
        </w:rPr>
      </w:pPr>
    </w:p>
    <w:p w:rsidR="00000000" w:rsidRDefault="00131F06">
      <w:pPr>
        <w:divId w:val="1741173247"/>
        <w:rPr>
          <w:rFonts w:eastAsia="Times New Roman"/>
        </w:rPr>
      </w:pPr>
      <w:r>
        <w:rPr>
          <w:rFonts w:ascii="Arial" w:eastAsia="Times New Roman" w:hAnsi="Arial" w:cs="Arial"/>
          <w:b/>
          <w:bCs/>
          <w:color w:val="000000"/>
          <w:sz w:val="20"/>
          <w:szCs w:val="20"/>
        </w:rPr>
        <w:t>Non-Qualifying Derivatives</w:t>
      </w:r>
    </w:p>
    <w:p w:rsidR="00000000" w:rsidRDefault="00131F06">
      <w:pPr>
        <w:divId w:val="645010520"/>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derivatives:</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9"/>
        <w:gridCol w:w="65"/>
        <w:gridCol w:w="808"/>
        <w:gridCol w:w="37"/>
        <w:gridCol w:w="65"/>
        <w:gridCol w:w="808"/>
        <w:gridCol w:w="36"/>
        <w:gridCol w:w="36"/>
        <w:gridCol w:w="36"/>
        <w:gridCol w:w="36"/>
        <w:gridCol w:w="61"/>
        <w:gridCol w:w="808"/>
        <w:gridCol w:w="37"/>
        <w:gridCol w:w="65"/>
        <w:gridCol w:w="808"/>
        <w:gridCol w:w="36"/>
      </w:tblGrid>
      <w:tr w:rsidR="00000000">
        <w:trPr>
          <w:divId w:val="2089616790"/>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208961679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2089616790"/>
        </w:trPr>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208961679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2089616790"/>
        </w:trPr>
        <w:tc>
          <w:tcPr>
            <w:tcW w:w="0" w:type="auto"/>
            <w:gridSpan w:val="3"/>
            <w:tcMar>
              <w:top w:w="30" w:type="dxa"/>
              <w:left w:w="20" w:type="dxa"/>
              <w:bottom w:w="30" w:type="dxa"/>
              <w:right w:w="20" w:type="dxa"/>
            </w:tcMar>
            <w:vAlign w:val="center"/>
            <w:hideMark/>
          </w:tcPr>
          <w:p w:rsidR="00000000" w:rsidRDefault="00131F06">
            <w:pPr>
              <w:spacing w:after="100"/>
              <w:divId w:val="2111003333"/>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(1,379)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(436)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(1,752)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89616790"/>
        </w:trPr>
        <w:tc>
          <w:tcPr>
            <w:tcW w:w="0" w:type="auto"/>
            <w:gridSpan w:val="3"/>
            <w:tcMar>
              <w:top w:w="30" w:type="dxa"/>
              <w:left w:w="20" w:type="dxa"/>
              <w:bottom w:w="30" w:type="dxa"/>
              <w:right w:w="20" w:type="dxa"/>
            </w:tcMar>
            <w:vAlign w:val="center"/>
            <w:hideMark/>
          </w:tcPr>
          <w:p w:rsidR="00000000" w:rsidRDefault="00131F06">
            <w:pPr>
              <w:spacing w:after="100"/>
              <w:divId w:val="1657487227"/>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89616790"/>
        </w:trPr>
        <w:tc>
          <w:tcPr>
            <w:tcW w:w="0" w:type="auto"/>
            <w:gridSpan w:val="3"/>
            <w:tcMar>
              <w:top w:w="30" w:type="dxa"/>
              <w:left w:w="20" w:type="dxa"/>
              <w:bottom w:w="30" w:type="dxa"/>
              <w:right w:w="20" w:type="dxa"/>
            </w:tcMar>
            <w:vAlign w:val="center"/>
            <w:hideMark/>
          </w:tcPr>
          <w:p w:rsidR="00000000" w:rsidRDefault="00131F06">
            <w:pPr>
              <w:spacing w:after="100"/>
              <w:divId w:val="1750694963"/>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(120)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89616790"/>
        </w:trPr>
        <w:tc>
          <w:tcPr>
            <w:tcW w:w="0" w:type="auto"/>
            <w:gridSpan w:val="3"/>
            <w:tcMar>
              <w:top w:w="30" w:type="dxa"/>
              <w:left w:w="20" w:type="dxa"/>
              <w:bottom w:w="30" w:type="dxa"/>
              <w:right w:w="20" w:type="dxa"/>
            </w:tcMar>
            <w:vAlign w:val="center"/>
            <w:hideMark/>
          </w:tcPr>
          <w:p w:rsidR="00000000" w:rsidRDefault="00131F06">
            <w:pPr>
              <w:spacing w:after="100"/>
              <w:divId w:val="1685865977"/>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089616790"/>
        </w:trPr>
        <w:tc>
          <w:tcPr>
            <w:tcW w:w="0" w:type="auto"/>
            <w:gridSpan w:val="3"/>
            <w:tcBorders>
              <w:top w:val="single" w:sz="4" w:space="0" w:color="000000"/>
              <w:bottom w:val="single" w:sz="8" w:space="0" w:color="000000"/>
            </w:tcBorders>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Total unrealized derivative fair value loss, net</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(1,276)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(534)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(1,691)</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180"/>
        <w:divId w:val="1222717080"/>
        <w:rPr>
          <w:rFonts w:eastAsia="Times New Roman"/>
        </w:rPr>
      </w:pPr>
      <w:r>
        <w:rPr>
          <w:rFonts w:ascii="Arial" w:eastAsia="Times New Roman" w:hAnsi="Arial" w:cs="Arial"/>
          <w:i/>
          <w:iCs/>
          <w:color w:val="000000"/>
          <w:sz w:val="16"/>
          <w:szCs w:val="16"/>
        </w:rPr>
        <w:t xml:space="preserve">1For the respective nine months ended periods, reported within Transportation and other services revenues (2022 - $375 million loss; 2021 - $71 million gain) and Net foreign currency gain/(loss) (2022 - $1,377 million loss; 2021 - $53 million loss) in the </w:t>
      </w:r>
      <w:r>
        <w:rPr>
          <w:rFonts w:ascii="Arial" w:eastAsia="Times New Roman" w:hAnsi="Arial" w:cs="Arial"/>
          <w:i/>
          <w:iCs/>
          <w:color w:val="000000"/>
          <w:sz w:val="16"/>
          <w:szCs w:val="16"/>
        </w:rPr>
        <w:t>Consolidated Statements of Earnings.</w:t>
      </w:r>
    </w:p>
    <w:p w:rsidR="00000000" w:rsidRDefault="00131F06">
      <w:pPr>
        <w:ind w:hanging="180"/>
        <w:divId w:val="401101187"/>
        <w:rPr>
          <w:rFonts w:eastAsia="Times New Roman"/>
        </w:rPr>
      </w:pPr>
      <w:r>
        <w:rPr>
          <w:rFonts w:ascii="Arial" w:eastAsia="Times New Roman" w:hAnsi="Arial" w:cs="Arial"/>
          <w:i/>
          <w:iCs/>
          <w:color w:val="000000"/>
          <w:sz w:val="16"/>
          <w:szCs w:val="16"/>
        </w:rPr>
        <w:t>2Reported as an (increase)/decrease within Interest expense in the Consolidated Statements of Earnings.</w:t>
      </w:r>
    </w:p>
    <w:p w:rsidR="00000000" w:rsidRDefault="00131F06">
      <w:pPr>
        <w:ind w:hanging="180"/>
        <w:divId w:val="915821598"/>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For the respective nine months ended periods, reported within Transportation and other services revenues (2022 - $12 million gain; 2021 - nil), Commodity sales (2022 - $151 million gain; 2021 - $5 million loss), Commodity costs (2022 - $116 million loss; 2</w:t>
      </w:r>
      <w:r>
        <w:rPr>
          <w:rFonts w:ascii="Arial" w:eastAsia="Times New Roman" w:hAnsi="Arial" w:cs="Arial"/>
          <w:i/>
          <w:iCs/>
          <w:color w:val="000000"/>
          <w:sz w:val="16"/>
          <w:szCs w:val="16"/>
        </w:rPr>
        <w:t>021 - $124 million loss) and Operating and administrative expense (2022 - $12 million gain; 2021 - $8 million gain) in the Consolidated Statements of Earnings.</w:t>
      </w:r>
    </w:p>
    <w:p w:rsidR="00000000" w:rsidRDefault="00131F06">
      <w:pPr>
        <w:ind w:hanging="180"/>
        <w:divId w:val="630403815"/>
        <w:rPr>
          <w:rFonts w:eastAsia="Times New Roman"/>
        </w:rPr>
      </w:pPr>
      <w:r>
        <w:rPr>
          <w:rFonts w:ascii="Arial" w:eastAsia="Times New Roman" w:hAnsi="Arial" w:cs="Arial"/>
          <w:i/>
          <w:iCs/>
          <w:color w:val="000000"/>
          <w:sz w:val="16"/>
          <w:szCs w:val="16"/>
        </w:rPr>
        <w:t>4Reported within Operating and administrative expense in the Consolidated Statements of Earnings</w:t>
      </w:r>
      <w:r>
        <w:rPr>
          <w:rFonts w:ascii="Arial" w:eastAsia="Times New Roman" w:hAnsi="Arial" w:cs="Arial"/>
          <w:i/>
          <w:iCs/>
          <w:color w:val="000000"/>
          <w:sz w:val="16"/>
          <w:szCs w:val="16"/>
        </w:rPr>
        <w:t>.</w:t>
      </w:r>
    </w:p>
    <w:p w:rsidR="00000000" w:rsidRDefault="00131F06">
      <w:pPr>
        <w:divId w:val="1534924982"/>
        <w:rPr>
          <w:rFonts w:eastAsia="Times New Roman"/>
        </w:rPr>
      </w:pPr>
    </w:p>
    <w:p w:rsidR="00000000" w:rsidRDefault="00131F06">
      <w:pPr>
        <w:divId w:val="478959139"/>
        <w:rPr>
          <w:rFonts w:eastAsia="Times New Roman"/>
        </w:rPr>
      </w:pPr>
      <w:r>
        <w:rPr>
          <w:rFonts w:ascii="Arial" w:eastAsia="Times New Roman" w:hAnsi="Arial" w:cs="Arial"/>
          <w:b/>
          <w:bCs/>
          <w:color w:val="000000"/>
          <w:sz w:val="20"/>
          <w:szCs w:val="20"/>
        </w:rPr>
        <w:t>LIQUIDITY RISK</w:t>
      </w:r>
    </w:p>
    <w:p w:rsidR="00000000" w:rsidRDefault="00131F06">
      <w:pPr>
        <w:divId w:val="377433671"/>
        <w:rPr>
          <w:rFonts w:eastAsia="Times New Roman"/>
        </w:rPr>
      </w:pPr>
      <w:r>
        <w:rPr>
          <w:rFonts w:ascii="Arial" w:eastAsia="Times New Roman" w:hAnsi="Arial" w:cs="Arial"/>
          <w:color w:val="000000"/>
          <w:sz w:val="2"/>
          <w:szCs w:val="2"/>
        </w:rPr>
        <w:t> </w:t>
      </w:r>
    </w:p>
    <w:p w:rsidR="00000000" w:rsidRDefault="00131F06">
      <w:pPr>
        <w:divId w:val="1942491981"/>
        <w:rPr>
          <w:rFonts w:eastAsia="Times New Roman"/>
        </w:rPr>
      </w:pPr>
      <w:r>
        <w:rPr>
          <w:rFonts w:ascii="Arial" w:eastAsia="Times New Roman" w:hAnsi="Arial" w:cs="Arial"/>
          <w:color w:val="000000"/>
          <w:sz w:val="20"/>
          <w:szCs w:val="20"/>
        </w:rPr>
        <w:t>Liquidity risk is the risk that we will not be able to meet our financial obligations, including commitments and guarantees, as they become due. In order to mitigate this risk, we forecast cash requirements over a 12-month rolling time</w:t>
      </w:r>
      <w:r>
        <w:rPr>
          <w:rFonts w:ascii="Arial" w:eastAsia="Times New Roman" w:hAnsi="Arial" w:cs="Arial"/>
          <w:color w:val="000000"/>
          <w:sz w:val="20"/>
          <w:szCs w:val="20"/>
        </w:rPr>
        <w:t xml:space="preserve"> period to determine whether sufficient funds will be available and maintain substantial capacity under our committed bank lines of credit to address any contingencies. Our primary sources of liquidity and capital resources are funds generated from operati</w:t>
      </w:r>
      <w:r>
        <w:rPr>
          <w:rFonts w:ascii="Arial" w:eastAsia="Times New Roman" w:hAnsi="Arial" w:cs="Arial"/>
          <w:color w:val="000000"/>
          <w:sz w:val="20"/>
          <w:szCs w:val="20"/>
        </w:rPr>
        <w:t>ons, the issuance of commercial paper and draws under committed credit facilities and long-term debt, which includes debentures and medium-term notes. Our shelf prospectuses with securities regulators enable ready access to either the Canadian or US public</w:t>
      </w:r>
      <w:r>
        <w:rPr>
          <w:rFonts w:ascii="Arial" w:eastAsia="Times New Roman" w:hAnsi="Arial" w:cs="Arial"/>
          <w:color w:val="000000"/>
          <w:sz w:val="20"/>
          <w:szCs w:val="20"/>
        </w:rPr>
        <w:t xml:space="preserve"> capital markets, subject to market conditions. In addition, we maintain sufficient liquidity through committed credit facilities with a diversified group of banks and institutions which, if necessary, enables us to fund all anticipated requirements for ap</w:t>
      </w:r>
      <w:r>
        <w:rPr>
          <w:rFonts w:ascii="Arial" w:eastAsia="Times New Roman" w:hAnsi="Arial" w:cs="Arial"/>
          <w:color w:val="000000"/>
          <w:sz w:val="20"/>
          <w:szCs w:val="20"/>
        </w:rPr>
        <w:t>proximately one year without accessing the capital markets. We are in compliance with all the terms and conditions of our committed credit facility agreements and term debt indentures as at September 30, 2022. As a result, all credit facilities are availab</w:t>
      </w:r>
      <w:r>
        <w:rPr>
          <w:rFonts w:ascii="Arial" w:eastAsia="Times New Roman" w:hAnsi="Arial" w:cs="Arial"/>
          <w:color w:val="000000"/>
          <w:sz w:val="20"/>
          <w:szCs w:val="20"/>
        </w:rPr>
        <w:t>le to us and the banks are obligated to fund and have been funding us under the terms of the facilities.</w:t>
      </w:r>
    </w:p>
    <w:p w:rsidR="00000000" w:rsidRDefault="00131F06">
      <w:pPr>
        <w:divId w:val="1890603329"/>
        <w:rPr>
          <w:rFonts w:eastAsia="Times New Roman"/>
        </w:rPr>
      </w:pPr>
    </w:p>
    <w:p w:rsidR="00000000" w:rsidRDefault="00131F06">
      <w:pPr>
        <w:divId w:val="1108547129"/>
        <w:rPr>
          <w:rFonts w:eastAsia="Times New Roman"/>
        </w:rPr>
      </w:pPr>
      <w:r>
        <w:rPr>
          <w:rFonts w:ascii="Arial" w:eastAsia="Times New Roman" w:hAnsi="Arial" w:cs="Arial"/>
          <w:b/>
          <w:bCs/>
          <w:color w:val="000000"/>
          <w:sz w:val="20"/>
          <w:szCs w:val="20"/>
        </w:rPr>
        <w:t>CREDIT RISK</w:t>
      </w:r>
    </w:p>
    <w:p w:rsidR="00000000" w:rsidRDefault="00131F06">
      <w:pPr>
        <w:divId w:val="593979034"/>
        <w:rPr>
          <w:rFonts w:eastAsia="Times New Roman"/>
        </w:rPr>
      </w:pPr>
      <w:r>
        <w:rPr>
          <w:rFonts w:ascii="Arial" w:eastAsia="Times New Roman" w:hAnsi="Arial" w:cs="Arial"/>
          <w:color w:val="000000"/>
          <w:sz w:val="2"/>
          <w:szCs w:val="2"/>
        </w:rPr>
        <w:t> </w:t>
      </w:r>
    </w:p>
    <w:p w:rsidR="00000000" w:rsidRDefault="00131F06">
      <w:pPr>
        <w:divId w:val="1510949121"/>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 on its</w:t>
      </w:r>
      <w:r>
        <w:rPr>
          <w:rFonts w:ascii="Arial" w:eastAsia="Times New Roman" w:hAnsi="Arial" w:cs="Arial"/>
          <w:color w:val="000000"/>
          <w:sz w:val="20"/>
          <w:szCs w:val="20"/>
        </w:rPr>
        <w:t xml:space="preserve"> contractual obligations. In order to mitigate this risk, we enter into risk management transactions primarily with institutions that possess strong investment grade credit ratings. Credit risk relating to derivative counterparties is mitigated through mai</w:t>
      </w:r>
      <w:r>
        <w:rPr>
          <w:rFonts w:ascii="Arial" w:eastAsia="Times New Roman" w:hAnsi="Arial" w:cs="Arial"/>
          <w:color w:val="000000"/>
          <w:sz w:val="20"/>
          <w:szCs w:val="20"/>
        </w:rPr>
        <w:t>ntenance and monitoring of credit exposure limits and contractual requirements, netting arrangements and ongoing monitoring of counterparty credit exposure using external credit rating services and other analytical tools.</w:t>
      </w:r>
    </w:p>
    <w:p w:rsidR="00000000" w:rsidRDefault="00131F06">
      <w:pPr>
        <w:divId w:val="1806310311"/>
        <w:rPr>
          <w:rFonts w:eastAsia="Times New Roman"/>
        </w:rPr>
      </w:pPr>
    </w:p>
    <w:p w:rsidR="00000000" w:rsidRDefault="00131F06">
      <w:pPr>
        <w:jc w:val="center"/>
        <w:divId w:val="1565527931"/>
        <w:rPr>
          <w:rFonts w:eastAsia="Times New Roman"/>
        </w:rPr>
      </w:pPr>
      <w:r>
        <w:rPr>
          <w:rFonts w:ascii="Arial" w:eastAsia="Times New Roman" w:hAnsi="Arial" w:cs="Arial"/>
          <w:color w:val="000000"/>
          <w:sz w:val="20"/>
          <w:szCs w:val="20"/>
        </w:rPr>
        <w:t>30</w:t>
      </w:r>
    </w:p>
    <w:p w:rsidR="00000000" w:rsidRDefault="00131F06">
      <w:pPr>
        <w:rPr>
          <w:rFonts w:eastAsia="Times New Roman"/>
        </w:rPr>
      </w:pPr>
      <w:r>
        <w:rPr>
          <w:rFonts w:eastAsia="Times New Roman"/>
        </w:rPr>
        <w:pict>
          <v:rect id="_x0000_i1055" style="width:0;height:1.5pt" o:hralign="center" o:hrstd="t" o:hr="t" fillcolor="#a0a0a0" stroked="f"/>
        </w:pict>
      </w:r>
    </w:p>
    <w:p w:rsidR="00000000" w:rsidRDefault="00131F06">
      <w:pPr>
        <w:jc w:val="center"/>
        <w:divId w:val="463432732"/>
        <w:rPr>
          <w:rFonts w:eastAsia="Times New Roman"/>
        </w:rPr>
      </w:pPr>
    </w:p>
    <w:p w:rsidR="00000000" w:rsidRDefault="00131F06">
      <w:pPr>
        <w:divId w:val="333728278"/>
        <w:rPr>
          <w:rFonts w:eastAsia="Times New Roman"/>
        </w:rPr>
      </w:pPr>
      <w:r>
        <w:rPr>
          <w:rFonts w:ascii="Arial" w:eastAsia="Times New Roman" w:hAnsi="Arial" w:cs="Arial"/>
          <w:color w:val="000000"/>
          <w:sz w:val="20"/>
          <w:szCs w:val="20"/>
        </w:rPr>
        <w:t>We have credit concentrations and credit exposure, with respect to derivative instruments, in the following counterparty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680544056"/>
        </w:trPr>
        <w:tc>
          <w:tcPr>
            <w:tcW w:w="50" w:type="pct"/>
            <w:vAlign w:val="center"/>
            <w:hideMark/>
          </w:tcPr>
          <w:p w:rsidR="00000000" w:rsidRDefault="00131F06">
            <w:pPr>
              <w:rPr>
                <w:rFonts w:eastAsia="Times New Roman"/>
              </w:rPr>
            </w:pPr>
          </w:p>
        </w:tc>
        <w:tc>
          <w:tcPr>
            <w:tcW w:w="334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680544056"/>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September 30,</w:t>
            </w:r>
            <w:r>
              <w:rPr>
                <w:rFonts w:ascii="Arial" w:eastAsia="Times New Roman" w:hAnsi="Arial" w:cs="Arial"/>
                <w:b/>
                <w:bCs/>
                <w:color w:val="000000"/>
                <w:sz w:val="20"/>
                <w:szCs w:val="20"/>
              </w:rPr>
              <w:br/>
              <w:t>2022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2021</w:t>
            </w:r>
          </w:p>
        </w:tc>
      </w:tr>
      <w:tr w:rsidR="00000000">
        <w:trPr>
          <w:divId w:val="6805440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jc w:val="both"/>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680544056"/>
        </w:trPr>
        <w:tc>
          <w:tcPr>
            <w:tcW w:w="0" w:type="auto"/>
            <w:gridSpan w:val="3"/>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424 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680544056"/>
        </w:trPr>
        <w:tc>
          <w:tcPr>
            <w:tcW w:w="0" w:type="auto"/>
            <w:gridSpan w:val="3"/>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color w:val="000000"/>
                <w:sz w:val="20"/>
                <w:szCs w:val="20"/>
              </w:rPr>
              <w:t>US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130 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680544056"/>
        </w:trPr>
        <w:tc>
          <w:tcPr>
            <w:tcW w:w="0" w:type="auto"/>
            <w:gridSpan w:val="3"/>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181 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680544056"/>
        </w:trPr>
        <w:tc>
          <w:tcPr>
            <w:tcW w:w="0" w:type="auto"/>
            <w:gridSpan w:val="3"/>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680544056"/>
        </w:trPr>
        <w:tc>
          <w:tcPr>
            <w:tcW w:w="0" w:type="auto"/>
            <w:gridSpan w:val="3"/>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122 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680544056"/>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1,812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096244405"/>
        <w:rPr>
          <w:rFonts w:eastAsia="Times New Roman"/>
        </w:rPr>
      </w:pPr>
      <w:r>
        <w:rPr>
          <w:rFonts w:ascii="Arial" w:eastAsia="Times New Roman" w:hAnsi="Arial" w:cs="Arial"/>
          <w:color w:val="000000"/>
          <w:sz w:val="2"/>
          <w:szCs w:val="2"/>
        </w:rPr>
        <w:t> </w:t>
      </w:r>
    </w:p>
    <w:p w:rsidR="00000000" w:rsidRDefault="00131F06">
      <w:pPr>
        <w:ind w:hanging="180"/>
        <w:divId w:val="894238877"/>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Other is comprised of commodity clearing house and physical natural gas and crude oil counterparties.</w:t>
      </w:r>
    </w:p>
    <w:p w:rsidR="00000000" w:rsidRDefault="00131F06">
      <w:pPr>
        <w:divId w:val="7486224"/>
        <w:rPr>
          <w:rFonts w:eastAsia="Times New Roman"/>
        </w:rPr>
      </w:pPr>
    </w:p>
    <w:p w:rsidR="00000000" w:rsidRDefault="00131F06">
      <w:pPr>
        <w:divId w:val="1897743053"/>
        <w:rPr>
          <w:rFonts w:eastAsia="Times New Roman"/>
        </w:rPr>
      </w:pPr>
      <w:r>
        <w:rPr>
          <w:rFonts w:ascii="Arial" w:eastAsia="Times New Roman" w:hAnsi="Arial" w:cs="Arial"/>
          <w:color w:val="000000"/>
          <w:sz w:val="20"/>
          <w:szCs w:val="20"/>
        </w:rPr>
        <w:t>As at September 30, 2022, we did not provide any letters of credit in lieu of providing cash collateral to our counterparties pursuant to the terms of t</w:t>
      </w:r>
      <w:r>
        <w:rPr>
          <w:rFonts w:ascii="Arial" w:eastAsia="Times New Roman" w:hAnsi="Arial" w:cs="Arial"/>
          <w:color w:val="000000"/>
          <w:sz w:val="20"/>
          <w:szCs w:val="20"/>
        </w:rPr>
        <w:t>he relevant ISDA agreements. We held no cash collateral on derivative asset exposures as at September 30, 2022 and December 31, 2021.</w:t>
      </w:r>
    </w:p>
    <w:p w:rsidR="00000000" w:rsidRDefault="00131F06">
      <w:pPr>
        <w:divId w:val="1244679384"/>
        <w:rPr>
          <w:rFonts w:eastAsia="Times New Roman"/>
        </w:rPr>
      </w:pPr>
    </w:p>
    <w:p w:rsidR="00000000" w:rsidRDefault="00131F06">
      <w:pPr>
        <w:divId w:val="198321194"/>
        <w:rPr>
          <w:rFonts w:eastAsia="Times New Roman"/>
        </w:rPr>
      </w:pPr>
      <w:r>
        <w:rPr>
          <w:rFonts w:ascii="Arial" w:eastAsia="Times New Roman" w:hAnsi="Arial" w:cs="Arial"/>
          <w:color w:val="000000"/>
          <w:sz w:val="20"/>
          <w:szCs w:val="20"/>
        </w:rPr>
        <w:t>Gross derivative balances have been presented without the effects of collateral posted. Derivative assets are adjusted f</w:t>
      </w:r>
      <w:r>
        <w:rPr>
          <w:rFonts w:ascii="Arial" w:eastAsia="Times New Roman" w:hAnsi="Arial" w:cs="Arial"/>
          <w:color w:val="000000"/>
          <w:sz w:val="20"/>
          <w:szCs w:val="20"/>
        </w:rPr>
        <w:t>or non-performance risk of our counterparties using their credit default swap spread rates, and are reflected at fair value. For derivative liabilities, our non-performance risk is considered in the valuation.</w:t>
      </w:r>
    </w:p>
    <w:p w:rsidR="00000000" w:rsidRDefault="00131F06">
      <w:pPr>
        <w:divId w:val="1863589448"/>
        <w:rPr>
          <w:rFonts w:eastAsia="Times New Roman"/>
        </w:rPr>
      </w:pPr>
    </w:p>
    <w:p w:rsidR="00000000" w:rsidRDefault="00131F06">
      <w:pPr>
        <w:divId w:val="1034227986"/>
        <w:rPr>
          <w:rFonts w:eastAsia="Times New Roman"/>
        </w:rPr>
      </w:pPr>
      <w:r>
        <w:rPr>
          <w:rFonts w:ascii="Arial" w:eastAsia="Times New Roman" w:hAnsi="Arial" w:cs="Arial"/>
          <w:color w:val="000000"/>
          <w:sz w:val="20"/>
          <w:szCs w:val="20"/>
        </w:rPr>
        <w:t>Credit risk also arises from trade and other</w:t>
      </w:r>
      <w:r>
        <w:rPr>
          <w:rFonts w:ascii="Arial" w:eastAsia="Times New Roman" w:hAnsi="Arial" w:cs="Arial"/>
          <w:color w:val="000000"/>
          <w:sz w:val="20"/>
          <w:szCs w:val="20"/>
        </w:rPr>
        <w:t xml:space="preserve"> long-term receivables, and is mitigated through credit exposure limits and contractual requirements, assessment of credit ratings and netting arrangements. Within Enbridge Gas Inc., credit risk is mitigated by the utility's large and diversified customer </w:t>
      </w:r>
      <w:r>
        <w:rPr>
          <w:rFonts w:ascii="Arial" w:eastAsia="Times New Roman" w:hAnsi="Arial" w:cs="Arial"/>
          <w:color w:val="000000"/>
          <w:sz w:val="20"/>
          <w:szCs w:val="20"/>
        </w:rPr>
        <w:t xml:space="preserve">base and the ability to recover an estimate for expected credit losses through the ratemaking process. We actively monitor the financial strength of large industrial customers, and in select cases, have obtained additional security to minimize the risk of </w:t>
      </w:r>
      <w:r>
        <w:rPr>
          <w:rFonts w:ascii="Arial" w:eastAsia="Times New Roman" w:hAnsi="Arial" w:cs="Arial"/>
          <w:color w:val="000000"/>
          <w:sz w:val="20"/>
          <w:szCs w:val="20"/>
        </w:rPr>
        <w:t xml:space="preserve">default on receivables. Generally, we utilize a loss allowance matrix which contemplates historical credit losses by age of receivables, adjusted for any forward-looking information and management expectations to measure lifetime expected credit losses of </w:t>
      </w:r>
      <w:r>
        <w:rPr>
          <w:rFonts w:ascii="Arial" w:eastAsia="Times New Roman" w:hAnsi="Arial" w:cs="Arial"/>
          <w:color w:val="000000"/>
          <w:sz w:val="20"/>
          <w:szCs w:val="20"/>
        </w:rPr>
        <w:t>receivables. The maximum exposure to credit risk related to non-derivative financial assets is their carrying value.</w:t>
      </w:r>
    </w:p>
    <w:p w:rsidR="00000000" w:rsidRDefault="00131F06">
      <w:pPr>
        <w:divId w:val="1998916840"/>
        <w:rPr>
          <w:rFonts w:eastAsia="Times New Roman"/>
        </w:rPr>
      </w:pPr>
    </w:p>
    <w:p w:rsidR="00000000" w:rsidRDefault="00131F06">
      <w:pPr>
        <w:divId w:val="504713360"/>
        <w:rPr>
          <w:rFonts w:eastAsia="Times New Roman"/>
        </w:rPr>
      </w:pPr>
      <w:r>
        <w:rPr>
          <w:rFonts w:ascii="Arial" w:eastAsia="Times New Roman" w:hAnsi="Arial" w:cs="Arial"/>
          <w:b/>
          <w:bCs/>
          <w:color w:val="000000"/>
          <w:sz w:val="20"/>
          <w:szCs w:val="20"/>
        </w:rPr>
        <w:t>FAIR VALUE MEASUREMENTS</w:t>
      </w:r>
    </w:p>
    <w:p w:rsidR="00000000" w:rsidRDefault="00131F06">
      <w:pPr>
        <w:divId w:val="1051077990"/>
        <w:rPr>
          <w:rFonts w:eastAsia="Times New Roman"/>
        </w:rPr>
      </w:pPr>
      <w:r>
        <w:rPr>
          <w:rFonts w:ascii="Arial" w:eastAsia="Times New Roman" w:hAnsi="Arial" w:cs="Arial"/>
          <w:color w:val="000000"/>
          <w:sz w:val="20"/>
          <w:szCs w:val="20"/>
        </w:rPr>
        <w:t>Our financial assets and liabilities measured at fair value on a recurring basis include derivative and other fin</w:t>
      </w:r>
      <w:r>
        <w:rPr>
          <w:rFonts w:ascii="Arial" w:eastAsia="Times New Roman" w:hAnsi="Arial" w:cs="Arial"/>
          <w:color w:val="000000"/>
          <w:sz w:val="20"/>
          <w:szCs w:val="20"/>
        </w:rPr>
        <w:t>ancial instruments. We also disclose the fair value of other financial instruments not measured at fair value. The fair value of financial instruments reflects our best estimates of market value based on generally accepted valuation techniques or models an</w:t>
      </w:r>
      <w:r>
        <w:rPr>
          <w:rFonts w:ascii="Arial" w:eastAsia="Times New Roman" w:hAnsi="Arial" w:cs="Arial"/>
          <w:color w:val="000000"/>
          <w:sz w:val="20"/>
          <w:szCs w:val="20"/>
        </w:rPr>
        <w:t>d is supported by observable market prices and rates. When such values are not available, we use discounted cash flow analysis from applicable yield curves based on observable market inputs to estimate fair value.</w:t>
      </w:r>
    </w:p>
    <w:p w:rsidR="00000000" w:rsidRDefault="00131F06">
      <w:pPr>
        <w:divId w:val="1178617309"/>
        <w:rPr>
          <w:rFonts w:eastAsia="Times New Roman"/>
        </w:rPr>
      </w:pPr>
    </w:p>
    <w:p w:rsidR="00000000" w:rsidRDefault="00131F06">
      <w:pPr>
        <w:divId w:val="1162115903"/>
        <w:rPr>
          <w:rFonts w:eastAsia="Times New Roman"/>
        </w:rPr>
      </w:pPr>
      <w:r>
        <w:rPr>
          <w:rFonts w:ascii="Arial" w:eastAsia="Times New Roman" w:hAnsi="Arial" w:cs="Arial"/>
          <w:b/>
          <w:bCs/>
          <w:color w:val="000000"/>
          <w:sz w:val="20"/>
          <w:szCs w:val="20"/>
        </w:rPr>
        <w:t>FAIR VALUE OF FINANCIAL INSTRUMENTS</w:t>
      </w:r>
    </w:p>
    <w:p w:rsidR="00000000" w:rsidRDefault="00131F06">
      <w:pPr>
        <w:divId w:val="1524780767"/>
        <w:rPr>
          <w:rFonts w:eastAsia="Times New Roman"/>
        </w:rPr>
      </w:pPr>
      <w:r>
        <w:rPr>
          <w:rFonts w:ascii="Arial" w:eastAsia="Times New Roman" w:hAnsi="Arial" w:cs="Arial"/>
          <w:color w:val="000000"/>
          <w:sz w:val="20"/>
          <w:szCs w:val="20"/>
        </w:rPr>
        <w:t>We categorize our financial instruments measured at fair value into one of three different levels depending on the observability of the inputs employed in the measurement.</w:t>
      </w:r>
    </w:p>
    <w:p w:rsidR="00000000" w:rsidRDefault="00131F06">
      <w:pPr>
        <w:divId w:val="1426415484"/>
        <w:rPr>
          <w:rFonts w:eastAsia="Times New Roman"/>
        </w:rPr>
      </w:pPr>
    </w:p>
    <w:p w:rsidR="00000000" w:rsidRDefault="00131F06">
      <w:pPr>
        <w:divId w:val="924804055"/>
        <w:rPr>
          <w:rFonts w:eastAsia="Times New Roman"/>
        </w:rPr>
      </w:pPr>
      <w:r>
        <w:rPr>
          <w:rFonts w:ascii="Arial" w:eastAsia="Times New Roman" w:hAnsi="Arial" w:cs="Arial"/>
          <w:b/>
          <w:bCs/>
          <w:color w:val="000000"/>
          <w:sz w:val="20"/>
          <w:szCs w:val="20"/>
        </w:rPr>
        <w:t>Level 1</w:t>
      </w:r>
    </w:p>
    <w:p w:rsidR="00000000" w:rsidRDefault="00131F06">
      <w:pPr>
        <w:divId w:val="1172909518"/>
        <w:rPr>
          <w:rFonts w:eastAsia="Times New Roman"/>
        </w:rPr>
      </w:pPr>
      <w:r>
        <w:rPr>
          <w:rFonts w:ascii="Arial" w:eastAsia="Times New Roman" w:hAnsi="Arial" w:cs="Arial"/>
          <w:color w:val="000000"/>
          <w:sz w:val="20"/>
          <w:szCs w:val="20"/>
        </w:rPr>
        <w:t>Level 1 includes financial instruments</w:t>
      </w:r>
      <w:r>
        <w:rPr>
          <w:rFonts w:ascii="Arial" w:eastAsia="Times New Roman" w:hAnsi="Arial" w:cs="Arial"/>
          <w:color w:val="000000"/>
          <w:sz w:val="20"/>
          <w:szCs w:val="20"/>
        </w:rPr>
        <w:t xml:space="preserve"> measured at fair value based on unadjusted quoted prices for identical assets and liabilities in active markets that are accessible at the measurement date. An active market for a financial instrument is considered to be a market where transactions occur </w:t>
      </w:r>
      <w:r>
        <w:rPr>
          <w:rFonts w:ascii="Arial" w:eastAsia="Times New Roman" w:hAnsi="Arial" w:cs="Arial"/>
          <w:color w:val="000000"/>
          <w:sz w:val="20"/>
          <w:szCs w:val="20"/>
        </w:rPr>
        <w:t>with sufficient frequency and volume to provide pricing information on an ongoing basis. Our Level 1 instruments consist primarily of exchange-traded derivatives used to mitigate the risk of crude oil price fluctuations, US and Canadian treasury bills, inv</w:t>
      </w:r>
      <w:r>
        <w:rPr>
          <w:rFonts w:ascii="Arial" w:eastAsia="Times New Roman" w:hAnsi="Arial" w:cs="Arial"/>
          <w:color w:val="000000"/>
          <w:sz w:val="20"/>
          <w:szCs w:val="20"/>
        </w:rPr>
        <w:t>estments in exchange-traded equity funds held by our captive insurance subsidiaries, as well as restricted long-term investments in Canadian equity securities that are held in trust in accordance with the CER's regulatory requirements under the Land Matter</w:t>
      </w:r>
      <w:r>
        <w:rPr>
          <w:rFonts w:ascii="Arial" w:eastAsia="Times New Roman" w:hAnsi="Arial" w:cs="Arial"/>
          <w:color w:val="000000"/>
          <w:sz w:val="20"/>
          <w:szCs w:val="20"/>
        </w:rPr>
        <w:t>s Consultation Initiative (LMCI).</w:t>
      </w:r>
    </w:p>
    <w:p w:rsidR="00000000" w:rsidRDefault="00131F06">
      <w:pPr>
        <w:jc w:val="center"/>
        <w:divId w:val="1619094820"/>
        <w:rPr>
          <w:rFonts w:eastAsia="Times New Roman"/>
        </w:rPr>
      </w:pPr>
      <w:r>
        <w:rPr>
          <w:rFonts w:ascii="Arial" w:eastAsia="Times New Roman" w:hAnsi="Arial" w:cs="Arial"/>
          <w:color w:val="000000"/>
          <w:sz w:val="20"/>
          <w:szCs w:val="20"/>
        </w:rPr>
        <w:t>31</w:t>
      </w:r>
    </w:p>
    <w:p w:rsidR="00000000" w:rsidRDefault="00131F06">
      <w:pPr>
        <w:rPr>
          <w:rFonts w:eastAsia="Times New Roman"/>
        </w:rPr>
      </w:pPr>
      <w:r>
        <w:rPr>
          <w:rFonts w:eastAsia="Times New Roman"/>
        </w:rPr>
        <w:pict>
          <v:rect id="_x0000_i1056" style="width:0;height:1.5pt" o:hralign="center" o:hrstd="t" o:hr="t" fillcolor="#a0a0a0" stroked="f"/>
        </w:pict>
      </w:r>
    </w:p>
    <w:p w:rsidR="00000000" w:rsidRDefault="00131F06">
      <w:pPr>
        <w:jc w:val="center"/>
        <w:divId w:val="323555656"/>
        <w:rPr>
          <w:rFonts w:eastAsia="Times New Roman"/>
        </w:rPr>
      </w:pPr>
    </w:p>
    <w:p w:rsidR="00000000" w:rsidRDefault="00131F06">
      <w:pPr>
        <w:divId w:val="45642447"/>
        <w:rPr>
          <w:rFonts w:eastAsia="Times New Roman"/>
        </w:rPr>
      </w:pPr>
      <w:r>
        <w:rPr>
          <w:rFonts w:ascii="Arial" w:eastAsia="Times New Roman" w:hAnsi="Arial" w:cs="Arial"/>
          <w:b/>
          <w:bCs/>
          <w:color w:val="000000"/>
          <w:sz w:val="20"/>
          <w:szCs w:val="20"/>
        </w:rPr>
        <w:t>Level 2</w:t>
      </w:r>
    </w:p>
    <w:p w:rsidR="00000000" w:rsidRDefault="00131F06">
      <w:pPr>
        <w:divId w:val="215896407"/>
        <w:rPr>
          <w:rFonts w:eastAsia="Times New Roman"/>
        </w:rPr>
      </w:pPr>
      <w:r>
        <w:rPr>
          <w:rFonts w:ascii="Arial" w:eastAsia="Times New Roman" w:hAnsi="Arial" w:cs="Arial"/>
          <w:color w:val="000000"/>
          <w:sz w:val="20"/>
          <w:szCs w:val="20"/>
        </w:rPr>
        <w:t>Level 2 includes financial instrument valuations determined using directly or indirectly observable inputs other than quoted prices included within Level 1. Financial instr</w:t>
      </w:r>
      <w:r>
        <w:rPr>
          <w:rFonts w:ascii="Arial" w:eastAsia="Times New Roman" w:hAnsi="Arial" w:cs="Arial"/>
          <w:color w:val="000000"/>
          <w:sz w:val="20"/>
          <w:szCs w:val="20"/>
        </w:rPr>
        <w:t>uments in this category are valued using models or other industry standard valuation techniques derived from observable market data. Such valuation techniques include inputs such as quoted forward prices, time value, volatility factors and broker quotes th</w:t>
      </w:r>
      <w:r>
        <w:rPr>
          <w:rFonts w:ascii="Arial" w:eastAsia="Times New Roman" w:hAnsi="Arial" w:cs="Arial"/>
          <w:color w:val="000000"/>
          <w:sz w:val="20"/>
          <w:szCs w:val="20"/>
        </w:rPr>
        <w:t xml:space="preserve">at can be observed or corroborated in the market for the entire duration of the financial instrument. Derivatives valued using Level 2 inputs include non-exchange traded derivatives such as over-the-counter foreign exchange forward and cross currency swap </w:t>
      </w:r>
      <w:r>
        <w:rPr>
          <w:rFonts w:ascii="Arial" w:eastAsia="Times New Roman" w:hAnsi="Arial" w:cs="Arial"/>
          <w:color w:val="000000"/>
          <w:sz w:val="20"/>
          <w:szCs w:val="20"/>
        </w:rPr>
        <w:t>contracts, interest rate swaps, physical forward commodity contracts, as well as commodity swaps and options for which observable inputs can be obtained.</w:t>
      </w:r>
    </w:p>
    <w:p w:rsidR="00000000" w:rsidRDefault="00131F06">
      <w:pPr>
        <w:divId w:val="577787012"/>
        <w:rPr>
          <w:rFonts w:eastAsia="Times New Roman"/>
        </w:rPr>
      </w:pPr>
    </w:p>
    <w:p w:rsidR="00000000" w:rsidRDefault="00131F06">
      <w:pPr>
        <w:divId w:val="1784155548"/>
        <w:rPr>
          <w:rFonts w:eastAsia="Times New Roman"/>
        </w:rPr>
      </w:pPr>
      <w:r>
        <w:rPr>
          <w:rFonts w:ascii="Arial" w:eastAsia="Times New Roman" w:hAnsi="Arial" w:cs="Arial"/>
          <w:color w:val="000000"/>
          <w:sz w:val="20"/>
          <w:szCs w:val="20"/>
        </w:rPr>
        <w:t>We have also categorized the fair value of our long-term debt, investments in debt securities held b</w:t>
      </w:r>
      <w:r>
        <w:rPr>
          <w:rFonts w:ascii="Arial" w:eastAsia="Times New Roman" w:hAnsi="Arial" w:cs="Arial"/>
          <w:color w:val="000000"/>
          <w:sz w:val="20"/>
          <w:szCs w:val="20"/>
        </w:rPr>
        <w:t>y our captive insurance subsidiaries, and restricted long-term investments in Canadian government bonds held in trust in accordance with the CER's regulatory requirements under the LMCI as Level 2. The fair value of our available-for-sale preferred share i</w:t>
      </w:r>
      <w:r>
        <w:rPr>
          <w:rFonts w:ascii="Arial" w:eastAsia="Times New Roman" w:hAnsi="Arial" w:cs="Arial"/>
          <w:color w:val="000000"/>
          <w:sz w:val="20"/>
          <w:szCs w:val="20"/>
        </w:rPr>
        <w:t>nvestment is based on the redemption value, which equals the face value plus accrued and unpaid interest periodically reset based on market interest rates. The fair value of our long-term debt is based on quoted market prices for instruments of similar yie</w:t>
      </w:r>
      <w:r>
        <w:rPr>
          <w:rFonts w:ascii="Arial" w:eastAsia="Times New Roman" w:hAnsi="Arial" w:cs="Arial"/>
          <w:color w:val="000000"/>
          <w:sz w:val="20"/>
          <w:szCs w:val="20"/>
        </w:rPr>
        <w:t>ld, credit risk and tenor. When possible, the fair value of our restricted long-term investments is based on quoted market prices for similar instruments and, if not available, based on broker quotes.</w:t>
      </w:r>
    </w:p>
    <w:p w:rsidR="00000000" w:rsidRDefault="00131F06">
      <w:pPr>
        <w:divId w:val="952639335"/>
        <w:rPr>
          <w:rFonts w:eastAsia="Times New Roman"/>
        </w:rPr>
      </w:pPr>
    </w:p>
    <w:p w:rsidR="00000000" w:rsidRDefault="00131F06">
      <w:pPr>
        <w:divId w:val="1205021896"/>
        <w:rPr>
          <w:rFonts w:eastAsia="Times New Roman"/>
        </w:rPr>
      </w:pPr>
      <w:r>
        <w:rPr>
          <w:rFonts w:ascii="Arial" w:eastAsia="Times New Roman" w:hAnsi="Arial" w:cs="Arial"/>
          <w:b/>
          <w:bCs/>
          <w:color w:val="000000"/>
          <w:sz w:val="20"/>
          <w:szCs w:val="20"/>
        </w:rPr>
        <w:t>Level 3</w:t>
      </w:r>
    </w:p>
    <w:p w:rsidR="00000000" w:rsidRDefault="00131F06">
      <w:pPr>
        <w:divId w:val="2087876268"/>
        <w:rPr>
          <w:rFonts w:eastAsia="Times New Roman"/>
        </w:rPr>
      </w:pPr>
      <w:r>
        <w:rPr>
          <w:rFonts w:ascii="Arial" w:eastAsia="Times New Roman" w:hAnsi="Arial" w:cs="Arial"/>
          <w:color w:val="000000"/>
          <w:sz w:val="20"/>
          <w:szCs w:val="20"/>
        </w:rPr>
        <w:t xml:space="preserve">Level 3 includes derivative valuations based on inputs which are less observable, unavailable or where the observable data does not support a significant portion of the derivative’s fair value. Generally, Level 3 derivatives are longer dated transactions, </w:t>
      </w:r>
      <w:r>
        <w:rPr>
          <w:rFonts w:ascii="Arial" w:eastAsia="Times New Roman" w:hAnsi="Arial" w:cs="Arial"/>
          <w:color w:val="000000"/>
          <w:sz w:val="20"/>
          <w:szCs w:val="20"/>
        </w:rPr>
        <w:t xml:space="preserve">occur in less active markets, occur at locations where pricing information is not available or have no binding broker quote to support Level 2 classification. We have developed methodologies, benchmarked against industry standards, to determine fair value </w:t>
      </w:r>
      <w:r>
        <w:rPr>
          <w:rFonts w:ascii="Arial" w:eastAsia="Times New Roman" w:hAnsi="Arial" w:cs="Arial"/>
          <w:color w:val="000000"/>
          <w:sz w:val="20"/>
          <w:szCs w:val="20"/>
        </w:rPr>
        <w:t>for these derivatives based on extrapolation of observable future prices and rates. Derivatives valued using Level 3 inputs primarily include long-dated derivative power, NGL and natural gas contracts, basis swaps, commodity swaps, and power and energy swa</w:t>
      </w:r>
      <w:r>
        <w:rPr>
          <w:rFonts w:ascii="Arial" w:eastAsia="Times New Roman" w:hAnsi="Arial" w:cs="Arial"/>
          <w:color w:val="000000"/>
          <w:sz w:val="20"/>
          <w:szCs w:val="20"/>
        </w:rPr>
        <w:t>ps, as well as physical forward commodity contracts. We do not have any other financial instruments categorized in Level 3.</w:t>
      </w:r>
    </w:p>
    <w:p w:rsidR="00000000" w:rsidRDefault="00131F06">
      <w:pPr>
        <w:divId w:val="1228102769"/>
        <w:rPr>
          <w:rFonts w:eastAsia="Times New Roman"/>
        </w:rPr>
      </w:pPr>
    </w:p>
    <w:p w:rsidR="00000000" w:rsidRDefault="00131F06">
      <w:pPr>
        <w:divId w:val="108816504"/>
        <w:rPr>
          <w:rFonts w:eastAsia="Times New Roman"/>
        </w:rPr>
      </w:pPr>
      <w:r>
        <w:rPr>
          <w:rFonts w:ascii="Arial" w:eastAsia="Times New Roman" w:hAnsi="Arial" w:cs="Arial"/>
          <w:color w:val="000000"/>
          <w:sz w:val="20"/>
          <w:szCs w:val="20"/>
        </w:rPr>
        <w:t>We use the most observable inputs available to estimate the fair value of our derivatives. When possible, we estimate the fair val</w:t>
      </w:r>
      <w:r>
        <w:rPr>
          <w:rFonts w:ascii="Arial" w:eastAsia="Times New Roman" w:hAnsi="Arial" w:cs="Arial"/>
          <w:color w:val="000000"/>
          <w:sz w:val="20"/>
          <w:szCs w:val="20"/>
        </w:rPr>
        <w:t>ue of our derivatives based on quoted market prices. If quoted market prices are not available, we use estimates from third party brokers. For non-exchange traded derivatives classified in Levels 2 and 3, we use standard valuation techniques to calculate t</w:t>
      </w:r>
      <w:r>
        <w:rPr>
          <w:rFonts w:ascii="Arial" w:eastAsia="Times New Roman" w:hAnsi="Arial" w:cs="Arial"/>
          <w:color w:val="000000"/>
          <w:sz w:val="20"/>
          <w:szCs w:val="20"/>
        </w:rPr>
        <w:t>he estimated fair value. These methods include discounted cash flows for forwards and swaps and Black-Scholes-Merton pricing models for options. Depending on the type of derivative and nature of the underlying risk, we use observable market prices (interes</w:t>
      </w:r>
      <w:r>
        <w:rPr>
          <w:rFonts w:ascii="Arial" w:eastAsia="Times New Roman" w:hAnsi="Arial" w:cs="Arial"/>
          <w:color w:val="000000"/>
          <w:sz w:val="20"/>
          <w:szCs w:val="20"/>
        </w:rPr>
        <w:t>t, foreign exchange, commodity and share price) and volatility as primary inputs to these valuation techniques. Finally, we consider our own credit default swap spread as well as the credit default swap spreads associated with our counterparties in our est</w:t>
      </w:r>
      <w:r>
        <w:rPr>
          <w:rFonts w:ascii="Arial" w:eastAsia="Times New Roman" w:hAnsi="Arial" w:cs="Arial"/>
          <w:color w:val="000000"/>
          <w:sz w:val="20"/>
          <w:szCs w:val="20"/>
        </w:rPr>
        <w:t>imation of fair value.</w:t>
      </w:r>
    </w:p>
    <w:p w:rsidR="00000000" w:rsidRDefault="00131F06">
      <w:pPr>
        <w:divId w:val="1875387160"/>
        <w:rPr>
          <w:rFonts w:eastAsia="Times New Roman"/>
        </w:rPr>
      </w:pPr>
    </w:p>
    <w:p w:rsidR="00000000" w:rsidRDefault="00131F06">
      <w:pPr>
        <w:jc w:val="center"/>
        <w:divId w:val="1681548055"/>
        <w:rPr>
          <w:rFonts w:eastAsia="Times New Roman"/>
        </w:rPr>
      </w:pPr>
      <w:r>
        <w:rPr>
          <w:rFonts w:ascii="Arial" w:eastAsia="Times New Roman" w:hAnsi="Arial" w:cs="Arial"/>
          <w:color w:val="000000"/>
          <w:sz w:val="20"/>
          <w:szCs w:val="20"/>
        </w:rPr>
        <w:t>32</w:t>
      </w:r>
    </w:p>
    <w:p w:rsidR="00000000" w:rsidRDefault="00131F06">
      <w:pPr>
        <w:rPr>
          <w:rFonts w:eastAsia="Times New Roman"/>
        </w:rPr>
      </w:pPr>
      <w:r>
        <w:rPr>
          <w:rFonts w:eastAsia="Times New Roman"/>
        </w:rPr>
        <w:pict>
          <v:rect id="_x0000_i1057" style="width:0;height:1.5pt" o:hralign="center" o:hrstd="t" o:hr="t" fillcolor="#a0a0a0" stroked="f"/>
        </w:pict>
      </w:r>
    </w:p>
    <w:p w:rsidR="00000000" w:rsidRDefault="00131F06">
      <w:pPr>
        <w:jc w:val="center"/>
        <w:divId w:val="2514895"/>
        <w:rPr>
          <w:rFonts w:eastAsia="Times New Roman"/>
        </w:rPr>
      </w:pPr>
    </w:p>
    <w:p w:rsidR="00000000" w:rsidRDefault="00131F06">
      <w:pPr>
        <w:divId w:val="834881890"/>
        <w:rPr>
          <w:rFonts w:eastAsia="Times New Roman"/>
        </w:rPr>
      </w:pPr>
      <w:r>
        <w:rPr>
          <w:rFonts w:ascii="Arial" w:eastAsia="Times New Roman" w:hAnsi="Arial" w:cs="Arial"/>
          <w:color w:val="000000"/>
          <w:sz w:val="20"/>
          <w:szCs w:val="20"/>
        </w:rPr>
        <w:t>We have categorized our derivative assets and liabilities measured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3985"/>
        <w:gridCol w:w="39"/>
        <w:gridCol w:w="61"/>
        <w:gridCol w:w="938"/>
        <w:gridCol w:w="36"/>
        <w:gridCol w:w="61"/>
        <w:gridCol w:w="939"/>
        <w:gridCol w:w="36"/>
        <w:gridCol w:w="62"/>
        <w:gridCol w:w="939"/>
        <w:gridCol w:w="36"/>
        <w:gridCol w:w="86"/>
        <w:gridCol w:w="991"/>
        <w:gridCol w:w="36"/>
      </w:tblGrid>
      <w:tr w:rsidR="00000000">
        <w:trPr>
          <w:divId w:val="1448236509"/>
        </w:trPr>
        <w:tc>
          <w:tcPr>
            <w:tcW w:w="50" w:type="pct"/>
            <w:vAlign w:val="center"/>
            <w:hideMark/>
          </w:tcPr>
          <w:p w:rsidR="00000000" w:rsidRDefault="00131F06">
            <w:pPr>
              <w:rPr>
                <w:rFonts w:eastAsia="Times New Roman"/>
              </w:rPr>
            </w:pPr>
          </w:p>
        </w:tc>
        <w:tc>
          <w:tcPr>
            <w:tcW w:w="241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448236509"/>
        </w:trPr>
        <w:tc>
          <w:tcPr>
            <w:tcW w:w="0" w:type="auto"/>
            <w:gridSpan w:val="3"/>
            <w:tcMar>
              <w:top w:w="30" w:type="dxa"/>
              <w:left w:w="20" w:type="dxa"/>
              <w:bottom w:w="30" w:type="dxa"/>
              <w:right w:w="20" w:type="dxa"/>
            </w:tcMar>
            <w:vAlign w:val="bottom"/>
            <w:hideMark/>
          </w:tcPr>
          <w:p w:rsidR="00000000" w:rsidRDefault="00131F06">
            <w:pPr>
              <w:spacing w:after="100"/>
              <w:jc w:val="both"/>
              <w:rPr>
                <w:rFonts w:eastAsia="Times New Roman"/>
              </w:rPr>
            </w:pPr>
            <w:r>
              <w:rPr>
                <w:rFonts w:ascii="Arial" w:eastAsia="Times New Roman" w:hAnsi="Arial" w:cs="Arial"/>
                <w:b/>
                <w:bCs/>
                <w:color w:val="000000"/>
                <w:sz w:val="20"/>
                <w:szCs w:val="20"/>
              </w:rPr>
              <w:t>September 30, 2022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r>
            <w:r>
              <w:rPr>
                <w:rFonts w:ascii="Arial" w:eastAsia="Times New Roman" w:hAnsi="Arial" w:cs="Arial"/>
                <w:color w:val="000000"/>
                <w:sz w:val="20"/>
                <w:szCs w:val="20"/>
              </w:rPr>
              <w:t>Derivative</w:t>
            </w:r>
            <w:r>
              <w:rPr>
                <w:rFonts w:ascii="Arial" w:eastAsia="Times New Roman" w:hAnsi="Arial" w:cs="Arial"/>
                <w:color w:val="000000"/>
                <w:sz w:val="20"/>
                <w:szCs w:val="20"/>
              </w:rPr>
              <w:br/>
              <w:t>Instruments</w:t>
            </w:r>
          </w:p>
        </w:tc>
      </w:tr>
      <w:tr w:rsidR="00000000">
        <w:trPr>
          <w:divId w:val="144823650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448236509"/>
        </w:trPr>
        <w:tc>
          <w:tcPr>
            <w:tcW w:w="0" w:type="auto"/>
            <w:gridSpan w:val="3"/>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Financial assets</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44823650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Current derivative assets</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341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152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613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1,175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1,217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44823650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Current derivative liabilities</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(730)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(730)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(56)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(188)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(412)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b/>
                <w:bCs/>
                <w:color w:val="000000"/>
                <w:sz w:val="20"/>
                <w:szCs w:val="20"/>
              </w:rPr>
              <w:t>56)</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(935)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(1,159)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(1,429)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(1,429)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(49)</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divId w:val="1673950275"/>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(1,482)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(1,605)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44823650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(1,774)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(1,774)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(97)</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44823650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(901)</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(934)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jc w:val="center"/>
        <w:divId w:val="689911903"/>
        <w:rPr>
          <w:rFonts w:eastAsia="Times New Roman"/>
        </w:rPr>
      </w:pPr>
      <w:r>
        <w:rPr>
          <w:rFonts w:ascii="Arial" w:eastAsia="Times New Roman" w:hAnsi="Arial" w:cs="Arial"/>
          <w:color w:val="000000"/>
          <w:sz w:val="20"/>
          <w:szCs w:val="20"/>
        </w:rPr>
        <w:t>33</w:t>
      </w:r>
    </w:p>
    <w:p w:rsidR="00000000" w:rsidRDefault="00131F06">
      <w:pPr>
        <w:rPr>
          <w:rFonts w:eastAsia="Times New Roman"/>
        </w:rPr>
      </w:pPr>
      <w:r>
        <w:rPr>
          <w:rFonts w:eastAsia="Times New Roman"/>
        </w:rPr>
        <w:pict>
          <v:rect id="_x0000_i1058" style="width:0;height:1.5pt" o:hralign="center" o:hrstd="t" o:hr="t" fillcolor="#a0a0a0" stroked="f"/>
        </w:pict>
      </w:r>
    </w:p>
    <w:p w:rsidR="00000000" w:rsidRDefault="00131F06">
      <w:pPr>
        <w:jc w:val="center"/>
        <w:divId w:val="125085199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3985"/>
        <w:gridCol w:w="39"/>
        <w:gridCol w:w="61"/>
        <w:gridCol w:w="938"/>
        <w:gridCol w:w="36"/>
        <w:gridCol w:w="61"/>
        <w:gridCol w:w="939"/>
        <w:gridCol w:w="36"/>
        <w:gridCol w:w="62"/>
        <w:gridCol w:w="939"/>
        <w:gridCol w:w="36"/>
        <w:gridCol w:w="86"/>
        <w:gridCol w:w="991"/>
        <w:gridCol w:w="36"/>
      </w:tblGrid>
      <w:tr w:rsidR="00000000">
        <w:trPr>
          <w:divId w:val="441531739"/>
        </w:trPr>
        <w:tc>
          <w:tcPr>
            <w:tcW w:w="50" w:type="pct"/>
            <w:vAlign w:val="center"/>
            <w:hideMark/>
          </w:tcPr>
          <w:p w:rsidR="00000000" w:rsidRDefault="00131F06">
            <w:pPr>
              <w:jc w:val="center"/>
              <w:rPr>
                <w:rFonts w:eastAsia="Times New Roman"/>
              </w:rPr>
            </w:pPr>
          </w:p>
        </w:tc>
        <w:tc>
          <w:tcPr>
            <w:tcW w:w="241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441531739"/>
        </w:trPr>
        <w:tc>
          <w:tcPr>
            <w:tcW w:w="0" w:type="auto"/>
            <w:gridSpan w:val="3"/>
            <w:tcMar>
              <w:top w:w="30" w:type="dxa"/>
              <w:left w:w="20" w:type="dxa"/>
              <w:bottom w:w="30" w:type="dxa"/>
              <w:right w:w="20" w:type="dxa"/>
            </w:tcMar>
            <w:vAlign w:val="bottom"/>
            <w:hideMark/>
          </w:tcPr>
          <w:p w:rsidR="00000000" w:rsidRDefault="00131F06">
            <w:pPr>
              <w:spacing w:after="100"/>
              <w:jc w:val="both"/>
              <w:rPr>
                <w:rFonts w:eastAsia="Times New Roman"/>
              </w:rPr>
            </w:pPr>
            <w:r>
              <w:rPr>
                <w:rFonts w:ascii="Arial" w:eastAsia="Times New Roman" w:hAnsi="Arial" w:cs="Arial"/>
                <w:color w:val="000000"/>
                <w:sz w:val="20"/>
                <w:szCs w:val="20"/>
              </w:rPr>
              <w:t>December 31, 2021</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44153173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441531739"/>
        </w:trPr>
        <w:tc>
          <w:tcPr>
            <w:tcW w:w="0" w:type="auto"/>
            <w:gridSpan w:val="3"/>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Financial assets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44153173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Current derivative assets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259 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259 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95 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396 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95 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529 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240 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240 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352 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360 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44153173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Current derivative liabilities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(303)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(303)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(150)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(150)</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(146)</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(264)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441531739"/>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(52)</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(519)</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(146)</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(717)</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Borders>
              <w:top w:val="single" w:sz="4"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(423)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(423)</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5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vAlign w:val="center"/>
            <w:hideMark/>
          </w:tcPr>
          <w:p w:rsidR="00000000" w:rsidRDefault="00131F06">
            <w:pPr>
              <w:spacing w:after="100"/>
              <w:jc w:val="right"/>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441531739"/>
        </w:trPr>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(466)</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(65)</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(531)</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44153173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(227)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(227)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(108)</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(115)</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Mar>
              <w:top w:w="30" w:type="dxa"/>
              <w:left w:w="3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441531739"/>
        </w:trPr>
        <w:tc>
          <w:tcPr>
            <w:tcW w:w="0" w:type="auto"/>
            <w:gridSpan w:val="3"/>
            <w:tcBorders>
              <w:top w:val="single" w:sz="4" w:space="0" w:color="000000"/>
              <w:bottom w:val="single" w:sz="8" w:space="0" w:color="000000"/>
            </w:tcBorders>
            <w:tcMar>
              <w:top w:w="30" w:type="dxa"/>
              <w:left w:w="14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(237)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652444923"/>
        <w:rPr>
          <w:rFonts w:eastAsia="Times New Roman"/>
        </w:rPr>
      </w:pPr>
    </w:p>
    <w:p w:rsidR="00000000" w:rsidRDefault="00131F06">
      <w:pPr>
        <w:divId w:val="295334194"/>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2060"/>
        <w:gridCol w:w="36"/>
        <w:gridCol w:w="77"/>
        <w:gridCol w:w="366"/>
        <w:gridCol w:w="36"/>
        <w:gridCol w:w="63"/>
        <w:gridCol w:w="1553"/>
        <w:gridCol w:w="36"/>
        <w:gridCol w:w="63"/>
        <w:gridCol w:w="885"/>
        <w:gridCol w:w="36"/>
        <w:gridCol w:w="63"/>
        <w:gridCol w:w="886"/>
        <w:gridCol w:w="36"/>
        <w:gridCol w:w="64"/>
        <w:gridCol w:w="900"/>
        <w:gridCol w:w="36"/>
        <w:gridCol w:w="88"/>
        <w:gridCol w:w="923"/>
        <w:gridCol w:w="36"/>
      </w:tblGrid>
      <w:tr w:rsidR="00000000">
        <w:trPr>
          <w:divId w:val="1901550761"/>
        </w:trPr>
        <w:tc>
          <w:tcPr>
            <w:tcW w:w="50" w:type="pct"/>
            <w:vAlign w:val="center"/>
            <w:hideMark/>
          </w:tcPr>
          <w:p w:rsidR="00000000" w:rsidRDefault="00131F06">
            <w:pPr>
              <w:rPr>
                <w:rFonts w:eastAsia="Times New Roman"/>
              </w:rPr>
            </w:pPr>
          </w:p>
        </w:tc>
        <w:tc>
          <w:tcPr>
            <w:tcW w:w="125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4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9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5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901550761"/>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16"/>
                <w:szCs w:val="16"/>
              </w:rPr>
              <w:t>September 30, 2022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Fair</w:t>
            </w:r>
            <w:r>
              <w:rPr>
                <w:rFonts w:ascii="Arial" w:eastAsia="Times New Roman" w:hAnsi="Arial" w:cs="Arial"/>
                <w:color w:val="000000"/>
                <w:sz w:val="16"/>
                <w:szCs w:val="16"/>
              </w:rPr>
              <w:br/>
              <w:t>Value</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Unobservable</w:t>
            </w:r>
            <w:r>
              <w:rPr>
                <w:rFonts w:ascii="Arial" w:eastAsia="Times New Roman" w:hAnsi="Arial" w:cs="Arial"/>
                <w:color w:val="000000"/>
                <w:sz w:val="16"/>
                <w:szCs w:val="16"/>
              </w:rPr>
              <w:br/>
              <w:t>Input</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Minimum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Maximum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Weighted</w:t>
            </w:r>
            <w:r>
              <w:rPr>
                <w:rFonts w:ascii="Arial" w:eastAsia="Times New Roman" w:hAnsi="Arial" w:cs="Arial"/>
                <w:color w:val="000000"/>
                <w:sz w:val="16"/>
                <w:szCs w:val="16"/>
              </w:rPr>
              <w:br/>
              <w:t>Average Price</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6"/>
                <w:szCs w:val="16"/>
              </w:rPr>
              <w:t>Unit of</w:t>
            </w:r>
            <w:r>
              <w:rPr>
                <w:rFonts w:ascii="Arial" w:eastAsia="Times New Roman" w:hAnsi="Arial" w:cs="Arial"/>
                <w:color w:val="000000"/>
                <w:sz w:val="16"/>
                <w:szCs w:val="16"/>
              </w:rPr>
              <w:br/>
              <w:t>Measurement</w:t>
            </w:r>
          </w:p>
        </w:tc>
      </w:tr>
      <w:tr w:rsidR="00000000">
        <w:trPr>
          <w:divId w:val="190155076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2"/>
                <w:szCs w:val="12"/>
              </w:rPr>
              <w:t>(fair value in 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901550761"/>
        </w:trPr>
        <w:tc>
          <w:tcPr>
            <w:tcW w:w="0" w:type="auto"/>
            <w:gridSpan w:val="3"/>
            <w:tcMar>
              <w:top w:w="30" w:type="dxa"/>
              <w:left w:w="20" w:type="dxa"/>
              <w:bottom w:w="30" w:type="dxa"/>
              <w:right w:w="20" w:type="dxa"/>
            </w:tcMar>
            <w:vAlign w:val="center"/>
            <w:hideMark/>
          </w:tcPr>
          <w:p w:rsidR="00000000" w:rsidRDefault="00131F06">
            <w:pPr>
              <w:spacing w:after="100"/>
              <w:divId w:val="947540232"/>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8"/>
                <w:szCs w:val="8"/>
              </w:rPr>
              <w:t>1</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901550761"/>
        </w:trPr>
        <w:tc>
          <w:tcPr>
            <w:tcW w:w="0" w:type="auto"/>
            <w:gridSpan w:val="3"/>
            <w:tcMar>
              <w:top w:w="30" w:type="dxa"/>
              <w:left w:w="20" w:type="dxa"/>
              <w:bottom w:w="30" w:type="dxa"/>
              <w:right w:w="20" w:type="dxa"/>
            </w:tcMar>
            <w:vAlign w:val="center"/>
            <w:hideMark/>
          </w:tcPr>
          <w:p w:rsidR="00000000" w:rsidRDefault="00131F06">
            <w:pPr>
              <w:spacing w:after="100"/>
              <w:divId w:val="979647575"/>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color w:val="000000"/>
                <w:sz w:val="8"/>
                <w:szCs w:val="8"/>
              </w:rPr>
              <w:t>2</w:t>
            </w:r>
          </w:p>
        </w:tc>
      </w:tr>
      <w:tr w:rsidR="00000000">
        <w:trPr>
          <w:divId w:val="1901550761"/>
        </w:trPr>
        <w:tc>
          <w:tcPr>
            <w:tcW w:w="0" w:type="auto"/>
            <w:gridSpan w:val="3"/>
            <w:tcMar>
              <w:top w:w="30" w:type="dxa"/>
              <w:left w:w="20" w:type="dxa"/>
              <w:bottom w:w="30" w:type="dxa"/>
              <w:right w:w="20" w:type="dxa"/>
            </w:tcMar>
            <w:vAlign w:val="center"/>
            <w:hideMark/>
          </w:tcPr>
          <w:p w:rsidR="00000000" w:rsidRDefault="00131F06">
            <w:pPr>
              <w:spacing w:after="100"/>
              <w:divId w:val="1989167960"/>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64.09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108.87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77.06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$/barrel</w:t>
            </w:r>
          </w:p>
        </w:tc>
      </w:tr>
      <w:tr w:rsidR="00000000">
        <w:trPr>
          <w:divId w:val="1901550761"/>
        </w:trPr>
        <w:tc>
          <w:tcPr>
            <w:tcW w:w="0" w:type="auto"/>
            <w:gridSpan w:val="3"/>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901550761"/>
        </w:trPr>
        <w:tc>
          <w:tcPr>
            <w:tcW w:w="0" w:type="auto"/>
            <w:gridSpan w:val="3"/>
            <w:tcMar>
              <w:top w:w="30" w:type="dxa"/>
              <w:left w:w="20" w:type="dxa"/>
              <w:bottom w:w="30" w:type="dxa"/>
              <w:right w:w="20" w:type="dxa"/>
            </w:tcMar>
            <w:vAlign w:val="center"/>
            <w:hideMark/>
          </w:tcPr>
          <w:p w:rsidR="00000000" w:rsidRDefault="00131F06">
            <w:pPr>
              <w:spacing w:after="100"/>
              <w:divId w:val="164513965"/>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(80)</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Forward power price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35.56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207.09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93.98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$/MW/H</w:t>
            </w:r>
          </w:p>
        </w:tc>
      </w:tr>
      <w:tr w:rsidR="00000000">
        <w:trPr>
          <w:divId w:val="1901550761"/>
        </w:trPr>
        <w:tc>
          <w:tcPr>
            <w:tcW w:w="0" w:type="auto"/>
            <w:gridSpan w:val="3"/>
            <w:tcMar>
              <w:top w:w="30" w:type="dxa"/>
              <w:left w:w="20" w:type="dxa"/>
              <w:bottom w:w="30" w:type="dxa"/>
              <w:right w:w="20" w:type="dxa"/>
            </w:tcMar>
            <w:vAlign w:val="center"/>
            <w:hideMark/>
          </w:tcPr>
          <w:p w:rsidR="00000000" w:rsidRDefault="00131F06">
            <w:pPr>
              <w:spacing w:after="100"/>
              <w:divId w:val="547574195"/>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8"/>
                <w:szCs w:val="8"/>
              </w:rPr>
              <w:t>1</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901550761"/>
        </w:trPr>
        <w:tc>
          <w:tcPr>
            <w:tcW w:w="0" w:type="auto"/>
            <w:gridSpan w:val="3"/>
            <w:tcMar>
              <w:top w:w="30" w:type="dxa"/>
              <w:left w:w="20" w:type="dxa"/>
              <w:bottom w:w="30" w:type="dxa"/>
              <w:right w:w="20" w:type="dxa"/>
            </w:tcMar>
            <w:vAlign w:val="center"/>
            <w:hideMark/>
          </w:tcPr>
          <w:p w:rsidR="00000000" w:rsidRDefault="00131F06">
            <w:pPr>
              <w:spacing w:after="100"/>
              <w:divId w:val="1825581871"/>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(66)</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22.01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color w:val="000000"/>
                <w:sz w:val="8"/>
                <w:szCs w:val="8"/>
              </w:rPr>
              <w:t>2</w:t>
            </w:r>
          </w:p>
        </w:tc>
      </w:tr>
      <w:tr w:rsidR="00000000">
        <w:trPr>
          <w:divId w:val="1901550761"/>
        </w:trPr>
        <w:tc>
          <w:tcPr>
            <w:tcW w:w="0" w:type="auto"/>
            <w:gridSpan w:val="3"/>
            <w:tcMar>
              <w:top w:w="30" w:type="dxa"/>
              <w:left w:w="20" w:type="dxa"/>
              <w:bottom w:w="30" w:type="dxa"/>
              <w:right w:w="20" w:type="dxa"/>
            </w:tcMar>
            <w:vAlign w:val="center"/>
            <w:hideMark/>
          </w:tcPr>
          <w:p w:rsidR="00000000" w:rsidRDefault="00131F06">
            <w:pPr>
              <w:spacing w:after="100"/>
              <w:divId w:val="1010916426"/>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72.52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125.74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90.39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$/barrel</w:t>
            </w:r>
          </w:p>
        </w:tc>
      </w:tr>
      <w:tr w:rsidR="00000000">
        <w:trPr>
          <w:divId w:val="1901550761"/>
        </w:trPr>
        <w:tc>
          <w:tcPr>
            <w:tcW w:w="0" w:type="auto"/>
            <w:gridSpan w:val="3"/>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901550761"/>
        </w:trPr>
        <w:tc>
          <w:tcPr>
            <w:tcW w:w="0" w:type="auto"/>
            <w:gridSpan w:val="3"/>
            <w:tcMar>
              <w:top w:w="30" w:type="dxa"/>
              <w:left w:w="20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Forward power price</w:t>
            </w:r>
          </w:p>
        </w:tc>
        <w:tc>
          <w:tcPr>
            <w:tcW w:w="0" w:type="auto"/>
            <w:gridSpan w:val="2"/>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37.08</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175.52</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81.95</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$/MW/H</w:t>
            </w:r>
          </w:p>
        </w:tc>
      </w:tr>
      <w:tr w:rsidR="00000000">
        <w:trPr>
          <w:divId w:val="1901550761"/>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16"/>
                <w:szCs w:val="16"/>
              </w:rPr>
              <w:t>(97)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r>
    </w:tbl>
    <w:p w:rsidR="00000000" w:rsidRDefault="00131F06">
      <w:pPr>
        <w:ind w:hanging="180"/>
        <w:divId w:val="1532303965"/>
        <w:rPr>
          <w:rFonts w:eastAsia="Times New Roman"/>
        </w:rPr>
      </w:pPr>
      <w:r>
        <w:rPr>
          <w:rFonts w:ascii="Arial" w:eastAsia="Times New Roman" w:hAnsi="Arial" w:cs="Arial"/>
          <w:i/>
          <w:iCs/>
          <w:color w:val="000000"/>
          <w:sz w:val="16"/>
          <w:szCs w:val="16"/>
        </w:rPr>
        <w:t>1Financial and physical forward commodity contracts are valued using a market approach valuation technique.</w:t>
      </w:r>
    </w:p>
    <w:p w:rsidR="00000000" w:rsidRDefault="00131F06">
      <w:pPr>
        <w:ind w:hanging="180"/>
        <w:divId w:val="1610353666"/>
        <w:rPr>
          <w:rFonts w:eastAsia="Times New Roman"/>
        </w:rPr>
      </w:pPr>
      <w:r>
        <w:rPr>
          <w:rFonts w:ascii="Arial" w:eastAsia="Times New Roman" w:hAnsi="Arial" w:cs="Arial"/>
          <w:i/>
          <w:iCs/>
          <w:color w:val="000000"/>
          <w:sz w:val="16"/>
          <w:szCs w:val="16"/>
        </w:rPr>
        <w:t>2One million British thermal units (mmbtu).</w:t>
      </w:r>
    </w:p>
    <w:p w:rsidR="00000000" w:rsidRDefault="00131F06">
      <w:pPr>
        <w:ind w:hanging="180"/>
        <w:divId w:val="754977862"/>
        <w:rPr>
          <w:rFonts w:eastAsia="Times New Roman"/>
        </w:rPr>
      </w:pPr>
      <w:r>
        <w:rPr>
          <w:rFonts w:ascii="Arial" w:eastAsia="Times New Roman" w:hAnsi="Arial" w:cs="Arial"/>
          <w:i/>
          <w:iCs/>
          <w:color w:val="000000"/>
          <w:sz w:val="2"/>
          <w:szCs w:val="2"/>
        </w:rPr>
        <w:t>3</w:t>
      </w:r>
      <w:r>
        <w:rPr>
          <w:rFonts w:ascii="Arial" w:eastAsia="Times New Roman" w:hAnsi="Arial" w:cs="Arial"/>
          <w:color w:val="000000"/>
          <w:sz w:val="2"/>
          <w:szCs w:val="2"/>
        </w:rPr>
        <w:t> </w:t>
      </w:r>
    </w:p>
    <w:p w:rsidR="00000000" w:rsidRDefault="00131F06">
      <w:pPr>
        <w:divId w:val="1987469702"/>
        <w:rPr>
          <w:rFonts w:eastAsia="Times New Roman"/>
        </w:rPr>
      </w:pPr>
    </w:p>
    <w:p w:rsidR="00000000" w:rsidRDefault="00131F06">
      <w:pPr>
        <w:jc w:val="center"/>
        <w:divId w:val="1786534854"/>
        <w:rPr>
          <w:rFonts w:eastAsia="Times New Roman"/>
        </w:rPr>
      </w:pPr>
      <w:r>
        <w:rPr>
          <w:rFonts w:ascii="Arial" w:eastAsia="Times New Roman" w:hAnsi="Arial" w:cs="Arial"/>
          <w:color w:val="000000"/>
          <w:sz w:val="20"/>
          <w:szCs w:val="20"/>
        </w:rPr>
        <w:t>34</w:t>
      </w:r>
    </w:p>
    <w:p w:rsidR="00000000" w:rsidRDefault="00131F06">
      <w:pPr>
        <w:rPr>
          <w:rFonts w:eastAsia="Times New Roman"/>
        </w:rPr>
      </w:pPr>
      <w:r>
        <w:rPr>
          <w:rFonts w:eastAsia="Times New Roman"/>
        </w:rPr>
        <w:pict>
          <v:rect id="_x0000_i1059" style="width:0;height:1.5pt" o:hralign="center" o:hrstd="t" o:hr="t" fillcolor="#a0a0a0" stroked="f"/>
        </w:pict>
      </w:r>
    </w:p>
    <w:p w:rsidR="00000000" w:rsidRDefault="00131F06">
      <w:pPr>
        <w:jc w:val="center"/>
        <w:divId w:val="742222218"/>
        <w:rPr>
          <w:rFonts w:eastAsia="Times New Roman"/>
        </w:rPr>
      </w:pPr>
    </w:p>
    <w:p w:rsidR="00000000" w:rsidRDefault="00131F06">
      <w:pPr>
        <w:divId w:val="2108766656"/>
        <w:rPr>
          <w:rFonts w:eastAsia="Times New Roman"/>
        </w:rPr>
      </w:pPr>
      <w:r>
        <w:rPr>
          <w:rFonts w:ascii="Arial" w:eastAsia="Times New Roman" w:hAnsi="Arial" w:cs="Arial"/>
          <w:color w:val="000000"/>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color w:val="000000"/>
          <w:sz w:val="20"/>
          <w:szCs w:val="20"/>
        </w:rPr>
        <w:t>ue measurement of Level 3 derivative instruments include forward commodity prices. Changes in forward commodity prices could result in significantly different fair values for our Level 3 derivatives.</w:t>
      </w:r>
    </w:p>
    <w:p w:rsidR="00000000" w:rsidRDefault="00131F06">
      <w:pPr>
        <w:divId w:val="384376566"/>
        <w:rPr>
          <w:rFonts w:eastAsia="Times New Roman"/>
        </w:rPr>
      </w:pPr>
    </w:p>
    <w:p w:rsidR="00000000" w:rsidRDefault="00131F06">
      <w:pPr>
        <w:divId w:val="1393231571"/>
        <w:rPr>
          <w:rFonts w:eastAsia="Times New Roman"/>
        </w:rPr>
      </w:pPr>
      <w:r>
        <w:rPr>
          <w:rFonts w:ascii="Arial" w:eastAsia="Times New Roman" w:hAnsi="Arial" w:cs="Arial"/>
          <w:color w:val="000000"/>
          <w:sz w:val="20"/>
          <w:szCs w:val="20"/>
        </w:rPr>
        <w:t>Changes in net fair value of derivative assets and liabilities classified as Level 3 in the fair value hierarchy were as follows:</w:t>
      </w:r>
    </w:p>
    <w:tbl>
      <w:tblPr>
        <w:tblW w:w="4991" w:type="pct"/>
        <w:tblCellMar>
          <w:top w:w="15" w:type="dxa"/>
          <w:left w:w="15" w:type="dxa"/>
          <w:bottom w:w="15" w:type="dxa"/>
          <w:right w:w="15" w:type="dxa"/>
        </w:tblCellMar>
        <w:tblLook w:val="04A0" w:firstRow="1" w:lastRow="0" w:firstColumn="1" w:lastColumn="0" w:noHBand="0" w:noVBand="1"/>
      </w:tblPr>
      <w:tblGrid>
        <w:gridCol w:w="68"/>
        <w:gridCol w:w="6351"/>
        <w:gridCol w:w="38"/>
        <w:gridCol w:w="68"/>
        <w:gridCol w:w="812"/>
        <w:gridCol w:w="37"/>
        <w:gridCol w:w="69"/>
        <w:gridCol w:w="812"/>
        <w:gridCol w:w="36"/>
      </w:tblGrid>
      <w:tr w:rsidR="00000000">
        <w:trPr>
          <w:divId w:val="1849249976"/>
        </w:trPr>
        <w:tc>
          <w:tcPr>
            <w:tcW w:w="50" w:type="pct"/>
            <w:vAlign w:val="center"/>
            <w:hideMark/>
          </w:tcPr>
          <w:p w:rsidR="00000000" w:rsidRDefault="00131F06">
            <w:pPr>
              <w:rPr>
                <w:rFonts w:eastAsia="Times New Roman"/>
              </w:rPr>
            </w:pPr>
          </w:p>
        </w:tc>
        <w:tc>
          <w:tcPr>
            <w:tcW w:w="383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849249976"/>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84924997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184924997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84924997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(191)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4924997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Total gain/(loss)</w:t>
            </w:r>
          </w:p>
        </w:tc>
        <w:tc>
          <w:tcPr>
            <w:tcW w:w="0" w:type="auto"/>
            <w:gridSpan w:val="3"/>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r>
      <w:tr w:rsidR="00000000">
        <w:trPr>
          <w:divId w:val="1849249976"/>
        </w:trPr>
        <w:tc>
          <w:tcPr>
            <w:tcW w:w="0" w:type="auto"/>
            <w:gridSpan w:val="3"/>
            <w:tcMar>
              <w:top w:w="30" w:type="dxa"/>
              <w:left w:w="20" w:type="dxa"/>
              <w:bottom w:w="30" w:type="dxa"/>
              <w:right w:w="20" w:type="dxa"/>
            </w:tcMar>
            <w:vAlign w:val="center"/>
            <w:hideMark/>
          </w:tcPr>
          <w:p w:rsidR="00000000" w:rsidRDefault="00131F06">
            <w:pPr>
              <w:spacing w:after="100"/>
              <w:divId w:val="1467312336"/>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(181)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49249976"/>
        </w:trPr>
        <w:tc>
          <w:tcPr>
            <w:tcW w:w="0" w:type="auto"/>
            <w:gridSpan w:val="3"/>
            <w:tcMar>
              <w:top w:w="30" w:type="dxa"/>
              <w:left w:w="20" w:type="dxa"/>
              <w:bottom w:w="30" w:type="dxa"/>
              <w:right w:w="20" w:type="dxa"/>
            </w:tcMar>
            <w:vAlign w:val="center"/>
            <w:hideMark/>
          </w:tcPr>
          <w:p w:rsidR="00000000" w:rsidRDefault="00131F06">
            <w:pPr>
              <w:spacing w:after="100"/>
              <w:divId w:val="326396920"/>
              <w:rPr>
                <w:rFonts w:eastAsia="Times New Roman"/>
              </w:rPr>
            </w:pPr>
            <w:r>
              <w:rPr>
                <w:rFonts w:ascii="Arial" w:eastAsia="Times New Roman" w:hAnsi="Arial" w:cs="Arial"/>
                <w:color w:val="000000"/>
                <w:sz w:val="20"/>
                <w:szCs w:val="20"/>
              </w:rPr>
              <w:t>Included in OCI</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(29)</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4924997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167 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84924997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Level 3 net derivative liability at end of period</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(234)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180"/>
        <w:divId w:val="128858202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Reported within Transportation and other services revenues, Commodity costs and Operating and administrative expense in the Consolidated Statements of Earnings.</w:t>
      </w:r>
    </w:p>
    <w:p w:rsidR="00000000" w:rsidRDefault="00131F06">
      <w:pPr>
        <w:divId w:val="374696897"/>
        <w:rPr>
          <w:rFonts w:eastAsia="Times New Roman"/>
        </w:rPr>
      </w:pPr>
    </w:p>
    <w:p w:rsidR="00000000" w:rsidRDefault="00131F06">
      <w:pPr>
        <w:divId w:val="72435067"/>
        <w:rPr>
          <w:rFonts w:eastAsia="Times New Roman"/>
        </w:rPr>
      </w:pPr>
      <w:r>
        <w:rPr>
          <w:rFonts w:ascii="Arial" w:eastAsia="Times New Roman" w:hAnsi="Arial" w:cs="Arial"/>
          <w:color w:val="000000"/>
          <w:sz w:val="20"/>
          <w:szCs w:val="20"/>
        </w:rPr>
        <w:t>There were no transfers into or out of Level 3 as at September 30, 2022 or December 31, 2021.</w:t>
      </w:r>
    </w:p>
    <w:p w:rsidR="00000000" w:rsidRDefault="00131F06">
      <w:pPr>
        <w:divId w:val="641739661"/>
        <w:rPr>
          <w:rFonts w:eastAsia="Times New Roman"/>
        </w:rPr>
      </w:pPr>
    </w:p>
    <w:p w:rsidR="00000000" w:rsidRDefault="00131F06">
      <w:pPr>
        <w:divId w:val="1568491384"/>
        <w:rPr>
          <w:rFonts w:eastAsia="Times New Roman"/>
        </w:rPr>
      </w:pPr>
      <w:r>
        <w:rPr>
          <w:rFonts w:ascii="Arial" w:eastAsia="Times New Roman" w:hAnsi="Arial" w:cs="Arial"/>
          <w:b/>
          <w:bCs/>
          <w:color w:val="000000"/>
          <w:sz w:val="20"/>
          <w:szCs w:val="20"/>
        </w:rPr>
        <w:t>NET INVESTMENT HEDGES</w:t>
      </w:r>
    </w:p>
    <w:p w:rsidR="00000000" w:rsidRDefault="00131F06">
      <w:pPr>
        <w:divId w:val="1991132841"/>
        <w:rPr>
          <w:rFonts w:eastAsia="Times New Roman"/>
        </w:rPr>
      </w:pPr>
      <w:r>
        <w:rPr>
          <w:rFonts w:ascii="Arial" w:eastAsia="Times New Roman" w:hAnsi="Arial" w:cs="Arial"/>
          <w:color w:val="000000"/>
          <w:sz w:val="20"/>
          <w:szCs w:val="20"/>
        </w:rPr>
        <w:t>We currently have designated a portion of our US dollar denominated debt as a hedge of our net investment in US dollar denominated investments and subsidiaries.</w:t>
      </w:r>
    </w:p>
    <w:p w:rsidR="00000000" w:rsidRDefault="00131F06">
      <w:pPr>
        <w:divId w:val="1310088900"/>
        <w:rPr>
          <w:rFonts w:eastAsia="Times New Roman"/>
        </w:rPr>
      </w:pPr>
    </w:p>
    <w:p w:rsidR="00000000" w:rsidRDefault="00131F06">
      <w:pPr>
        <w:divId w:val="930049824"/>
        <w:rPr>
          <w:rFonts w:eastAsia="Times New Roman"/>
        </w:rPr>
      </w:pPr>
      <w:r>
        <w:rPr>
          <w:rFonts w:ascii="Arial" w:eastAsia="Times New Roman" w:hAnsi="Arial" w:cs="Arial"/>
          <w:color w:val="000000"/>
          <w:sz w:val="20"/>
          <w:szCs w:val="20"/>
        </w:rPr>
        <w:t>During the nine months ended September 30, 2022 and 2021, we recogni</w:t>
      </w:r>
      <w:r>
        <w:rPr>
          <w:rFonts w:ascii="Arial" w:eastAsia="Times New Roman" w:hAnsi="Arial" w:cs="Arial"/>
          <w:color w:val="000000"/>
          <w:sz w:val="20"/>
          <w:szCs w:val="20"/>
        </w:rPr>
        <w:t>zed an unrealized foreign exchange loss of $1,191 million and gain of $18 million, respectively, on the translation of US dollar denominated debt. During the nine months ended September 30, 2022 and 2021, we recognized nil on the change in fair value of ou</w:t>
      </w:r>
      <w:r>
        <w:rPr>
          <w:rFonts w:ascii="Arial" w:eastAsia="Times New Roman" w:hAnsi="Arial" w:cs="Arial"/>
          <w:color w:val="000000"/>
          <w:sz w:val="20"/>
          <w:szCs w:val="20"/>
        </w:rPr>
        <w:t>r outstanding foreign exchange forward contracts in OCI and nil in OCI associated with the settlement of foreign exchange forward contracts or with the settlement of US dollar denominated debt that had matured during the period.</w:t>
      </w:r>
    </w:p>
    <w:p w:rsidR="00000000" w:rsidRDefault="00131F06">
      <w:pPr>
        <w:divId w:val="1349483010"/>
        <w:rPr>
          <w:rFonts w:eastAsia="Times New Roman"/>
        </w:rPr>
      </w:pPr>
    </w:p>
    <w:p w:rsidR="00000000" w:rsidRDefault="00131F06">
      <w:pPr>
        <w:divId w:val="1102142576"/>
        <w:rPr>
          <w:rFonts w:eastAsia="Times New Roman"/>
        </w:rPr>
      </w:pPr>
      <w:r>
        <w:rPr>
          <w:rFonts w:ascii="Arial" w:eastAsia="Times New Roman" w:hAnsi="Arial" w:cs="Arial"/>
          <w:b/>
          <w:bCs/>
          <w:color w:val="000000"/>
          <w:sz w:val="20"/>
          <w:szCs w:val="20"/>
        </w:rPr>
        <w:t>FAIR VALUE OF OTHER FINAN</w:t>
      </w:r>
      <w:r>
        <w:rPr>
          <w:rFonts w:ascii="Arial" w:eastAsia="Times New Roman" w:hAnsi="Arial" w:cs="Arial"/>
          <w:b/>
          <w:bCs/>
          <w:color w:val="000000"/>
          <w:sz w:val="20"/>
          <w:szCs w:val="20"/>
        </w:rPr>
        <w:t>CIAL INSTRUMENTS</w:t>
      </w:r>
    </w:p>
    <w:p w:rsidR="00000000" w:rsidRDefault="00131F06">
      <w:pPr>
        <w:divId w:val="1188327553"/>
        <w:rPr>
          <w:rFonts w:eastAsia="Times New Roman"/>
        </w:rPr>
      </w:pPr>
      <w:r>
        <w:rPr>
          <w:rFonts w:ascii="Arial" w:eastAsia="Times New Roman" w:hAnsi="Arial" w:cs="Arial"/>
          <w:color w:val="000000"/>
          <w:sz w:val="20"/>
          <w:szCs w:val="20"/>
        </w:rPr>
        <w:t>Certain long-term investments in other entities with no actively quoted prices are classified as Fair Value Measurement Alternative (FVMA) investments and are recorded at cost less impairment. The carrying value of FVMA investments totaled</w:t>
      </w:r>
      <w:r>
        <w:rPr>
          <w:rFonts w:ascii="Arial" w:eastAsia="Times New Roman" w:hAnsi="Arial" w:cs="Arial"/>
          <w:color w:val="000000"/>
          <w:sz w:val="20"/>
          <w:szCs w:val="20"/>
        </w:rPr>
        <w:t xml:space="preserve"> $102 million and $52 million as at September 30, 2022 and December 31, 2021, respectively.</w:t>
      </w:r>
    </w:p>
    <w:p w:rsidR="00000000" w:rsidRDefault="00131F06">
      <w:pPr>
        <w:divId w:val="653685590"/>
        <w:rPr>
          <w:rFonts w:eastAsia="Times New Roman"/>
        </w:rPr>
      </w:pPr>
    </w:p>
    <w:p w:rsidR="00000000" w:rsidRDefault="00131F06">
      <w:pPr>
        <w:divId w:val="1658918275"/>
        <w:rPr>
          <w:rFonts w:eastAsia="Times New Roman"/>
        </w:rPr>
      </w:pPr>
      <w:r>
        <w:rPr>
          <w:rFonts w:ascii="Arial" w:eastAsia="Times New Roman" w:hAnsi="Arial" w:cs="Arial"/>
          <w:color w:val="000000"/>
          <w:sz w:val="20"/>
          <w:szCs w:val="20"/>
          <w:shd w:val="clear" w:color="auto" w:fill="FFFFFF"/>
        </w:rPr>
        <w:t>We have Restricted long-term investments held in trust totaling $219 million and $217 million as at September 30, 2022 and December </w:t>
      </w:r>
      <w:r>
        <w:rPr>
          <w:rFonts w:ascii="Arial" w:eastAsia="Times New Roman" w:hAnsi="Arial" w:cs="Arial"/>
          <w:color w:val="000000"/>
          <w:sz w:val="20"/>
          <w:szCs w:val="20"/>
          <w:shd w:val="clear" w:color="auto" w:fill="FFFFFF"/>
        </w:rPr>
        <w:t xml:space="preserve">31, 2021, respectively, which are classified as Level 1 in the fair value hierarchy. We also have Restricted long-term investments held in trust totaling $350 million and $413 million as at September 30, 2022 and December 31, 2021, respectively, which are </w:t>
      </w:r>
      <w:r>
        <w:rPr>
          <w:rFonts w:ascii="Arial" w:eastAsia="Times New Roman" w:hAnsi="Arial" w:cs="Arial"/>
          <w:color w:val="000000"/>
          <w:sz w:val="20"/>
          <w:szCs w:val="20"/>
          <w:shd w:val="clear" w:color="auto" w:fill="FFFFFF"/>
        </w:rPr>
        <w:t>classified as Level 2 in the fair value hierarchy. These securities are classified as restricted funds which are collected from customers and held in trust for the purpose of funding pipeline abandonment in accordance with regulatory requirements. There we</w:t>
      </w:r>
      <w:r>
        <w:rPr>
          <w:rFonts w:ascii="Arial" w:eastAsia="Times New Roman" w:hAnsi="Arial" w:cs="Arial"/>
          <w:color w:val="000000"/>
          <w:sz w:val="20"/>
          <w:szCs w:val="20"/>
          <w:shd w:val="clear" w:color="auto" w:fill="FFFFFF"/>
        </w:rPr>
        <w:t>re unrealized holding gains of $11 million and losses of $120 million for the three and nine months ended September 30, 2022, respectively (2021 - losses of $16 million and $41 million, respectively).</w:t>
      </w:r>
    </w:p>
    <w:p w:rsidR="00000000" w:rsidRDefault="00131F06">
      <w:pPr>
        <w:divId w:val="1389378243"/>
        <w:rPr>
          <w:rFonts w:eastAsia="Times New Roman"/>
        </w:rPr>
      </w:pPr>
    </w:p>
    <w:p w:rsidR="00000000" w:rsidRDefault="00131F06">
      <w:pPr>
        <w:jc w:val="center"/>
        <w:divId w:val="1902793141"/>
        <w:rPr>
          <w:rFonts w:eastAsia="Times New Roman"/>
        </w:rPr>
      </w:pPr>
      <w:r>
        <w:rPr>
          <w:rFonts w:ascii="Arial" w:eastAsia="Times New Roman" w:hAnsi="Arial" w:cs="Arial"/>
          <w:color w:val="000000"/>
          <w:sz w:val="20"/>
          <w:szCs w:val="20"/>
        </w:rPr>
        <w:t>35</w:t>
      </w:r>
    </w:p>
    <w:p w:rsidR="00000000" w:rsidRDefault="00131F06">
      <w:pPr>
        <w:rPr>
          <w:rFonts w:eastAsia="Times New Roman"/>
        </w:rPr>
      </w:pPr>
      <w:r>
        <w:rPr>
          <w:rFonts w:eastAsia="Times New Roman"/>
        </w:rPr>
        <w:pict>
          <v:rect id="_x0000_i1060" style="width:0;height:1.5pt" o:hralign="center" o:hrstd="t" o:hr="t" fillcolor="#a0a0a0" stroked="f"/>
        </w:pict>
      </w:r>
    </w:p>
    <w:p w:rsidR="00000000" w:rsidRDefault="00131F06">
      <w:pPr>
        <w:jc w:val="center"/>
        <w:divId w:val="452753444"/>
        <w:rPr>
          <w:rFonts w:eastAsia="Times New Roman"/>
        </w:rPr>
      </w:pPr>
    </w:p>
    <w:p w:rsidR="00000000" w:rsidRDefault="00131F06">
      <w:pPr>
        <w:divId w:val="552158720"/>
        <w:rPr>
          <w:rFonts w:eastAsia="Times New Roman"/>
        </w:rPr>
      </w:pPr>
      <w:r>
        <w:rPr>
          <w:rFonts w:ascii="Arial" w:eastAsia="Times New Roman" w:hAnsi="Arial" w:cs="Arial"/>
          <w:color w:val="000000"/>
          <w:sz w:val="20"/>
          <w:szCs w:val="20"/>
        </w:rPr>
        <w:t>We have whol</w:t>
      </w:r>
      <w:r>
        <w:rPr>
          <w:rFonts w:ascii="Arial" w:eastAsia="Times New Roman" w:hAnsi="Arial" w:cs="Arial"/>
          <w:color w:val="000000"/>
          <w:sz w:val="20"/>
          <w:szCs w:val="20"/>
        </w:rPr>
        <w:t>ly-owned captive insurance subsidiaries whose principal activity is providing insurance and reinsurance coverage for certain insurable property and casualty risk exposures in the US and Canada of our operating subsidiaries and certain equity investments.</w:t>
      </w:r>
      <w:r>
        <w:rPr>
          <w:rFonts w:ascii="Arial" w:eastAsia="Times New Roman" w:hAnsi="Arial" w:cs="Arial"/>
          <w:color w:val="000000"/>
          <w:sz w:val="20"/>
          <w:szCs w:val="20"/>
          <w:shd w:val="clear" w:color="auto" w:fill="FFFFFF"/>
        </w:rPr>
        <w:t xml:space="preserve"> A</w:t>
      </w:r>
      <w:r>
        <w:rPr>
          <w:rFonts w:ascii="Arial" w:eastAsia="Times New Roman" w:hAnsi="Arial" w:cs="Arial"/>
          <w:color w:val="000000"/>
          <w:sz w:val="20"/>
          <w:szCs w:val="20"/>
          <w:shd w:val="clear" w:color="auto" w:fill="FFFFFF"/>
        </w:rPr>
        <w:t>s at September 30, 2022, the fair value of short- and long-term investment</w:t>
      </w:r>
      <w:r>
        <w:rPr>
          <w:rFonts w:ascii="Arial" w:eastAsia="Times New Roman" w:hAnsi="Arial" w:cs="Arial"/>
          <w:color w:val="000000"/>
          <w:sz w:val="20"/>
          <w:szCs w:val="20"/>
        </w:rPr>
        <w:t>s in</w:t>
      </w:r>
      <w:r>
        <w:rPr>
          <w:rFonts w:ascii="Arial" w:eastAsia="Times New Roman" w:hAnsi="Arial" w:cs="Arial"/>
          <w:color w:val="000000"/>
          <w:sz w:val="20"/>
          <w:szCs w:val="20"/>
          <w:shd w:val="clear" w:color="auto" w:fill="FFFFFF"/>
        </w:rPr>
        <w:t xml:space="preserve"> equity funds and debt securities held by our captive insurance subsidiaries was $108 million and $400 million, respectively (December 31, 2021 - $14 million and $290 million, re</w:t>
      </w:r>
      <w:r>
        <w:rPr>
          <w:rFonts w:ascii="Arial" w:eastAsia="Times New Roman" w:hAnsi="Arial" w:cs="Arial"/>
          <w:color w:val="000000"/>
          <w:sz w:val="20"/>
          <w:szCs w:val="20"/>
          <w:shd w:val="clear" w:color="auto" w:fill="FFFFFF"/>
        </w:rPr>
        <w:t>spectively). These investments in equity funds and debt securities are recognized at fair value, classified as Level 1 and Level</w:t>
      </w:r>
      <w:r>
        <w:rPr>
          <w:rFonts w:ascii="Arial" w:eastAsia="Times New Roman" w:hAnsi="Arial" w:cs="Arial"/>
          <w:color w:val="000000"/>
          <w:sz w:val="20"/>
          <w:szCs w:val="20"/>
        </w:rPr>
        <w:t xml:space="preserve"> 2 in the fair value hierarchy, respectively, and are recorded in Accounts receivable and other and Long-ter</w:t>
      </w:r>
      <w:r>
        <w:rPr>
          <w:rFonts w:ascii="Arial" w:eastAsia="Times New Roman" w:hAnsi="Arial" w:cs="Arial"/>
          <w:color w:val="000000"/>
          <w:sz w:val="20"/>
          <w:szCs w:val="20"/>
          <w:shd w:val="clear" w:color="auto" w:fill="FFFFFF"/>
        </w:rPr>
        <w:t>m investments, respe</w:t>
      </w:r>
      <w:r>
        <w:rPr>
          <w:rFonts w:ascii="Arial" w:eastAsia="Times New Roman" w:hAnsi="Arial" w:cs="Arial"/>
          <w:color w:val="000000"/>
          <w:sz w:val="20"/>
          <w:szCs w:val="20"/>
          <w:shd w:val="clear" w:color="auto" w:fill="FFFFFF"/>
        </w:rPr>
        <w:t xml:space="preserve">ctively, in the Consolidated Statements of Financial Position. </w:t>
      </w:r>
      <w:r>
        <w:rPr>
          <w:rFonts w:ascii="Arial" w:eastAsia="Times New Roman" w:hAnsi="Arial" w:cs="Arial"/>
          <w:color w:val="000000"/>
          <w:sz w:val="20"/>
          <w:szCs w:val="20"/>
        </w:rPr>
        <w:t xml:space="preserve">There were unrealized holding losses in equity funds and debt securities of $13 million and $40 million for the three and nine months ended September 30, 2022, respectively (2021 - gains of $1 </w:t>
      </w:r>
      <w:r>
        <w:rPr>
          <w:rFonts w:ascii="Arial" w:eastAsia="Times New Roman" w:hAnsi="Arial" w:cs="Arial"/>
          <w:color w:val="000000"/>
          <w:sz w:val="20"/>
          <w:szCs w:val="20"/>
        </w:rPr>
        <w:t>million and $4 million, respectively).</w:t>
      </w:r>
    </w:p>
    <w:p w:rsidR="00000000" w:rsidRDefault="00131F06">
      <w:pPr>
        <w:divId w:val="230509063"/>
        <w:rPr>
          <w:rFonts w:eastAsia="Times New Roman"/>
        </w:rPr>
      </w:pPr>
    </w:p>
    <w:p w:rsidR="00000000" w:rsidRDefault="00131F06">
      <w:pPr>
        <w:divId w:val="131750296"/>
        <w:rPr>
          <w:rFonts w:eastAsia="Times New Roman"/>
        </w:rPr>
      </w:pPr>
      <w:r>
        <w:rPr>
          <w:rFonts w:ascii="Arial" w:eastAsia="Times New Roman" w:hAnsi="Arial" w:cs="Arial"/>
          <w:color w:val="000000"/>
          <w:sz w:val="20"/>
          <w:szCs w:val="20"/>
        </w:rPr>
        <w:t>As at September 30, 2022 and December 31, 2021, our long-term debt had a carrying value of $80.7 billion and $74.4 billion, respectively, before debt issuance costs and a fair value of $74.2 billion and $82.0 billio</w:t>
      </w:r>
      <w:r>
        <w:rPr>
          <w:rFonts w:ascii="Arial" w:eastAsia="Times New Roman" w:hAnsi="Arial" w:cs="Arial"/>
          <w:color w:val="000000"/>
          <w:sz w:val="20"/>
          <w:szCs w:val="20"/>
        </w:rPr>
        <w:t>n, respectively. We also have non-current notes receivable carried at book value and recorded in Deferred amounts and other assets in the Consolidated Statements of Financial Position. As at September 30, 2022 and December 31, 2021, the non-current notes r</w:t>
      </w:r>
      <w:r>
        <w:rPr>
          <w:rFonts w:ascii="Arial" w:eastAsia="Times New Roman" w:hAnsi="Arial" w:cs="Arial"/>
          <w:color w:val="000000"/>
          <w:sz w:val="20"/>
          <w:szCs w:val="20"/>
        </w:rPr>
        <w:t>eceivable had a carrying value of $752 million and $954 million, respectively, which also approximates their fair value.</w:t>
      </w:r>
    </w:p>
    <w:p w:rsidR="00000000" w:rsidRDefault="00131F06">
      <w:pPr>
        <w:divId w:val="866874602"/>
        <w:rPr>
          <w:rFonts w:eastAsia="Times New Roman"/>
        </w:rPr>
      </w:pPr>
    </w:p>
    <w:p w:rsidR="00000000" w:rsidRDefault="00131F06">
      <w:pPr>
        <w:divId w:val="1550724671"/>
        <w:rPr>
          <w:rFonts w:eastAsia="Times New Roman"/>
        </w:rPr>
      </w:pPr>
      <w:r>
        <w:rPr>
          <w:rFonts w:ascii="Arial" w:eastAsia="Times New Roman" w:hAnsi="Arial" w:cs="Arial"/>
          <w:color w:val="000000"/>
          <w:sz w:val="20"/>
          <w:szCs w:val="20"/>
        </w:rPr>
        <w:t>The fair value of financial assets and liabilities other than derivative instruments, long-term investments, restricted long-term inv</w:t>
      </w:r>
      <w:r>
        <w:rPr>
          <w:rFonts w:ascii="Arial" w:eastAsia="Times New Roman" w:hAnsi="Arial" w:cs="Arial"/>
          <w:color w:val="000000"/>
          <w:sz w:val="20"/>
          <w:szCs w:val="20"/>
        </w:rPr>
        <w:t>estments, long-term debt and non-current notes receivable described above approximate their carrying value due to the short period to maturity.</w:t>
      </w:r>
    </w:p>
    <w:p w:rsidR="00000000" w:rsidRDefault="00131F06">
      <w:pPr>
        <w:divId w:val="987516863"/>
        <w:rPr>
          <w:rFonts w:eastAsia="Times New Roman"/>
        </w:rPr>
      </w:pPr>
    </w:p>
    <w:p w:rsidR="00000000" w:rsidRDefault="00131F06">
      <w:pPr>
        <w:divId w:val="2039967965"/>
        <w:rPr>
          <w:rFonts w:eastAsia="Times New Roman"/>
        </w:rPr>
      </w:pPr>
      <w:r>
        <w:rPr>
          <w:rFonts w:ascii="Arial" w:eastAsia="Times New Roman" w:hAnsi="Arial" w:cs="Arial"/>
          <w:b/>
          <w:bCs/>
          <w:color w:val="000000"/>
          <w:sz w:val="26"/>
          <w:szCs w:val="26"/>
        </w:rPr>
        <w:t>10. INCOME TAXES</w:t>
      </w:r>
    </w:p>
    <w:p w:rsidR="00000000" w:rsidRDefault="00131F06">
      <w:pPr>
        <w:divId w:val="1792213428"/>
        <w:rPr>
          <w:rFonts w:eastAsia="Times New Roman"/>
        </w:rPr>
      </w:pPr>
    </w:p>
    <w:p w:rsidR="00000000" w:rsidRDefault="00131F06">
      <w:pPr>
        <w:divId w:val="1491093061"/>
        <w:rPr>
          <w:rFonts w:eastAsia="Times New Roman"/>
        </w:rPr>
      </w:pPr>
      <w:r>
        <w:rPr>
          <w:rFonts w:ascii="Arial" w:eastAsia="Times New Roman" w:hAnsi="Arial" w:cs="Arial"/>
          <w:color w:val="000000"/>
          <w:sz w:val="20"/>
          <w:szCs w:val="20"/>
        </w:rPr>
        <w:t xml:space="preserve">The effective income tax rates for the three months ended September 30, 2022 and 2021 were </w:t>
      </w:r>
      <w:r>
        <w:rPr>
          <w:rFonts w:ascii="Arial" w:eastAsia="Times New Roman" w:hAnsi="Arial" w:cs="Arial"/>
          <w:color w:val="000000"/>
          <w:sz w:val="20"/>
          <w:szCs w:val="20"/>
        </w:rPr>
        <w:t>18.7% and 19.6%, respectively, and for the nine months ended September 30, 2022 and 2021 were 20.5% and 18.0%, respectively.</w:t>
      </w:r>
    </w:p>
    <w:p w:rsidR="00000000" w:rsidRDefault="00131F06">
      <w:pPr>
        <w:divId w:val="1853716702"/>
        <w:rPr>
          <w:rFonts w:eastAsia="Times New Roman"/>
        </w:rPr>
      </w:pPr>
    </w:p>
    <w:p w:rsidR="00000000" w:rsidRDefault="00131F06">
      <w:pPr>
        <w:divId w:val="216744776"/>
        <w:rPr>
          <w:rFonts w:eastAsia="Times New Roman"/>
        </w:rPr>
      </w:pPr>
      <w:r>
        <w:rPr>
          <w:rFonts w:ascii="Arial" w:eastAsia="Times New Roman" w:hAnsi="Arial" w:cs="Arial"/>
          <w:color w:val="000000"/>
          <w:sz w:val="20"/>
          <w:szCs w:val="20"/>
        </w:rPr>
        <w:t>The period-over-period changes in the effective income tax rates are due to the effect of rate-regulated accounting for income ta</w:t>
      </w:r>
      <w:r>
        <w:rPr>
          <w:rFonts w:ascii="Arial" w:eastAsia="Times New Roman" w:hAnsi="Arial" w:cs="Arial"/>
          <w:color w:val="000000"/>
          <w:sz w:val="20"/>
          <w:szCs w:val="20"/>
        </w:rPr>
        <w:t>xes and other permanent differences relative to earnings, an increase in US minimum tax, offset by a statutory rate decrease in Pennsylvania and an adjustment to 2020 regulatory</w:t>
      </w:r>
    </w:p>
    <w:p w:rsidR="00000000" w:rsidRDefault="00131F06">
      <w:pPr>
        <w:divId w:val="732193399"/>
        <w:rPr>
          <w:rFonts w:eastAsia="Times New Roman"/>
        </w:rPr>
      </w:pPr>
      <w:r>
        <w:rPr>
          <w:rFonts w:ascii="Arial" w:eastAsia="Times New Roman" w:hAnsi="Arial" w:cs="Arial"/>
          <w:color w:val="000000"/>
          <w:sz w:val="20"/>
          <w:szCs w:val="20"/>
        </w:rPr>
        <w:t>balances in the three-month period of the prior year.</w:t>
      </w:r>
    </w:p>
    <w:p w:rsidR="00000000" w:rsidRDefault="00131F06">
      <w:pPr>
        <w:divId w:val="331179791"/>
        <w:rPr>
          <w:rFonts w:eastAsia="Times New Roman"/>
        </w:rPr>
      </w:pPr>
    </w:p>
    <w:p w:rsidR="00000000" w:rsidRDefault="00131F06">
      <w:pPr>
        <w:divId w:val="1505587412"/>
        <w:rPr>
          <w:rFonts w:eastAsia="Times New Roman"/>
        </w:rPr>
      </w:pPr>
      <w:r>
        <w:rPr>
          <w:rFonts w:ascii="Arial" w:eastAsia="Times New Roman" w:hAnsi="Arial" w:cs="Arial"/>
          <w:b/>
          <w:bCs/>
          <w:color w:val="000000"/>
          <w:sz w:val="26"/>
          <w:szCs w:val="26"/>
        </w:rPr>
        <w:t xml:space="preserve">11. </w:t>
      </w:r>
      <w:r>
        <w:rPr>
          <w:rFonts w:ascii="Arial" w:eastAsia="Times New Roman" w:hAnsi="Arial" w:cs="Arial"/>
          <w:b/>
          <w:bCs/>
          <w:color w:val="000000"/>
          <w:sz w:val="26"/>
          <w:szCs w:val="26"/>
        </w:rPr>
        <w:t>PENSION AND OTHER POSTRETIREMENT BENEFITS</w:t>
      </w:r>
    </w:p>
    <w:p w:rsidR="00000000" w:rsidRDefault="00131F06">
      <w:pPr>
        <w:divId w:val="450586937"/>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8"/>
        <w:gridCol w:w="65"/>
        <w:gridCol w:w="808"/>
        <w:gridCol w:w="37"/>
        <w:gridCol w:w="65"/>
        <w:gridCol w:w="808"/>
        <w:gridCol w:w="36"/>
        <w:gridCol w:w="36"/>
        <w:gridCol w:w="36"/>
        <w:gridCol w:w="36"/>
        <w:gridCol w:w="61"/>
        <w:gridCol w:w="808"/>
        <w:gridCol w:w="37"/>
        <w:gridCol w:w="65"/>
        <w:gridCol w:w="809"/>
        <w:gridCol w:w="36"/>
      </w:tblGrid>
      <w:tr w:rsidR="00000000">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 September 30,</w:t>
            </w:r>
          </w:p>
        </w:tc>
      </w:tr>
      <w:tr w:rsidR="00000000">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color w:val="000000"/>
                <w:sz w:val="20"/>
                <w:szCs w:val="20"/>
              </w:rPr>
              <w:t>Service cost</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48 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144 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color w:val="000000"/>
                <w:sz w:val="20"/>
                <w:szCs w:val="20"/>
              </w:rPr>
              <w:t>Interest cos</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96 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131F06">
            <w:pPr>
              <w:spacing w:after="100"/>
              <w:jc w:val="both"/>
              <w:rPr>
                <w:rFonts w:eastAsia="Times New Roman"/>
              </w:rPr>
            </w:pPr>
            <w:r>
              <w:rPr>
                <w:rFonts w:ascii="Arial" w:eastAsia="Times New Roman" w:hAnsi="Arial" w:cs="Arial"/>
                <w:color w:val="000000"/>
                <w:sz w:val="20"/>
                <w:szCs w:val="20"/>
              </w:rPr>
              <w:t>Expected return on plan asset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(294)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(252)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131F06">
            <w:pPr>
              <w:spacing w:after="100"/>
              <w:divId w:val="1776249765"/>
              <w:rPr>
                <w:rFonts w:eastAsia="Times New Roman"/>
              </w:rPr>
            </w:pPr>
            <w:r>
              <w:rPr>
                <w:rFonts w:ascii="Arial" w:eastAsia="Times New Roman" w:hAnsi="Arial" w:cs="Arial"/>
                <w:color w:val="000000"/>
                <w:sz w:val="20"/>
                <w:szCs w:val="20"/>
              </w:rPr>
              <w:t>Amortization of actuarial (gain)/los</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42 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Net periodic benefit (credit)/cost</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(13)</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ind w:hanging="180"/>
        <w:jc w:val="both"/>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Reported within Other income/(expense) in the Consolidated Statements of Earnings.</w:t>
      </w:r>
    </w:p>
    <w:p w:rsidR="00000000" w:rsidRDefault="00131F06">
      <w:pPr>
        <w:jc w:val="both"/>
        <w:rPr>
          <w:rFonts w:eastAsia="Times New Roman"/>
        </w:rPr>
      </w:pPr>
    </w:p>
    <w:p w:rsidR="00000000" w:rsidRDefault="00131F06">
      <w:pPr>
        <w:jc w:val="center"/>
        <w:divId w:val="1996647278"/>
        <w:rPr>
          <w:rFonts w:eastAsia="Times New Roman"/>
        </w:rPr>
      </w:pPr>
      <w:r>
        <w:rPr>
          <w:rFonts w:ascii="Arial" w:eastAsia="Times New Roman" w:hAnsi="Arial" w:cs="Arial"/>
          <w:color w:val="000000"/>
          <w:sz w:val="20"/>
          <w:szCs w:val="20"/>
        </w:rPr>
        <w:t>36</w:t>
      </w:r>
    </w:p>
    <w:p w:rsidR="00000000" w:rsidRDefault="00131F06">
      <w:pPr>
        <w:rPr>
          <w:rFonts w:eastAsia="Times New Roman"/>
        </w:rPr>
      </w:pPr>
      <w:r>
        <w:rPr>
          <w:rFonts w:eastAsia="Times New Roman"/>
        </w:rPr>
        <w:pict>
          <v:rect id="_x0000_i1061" style="width:0;height:1.5pt" o:hralign="center" o:hrstd="t" o:hr="t" fillcolor="#a0a0a0" stroked="f"/>
        </w:pict>
      </w:r>
    </w:p>
    <w:p w:rsidR="00000000" w:rsidRDefault="00131F06">
      <w:pPr>
        <w:jc w:val="center"/>
        <w:divId w:val="1966422554"/>
        <w:rPr>
          <w:rFonts w:eastAsia="Times New Roman"/>
        </w:rPr>
      </w:pPr>
    </w:p>
    <w:p w:rsidR="00000000" w:rsidRDefault="00131F06">
      <w:pPr>
        <w:divId w:val="422726128"/>
        <w:rPr>
          <w:rFonts w:eastAsia="Times New Roman"/>
        </w:rPr>
      </w:pPr>
      <w:r>
        <w:rPr>
          <w:rFonts w:ascii="Arial" w:eastAsia="Times New Roman" w:hAnsi="Arial" w:cs="Arial"/>
          <w:b/>
          <w:bCs/>
          <w:color w:val="000000"/>
          <w:sz w:val="26"/>
          <w:szCs w:val="26"/>
        </w:rPr>
        <w:t>12. CONTINGENCIES</w:t>
      </w:r>
    </w:p>
    <w:p w:rsidR="00000000" w:rsidRDefault="00131F06">
      <w:pPr>
        <w:divId w:val="572391871"/>
        <w:rPr>
          <w:rFonts w:eastAsia="Times New Roman"/>
        </w:rPr>
      </w:pPr>
    </w:p>
    <w:p w:rsidR="00000000" w:rsidRDefault="00131F06">
      <w:pPr>
        <w:divId w:val="293566481"/>
        <w:rPr>
          <w:rFonts w:eastAsia="Times New Roman"/>
        </w:rPr>
      </w:pPr>
      <w:r>
        <w:rPr>
          <w:rFonts w:ascii="Arial" w:eastAsia="Times New Roman" w:hAnsi="Arial" w:cs="Arial"/>
          <w:color w:val="000000"/>
          <w:sz w:val="20"/>
          <w:szCs w:val="20"/>
        </w:rPr>
        <w:t>We and our subsidiaries are involved in various legal and regulatory actions and proceedings which arise in th</w:t>
      </w:r>
      <w:r>
        <w:rPr>
          <w:rFonts w:ascii="Arial" w:eastAsia="Times New Roman" w:hAnsi="Arial" w:cs="Arial"/>
          <w:color w:val="000000"/>
          <w:sz w:val="20"/>
          <w:szCs w:val="20"/>
        </w:rPr>
        <w:t>e normal course of business, including interventions in regulatory proceedings and challenges to regulatory approvals and permits. While the final outcome of such actions and proceedings cannot be predicted with certainty, management believes that the reso</w:t>
      </w:r>
      <w:r>
        <w:rPr>
          <w:rFonts w:ascii="Arial" w:eastAsia="Times New Roman" w:hAnsi="Arial" w:cs="Arial"/>
          <w:color w:val="000000"/>
          <w:sz w:val="20"/>
          <w:szCs w:val="20"/>
        </w:rPr>
        <w:t>lution of such actions and proceedings will not have a material impact on our interim consolidated financial position or results of operations.</w:t>
      </w:r>
    </w:p>
    <w:p w:rsidR="00000000" w:rsidRDefault="00131F06">
      <w:pPr>
        <w:divId w:val="1419521272"/>
        <w:rPr>
          <w:rFonts w:eastAsia="Times New Roman"/>
        </w:rPr>
      </w:pPr>
    </w:p>
    <w:p w:rsidR="00000000" w:rsidRDefault="00131F06">
      <w:pPr>
        <w:divId w:val="677118101"/>
        <w:rPr>
          <w:rFonts w:eastAsia="Times New Roman"/>
        </w:rPr>
      </w:pPr>
      <w:r>
        <w:rPr>
          <w:rFonts w:ascii="Arial" w:eastAsia="Times New Roman" w:hAnsi="Arial" w:cs="Arial"/>
          <w:b/>
          <w:bCs/>
          <w:color w:val="000000"/>
          <w:sz w:val="20"/>
          <w:szCs w:val="20"/>
        </w:rPr>
        <w:t>TAX MATTERS</w:t>
      </w:r>
    </w:p>
    <w:p w:rsidR="00000000" w:rsidRDefault="00131F06">
      <w:pPr>
        <w:divId w:val="1719431454"/>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131F06">
      <w:pPr>
        <w:divId w:val="1141263666"/>
        <w:rPr>
          <w:rFonts w:eastAsia="Times New Roman"/>
        </w:rPr>
      </w:pPr>
    </w:p>
    <w:p w:rsidR="00000000" w:rsidRDefault="00131F06">
      <w:pPr>
        <w:jc w:val="center"/>
        <w:divId w:val="274598256"/>
        <w:rPr>
          <w:rFonts w:eastAsia="Times New Roman"/>
        </w:rPr>
      </w:pPr>
      <w:r>
        <w:rPr>
          <w:rFonts w:ascii="Arial" w:eastAsia="Times New Roman" w:hAnsi="Arial" w:cs="Arial"/>
          <w:color w:val="000000"/>
          <w:sz w:val="20"/>
          <w:szCs w:val="20"/>
        </w:rPr>
        <w:t>37</w:t>
      </w:r>
    </w:p>
    <w:p w:rsidR="00000000" w:rsidRDefault="00131F06">
      <w:pPr>
        <w:rPr>
          <w:rFonts w:eastAsia="Times New Roman"/>
        </w:rPr>
      </w:pPr>
      <w:r>
        <w:rPr>
          <w:rFonts w:eastAsia="Times New Roman"/>
        </w:rPr>
        <w:pict>
          <v:rect id="_x0000_i1062" style="width:0;height:1.5pt" o:hralign="center" o:hrstd="t" o:hr="t" fillcolor="#a0a0a0" stroked="f"/>
        </w:pict>
      </w:r>
    </w:p>
    <w:p w:rsidR="00000000" w:rsidRDefault="00131F06">
      <w:pPr>
        <w:jc w:val="center"/>
        <w:divId w:val="651061302"/>
        <w:rPr>
          <w:rFonts w:eastAsia="Times New Roman"/>
        </w:rPr>
      </w:pPr>
    </w:p>
    <w:p w:rsidR="00000000" w:rsidRDefault="00131F06">
      <w:pPr>
        <w:divId w:val="1983532702"/>
        <w:rPr>
          <w:rFonts w:eastAsia="Times New Roman"/>
        </w:rPr>
      </w:pPr>
      <w:r>
        <w:rPr>
          <w:rFonts w:ascii="Arial" w:eastAsia="Times New Roman" w:hAnsi="Arial" w:cs="Arial"/>
          <w:b/>
          <w:bCs/>
          <w:color w:val="000000"/>
          <w:sz w:val="28"/>
          <w:szCs w:val="28"/>
        </w:rPr>
        <w:t>ITEM 2. MANAGEMENT’S DISCUSSION AND ANALYSIS OF FINANCIAL CONDITION AND RESULTS OF OPERATIONS</w:t>
      </w:r>
    </w:p>
    <w:p w:rsidR="00000000" w:rsidRDefault="00131F06">
      <w:pPr>
        <w:divId w:val="383794388"/>
        <w:rPr>
          <w:rFonts w:eastAsia="Times New Roman"/>
        </w:rPr>
      </w:pPr>
    </w:p>
    <w:p w:rsidR="00000000" w:rsidRDefault="00131F06">
      <w:pPr>
        <w:divId w:val="411008971"/>
        <w:rPr>
          <w:rFonts w:eastAsia="Times New Roman"/>
        </w:rPr>
      </w:pPr>
      <w:r>
        <w:rPr>
          <w:rFonts w:ascii="Arial" w:eastAsia="Times New Roman" w:hAnsi="Arial" w:cs="Arial"/>
          <w:b/>
          <w:bCs/>
          <w:color w:val="000000"/>
          <w:sz w:val="26"/>
          <w:szCs w:val="26"/>
        </w:rPr>
        <w:t>INTRODUCTION</w:t>
      </w:r>
    </w:p>
    <w:p w:rsidR="00000000" w:rsidRDefault="00131F06">
      <w:pPr>
        <w:divId w:val="1314140043"/>
        <w:rPr>
          <w:rFonts w:eastAsia="Times New Roman"/>
        </w:rPr>
      </w:pPr>
    </w:p>
    <w:p w:rsidR="00000000" w:rsidRDefault="00131F06">
      <w:pPr>
        <w:divId w:val="2065593233"/>
        <w:rPr>
          <w:rFonts w:eastAsia="Times New Roman"/>
        </w:rPr>
      </w:pPr>
      <w:r>
        <w:rPr>
          <w:rFonts w:ascii="Arial" w:eastAsia="Times New Roman" w:hAnsi="Arial" w:cs="Arial"/>
          <w:color w:val="000000"/>
          <w:sz w:val="20"/>
          <w:szCs w:val="20"/>
        </w:rPr>
        <w:t>The following discussion and analysis of our financial condition and results of operations is based on and should be read in conjunction with o</w:t>
      </w:r>
      <w:r>
        <w:rPr>
          <w:rFonts w:ascii="Arial" w:eastAsia="Times New Roman" w:hAnsi="Arial" w:cs="Arial"/>
          <w:color w:val="000000"/>
          <w:sz w:val="20"/>
          <w:szCs w:val="20"/>
        </w:rPr>
        <w:t xml:space="preserve">ur interim consolidated financial statements and the accompanying notes included in Part I. </w:t>
      </w:r>
      <w:r>
        <w:rPr>
          <w:rFonts w:ascii="Arial" w:eastAsia="Times New Roman" w:hAnsi="Arial" w:cs="Arial"/>
          <w:i/>
          <w:iCs/>
          <w:color w:val="000000"/>
          <w:sz w:val="20"/>
          <w:szCs w:val="20"/>
        </w:rPr>
        <w:t>Item 1. Financial Statements</w:t>
      </w:r>
      <w:r>
        <w:rPr>
          <w:rFonts w:ascii="Arial" w:eastAsia="Times New Roman" w:hAnsi="Arial" w:cs="Arial"/>
          <w:color w:val="000000"/>
          <w:sz w:val="20"/>
          <w:szCs w:val="20"/>
        </w:rPr>
        <w:t xml:space="preserve"> of this quarterly report on Form 10-Q and our consolidated financial statements and the accompanying notes included in Part II. </w:t>
      </w:r>
      <w:r>
        <w:rPr>
          <w:rFonts w:ascii="Arial" w:eastAsia="Times New Roman" w:hAnsi="Arial" w:cs="Arial"/>
          <w:i/>
          <w:iCs/>
          <w:color w:val="000000"/>
          <w:sz w:val="20"/>
          <w:szCs w:val="20"/>
        </w:rPr>
        <w:t>Item 8.</w:t>
      </w:r>
      <w:r>
        <w:rPr>
          <w:rFonts w:ascii="Arial" w:eastAsia="Times New Roman" w:hAnsi="Arial" w:cs="Arial"/>
          <w:i/>
          <w:iCs/>
          <w:color w:val="000000"/>
          <w:sz w:val="20"/>
          <w:szCs w:val="20"/>
        </w:rPr>
        <w:t xml:space="preserve"> Financial Statements and Supplementary Data </w:t>
      </w:r>
      <w:r>
        <w:rPr>
          <w:rFonts w:ascii="Arial" w:eastAsia="Times New Roman" w:hAnsi="Arial" w:cs="Arial"/>
          <w:color w:val="000000"/>
          <w:sz w:val="20"/>
          <w:szCs w:val="20"/>
        </w:rPr>
        <w:t>of our annual report on Form 10-K for the year ended December 31, 2021.</w:t>
      </w:r>
    </w:p>
    <w:p w:rsidR="00000000" w:rsidRDefault="00131F06">
      <w:pPr>
        <w:divId w:val="587228200"/>
        <w:rPr>
          <w:rFonts w:eastAsia="Times New Roman"/>
        </w:rPr>
      </w:pPr>
    </w:p>
    <w:p w:rsidR="00000000" w:rsidRDefault="00131F06">
      <w:pPr>
        <w:divId w:val="1902862087"/>
        <w:rPr>
          <w:rFonts w:eastAsia="Times New Roman"/>
        </w:rPr>
      </w:pPr>
      <w:r>
        <w:rPr>
          <w:rFonts w:ascii="Arial" w:eastAsia="Times New Roman" w:hAnsi="Arial" w:cs="Arial"/>
          <w:color w:val="000000"/>
          <w:sz w:val="20"/>
          <w:szCs w:val="20"/>
        </w:rPr>
        <w:t>We continue to qualify as a foreign private issuer for purposes of the United States Securities Exchange Act of 1934, as amended (Exchang</w:t>
      </w:r>
      <w:r>
        <w:rPr>
          <w:rFonts w:ascii="Arial" w:eastAsia="Times New Roman" w:hAnsi="Arial" w:cs="Arial"/>
          <w:color w:val="000000"/>
          <w:sz w:val="20"/>
          <w:szCs w:val="20"/>
        </w:rPr>
        <w:t>e Act), as determined annually as of the end of our second fiscal quarter. We intend to continue to file annual reports on Form 10-K, quarterly reports on Form 10-Q and current reports on Form 8-K with the United States (US) Securities and Exchange Commiss</w:t>
      </w:r>
      <w:r>
        <w:rPr>
          <w:rFonts w:ascii="Arial" w:eastAsia="Times New Roman" w:hAnsi="Arial" w:cs="Arial"/>
          <w:color w:val="000000"/>
          <w:sz w:val="20"/>
          <w:szCs w:val="20"/>
        </w:rPr>
        <w:t>ion (SEC) instead of filing the reporting forms available to foreign private issuers. We also intend to maintain our Form S-3 registration statements.</w:t>
      </w:r>
    </w:p>
    <w:p w:rsidR="00000000" w:rsidRDefault="00131F06">
      <w:pPr>
        <w:divId w:val="705645334"/>
        <w:rPr>
          <w:rFonts w:eastAsia="Times New Roman"/>
        </w:rPr>
      </w:pPr>
    </w:p>
    <w:p w:rsidR="00000000" w:rsidRDefault="00131F06">
      <w:pPr>
        <w:divId w:val="624240073"/>
        <w:rPr>
          <w:rFonts w:eastAsia="Times New Roman"/>
        </w:rPr>
      </w:pPr>
      <w:r>
        <w:rPr>
          <w:rFonts w:ascii="Arial" w:eastAsia="Times New Roman" w:hAnsi="Arial" w:cs="Arial"/>
          <w:b/>
          <w:bCs/>
          <w:color w:val="000000"/>
          <w:sz w:val="26"/>
          <w:szCs w:val="26"/>
        </w:rPr>
        <w:t xml:space="preserve">RECENT DEVELOPMENTS </w:t>
      </w:r>
    </w:p>
    <w:p w:rsidR="00000000" w:rsidRDefault="00131F06">
      <w:pPr>
        <w:divId w:val="661199778"/>
        <w:rPr>
          <w:rFonts w:eastAsia="Times New Roman"/>
        </w:rPr>
      </w:pPr>
    </w:p>
    <w:p w:rsidR="00000000" w:rsidRDefault="00131F06">
      <w:pPr>
        <w:divId w:val="322391826"/>
        <w:rPr>
          <w:rFonts w:eastAsia="Times New Roman"/>
        </w:rPr>
      </w:pPr>
      <w:r>
        <w:rPr>
          <w:rFonts w:ascii="Arial" w:eastAsia="Times New Roman" w:hAnsi="Arial" w:cs="Arial"/>
          <w:b/>
          <w:bCs/>
          <w:color w:val="000000"/>
          <w:sz w:val="20"/>
          <w:szCs w:val="20"/>
        </w:rPr>
        <w:t>Joint Venture Merger Transaction to Advance US Gulf Coast Oil Strategy</w:t>
      </w:r>
    </w:p>
    <w:p w:rsidR="00000000" w:rsidRDefault="00131F06">
      <w:pPr>
        <w:divId w:val="1996840015"/>
        <w:rPr>
          <w:rFonts w:eastAsia="Times New Roman"/>
        </w:rPr>
      </w:pPr>
      <w:r>
        <w:rPr>
          <w:rFonts w:ascii="Arial" w:eastAsia="Times New Roman" w:hAnsi="Arial" w:cs="Arial"/>
          <w:color w:val="000000"/>
          <w:sz w:val="20"/>
          <w:szCs w:val="20"/>
        </w:rPr>
        <w:t>On August 17, 2022, we completed a joint venture merger transaction with Phillips 66 (P66) resulting in a single joint venture, DCP Midstream LLC, holding both Enbridge Inc.'s (Enbridge) and P66's indirect ownership interests in Gray Oak Pipeline, LLC (Gra</w:t>
      </w:r>
      <w:r>
        <w:rPr>
          <w:rFonts w:ascii="Arial" w:eastAsia="Times New Roman" w:hAnsi="Arial" w:cs="Arial"/>
          <w:color w:val="000000"/>
          <w:sz w:val="20"/>
          <w:szCs w:val="20"/>
        </w:rPr>
        <w:t>y Oak) and DCP Midstream, LP (DCP), as well as an agreement to realign our respective economic and governance interests in the underlying business operations. Our indirect economic interest in Gray Oak has increased to 58.5% from 22.8% and we will assume o</w:t>
      </w:r>
      <w:r>
        <w:rPr>
          <w:rFonts w:ascii="Arial" w:eastAsia="Times New Roman" w:hAnsi="Arial" w:cs="Arial"/>
          <w:color w:val="000000"/>
          <w:sz w:val="20"/>
          <w:szCs w:val="20"/>
        </w:rPr>
        <w:t>peratorship of Gray Oak in the second quarter of 2023. Simultaneously, our indirect economic interest in DCP has been reduced to 13.2% from 28.3%. We received approximately</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rPr>
        <w:t>$522 million (</w:t>
      </w:r>
      <w:r>
        <w:rPr>
          <w:rFonts w:ascii="Arial" w:eastAsia="Times New Roman" w:hAnsi="Arial" w:cs="Arial"/>
          <w:color w:val="000000"/>
          <w:sz w:val="20"/>
          <w:szCs w:val="20"/>
          <w:shd w:val="clear" w:color="auto" w:fill="FFFFFF"/>
        </w:rPr>
        <w:t>US$404 million)</w:t>
      </w:r>
      <w:r>
        <w:rPr>
          <w:rFonts w:ascii="Arial" w:eastAsia="Times New Roman" w:hAnsi="Arial" w:cs="Arial"/>
          <w:color w:val="000000"/>
          <w:sz w:val="20"/>
          <w:szCs w:val="20"/>
        </w:rPr>
        <w:t xml:space="preserve"> in cash proceeds and recorded an accounting gain of $</w:t>
      </w:r>
      <w:r>
        <w:rPr>
          <w:rFonts w:ascii="Arial" w:eastAsia="Times New Roman" w:hAnsi="Arial" w:cs="Arial"/>
          <w:color w:val="000000"/>
          <w:sz w:val="20"/>
          <w:szCs w:val="20"/>
        </w:rPr>
        <w:t>1.1 billion (US$832 million) on the Consolidated Statements of Earnings as a result of the transaction.</w:t>
      </w:r>
    </w:p>
    <w:p w:rsidR="00000000" w:rsidRDefault="00131F06">
      <w:pPr>
        <w:divId w:val="1657877143"/>
        <w:rPr>
          <w:rFonts w:eastAsia="Times New Roman"/>
        </w:rPr>
      </w:pPr>
    </w:p>
    <w:p w:rsidR="00000000" w:rsidRDefault="00131F06">
      <w:pPr>
        <w:divId w:val="1410301262"/>
        <w:rPr>
          <w:rFonts w:eastAsia="Times New Roman"/>
        </w:rPr>
      </w:pPr>
      <w:r>
        <w:rPr>
          <w:rFonts w:ascii="Arial" w:eastAsia="Times New Roman" w:hAnsi="Arial" w:cs="Arial"/>
          <w:b/>
          <w:bCs/>
          <w:color w:val="000000"/>
          <w:sz w:val="20"/>
          <w:szCs w:val="20"/>
        </w:rPr>
        <w:t>Acquisition of Tri Global Energy LLC</w:t>
      </w:r>
    </w:p>
    <w:p w:rsidR="00000000" w:rsidRDefault="00131F06">
      <w:pPr>
        <w:divId w:val="1232470616"/>
        <w:rPr>
          <w:rFonts w:eastAsia="Times New Roman"/>
        </w:rPr>
      </w:pPr>
      <w:r>
        <w:rPr>
          <w:rFonts w:ascii="Arial" w:eastAsia="Times New Roman" w:hAnsi="Arial" w:cs="Arial"/>
          <w:color w:val="000000"/>
          <w:sz w:val="20"/>
          <w:szCs w:val="20"/>
        </w:rPr>
        <w:t>On September 27, 2022, we acquired Tri Global Energy LLC (TGE), a leading US renewable power project developer, f</w:t>
      </w:r>
      <w:r>
        <w:rPr>
          <w:rFonts w:ascii="Arial" w:eastAsia="Times New Roman" w:hAnsi="Arial" w:cs="Arial"/>
          <w:color w:val="000000"/>
          <w:sz w:val="20"/>
          <w:szCs w:val="20"/>
        </w:rPr>
        <w:t>or approximately US$270 million in cash and assumed debt. The acquisition of TGE enhances our renewable power platform and further builds on our inventory of North American growth opportunities.</w:t>
      </w:r>
    </w:p>
    <w:p w:rsidR="00000000" w:rsidRDefault="00131F06">
      <w:pPr>
        <w:divId w:val="1945109880"/>
        <w:rPr>
          <w:rFonts w:eastAsia="Times New Roman"/>
        </w:rPr>
      </w:pPr>
    </w:p>
    <w:p w:rsidR="00000000" w:rsidRDefault="00131F06">
      <w:pPr>
        <w:divId w:val="1433434018"/>
        <w:rPr>
          <w:rFonts w:eastAsia="Times New Roman"/>
        </w:rPr>
      </w:pPr>
      <w:r>
        <w:rPr>
          <w:rFonts w:ascii="Arial" w:eastAsia="Times New Roman" w:hAnsi="Arial" w:cs="Arial"/>
          <w:b/>
          <w:bCs/>
          <w:color w:val="000000"/>
          <w:sz w:val="20"/>
          <w:szCs w:val="20"/>
        </w:rPr>
        <w:t>Athabasca Indigenous Investments Partnership</w:t>
      </w:r>
    </w:p>
    <w:p w:rsidR="00000000" w:rsidRDefault="00131F06">
      <w:pPr>
        <w:divId w:val="927151573"/>
        <w:rPr>
          <w:rFonts w:eastAsia="Times New Roman"/>
        </w:rPr>
      </w:pPr>
      <w:r>
        <w:rPr>
          <w:rFonts w:ascii="Arial" w:eastAsia="Times New Roman" w:hAnsi="Arial" w:cs="Arial"/>
          <w:color w:val="000000"/>
          <w:sz w:val="20"/>
          <w:szCs w:val="20"/>
        </w:rPr>
        <w:t xml:space="preserve">On October 5, </w:t>
      </w:r>
      <w:r>
        <w:rPr>
          <w:rFonts w:ascii="Arial" w:eastAsia="Times New Roman" w:hAnsi="Arial" w:cs="Arial"/>
          <w:color w:val="000000"/>
          <w:sz w:val="20"/>
          <w:szCs w:val="20"/>
        </w:rPr>
        <w:t xml:space="preserve">2022, we completed a transaction with Athabasca Indigenous Investments </w:t>
      </w:r>
      <w:r>
        <w:rPr>
          <w:rFonts w:ascii="Arial" w:eastAsia="Times New Roman" w:hAnsi="Arial" w:cs="Arial"/>
          <w:color w:val="000000"/>
          <w:sz w:val="20"/>
          <w:szCs w:val="20"/>
          <w:shd w:val="clear" w:color="auto" w:fill="FFFFFF"/>
        </w:rPr>
        <w:t xml:space="preserve">Limited Partnership </w:t>
      </w:r>
      <w:r>
        <w:rPr>
          <w:rFonts w:ascii="Arial" w:eastAsia="Times New Roman" w:hAnsi="Arial" w:cs="Arial"/>
          <w:color w:val="000000"/>
          <w:sz w:val="20"/>
          <w:szCs w:val="20"/>
        </w:rPr>
        <w:t>(Aii), a newly created entity representing 23 First Nation and Métis communities, pursuant to which Aii acquired an 11.6% non-operating interest in seven Regional Oi</w:t>
      </w:r>
      <w:r>
        <w:rPr>
          <w:rFonts w:ascii="Arial" w:eastAsia="Times New Roman" w:hAnsi="Arial" w:cs="Arial"/>
          <w:color w:val="000000"/>
          <w:sz w:val="20"/>
          <w:szCs w:val="20"/>
        </w:rPr>
        <w:t>l Sands pipelines in northern Alberta for $1.1 billion.</w:t>
      </w:r>
    </w:p>
    <w:p w:rsidR="00000000" w:rsidRDefault="00131F06">
      <w:pPr>
        <w:divId w:val="1122529153"/>
        <w:rPr>
          <w:rFonts w:eastAsia="Times New Roman"/>
        </w:rPr>
      </w:pPr>
    </w:p>
    <w:p w:rsidR="00000000" w:rsidRDefault="00131F06">
      <w:pPr>
        <w:divId w:val="1568492610"/>
        <w:rPr>
          <w:rFonts w:eastAsia="Times New Roman"/>
        </w:rPr>
      </w:pPr>
      <w:r>
        <w:rPr>
          <w:rFonts w:ascii="Arial" w:eastAsia="Times New Roman" w:hAnsi="Arial" w:cs="Arial"/>
          <w:b/>
          <w:bCs/>
          <w:color w:val="000000"/>
          <w:sz w:val="20"/>
          <w:szCs w:val="20"/>
        </w:rPr>
        <w:t>CEO Transition</w:t>
      </w:r>
    </w:p>
    <w:p w:rsidR="00000000" w:rsidRDefault="00131F06">
      <w:pPr>
        <w:divId w:val="309865351"/>
        <w:rPr>
          <w:rFonts w:eastAsia="Times New Roman"/>
        </w:rPr>
      </w:pPr>
      <w:r>
        <w:rPr>
          <w:rFonts w:ascii="Arial" w:eastAsia="Times New Roman" w:hAnsi="Arial" w:cs="Arial"/>
          <w:color w:val="000000"/>
          <w:sz w:val="20"/>
          <w:szCs w:val="20"/>
        </w:rPr>
        <w:t>On October 3, 2022, we announced Al Monaco's retirement as President and Chief Executive Officer and from our Board of Directors effective January 1, 2023. Concurrent with this announ</w:t>
      </w:r>
      <w:r>
        <w:rPr>
          <w:rFonts w:ascii="Arial" w:eastAsia="Times New Roman" w:hAnsi="Arial" w:cs="Arial"/>
          <w:color w:val="000000"/>
          <w:sz w:val="20"/>
          <w:szCs w:val="20"/>
        </w:rPr>
        <w:t xml:space="preserve">cement, the Board of Directors appointed Greg Ebel, currently Chair of our Board of Directors, to succeed Mr. Monaco as President and Chief Executive Officer. Mr. Ebel will also continue as a member of the Board of Directors. A new independent Board Chair </w:t>
      </w:r>
      <w:r>
        <w:rPr>
          <w:rFonts w:ascii="Arial" w:eastAsia="Times New Roman" w:hAnsi="Arial" w:cs="Arial"/>
          <w:color w:val="000000"/>
          <w:sz w:val="20"/>
          <w:szCs w:val="20"/>
        </w:rPr>
        <w:t>will be named prior to January 1, 2023. To support Mr. Ebel through the transition, Mr. Monaco will serve as an advisor to March 1, 2023.</w:t>
      </w:r>
    </w:p>
    <w:p w:rsidR="00000000" w:rsidRDefault="00131F06">
      <w:pPr>
        <w:divId w:val="1580938743"/>
        <w:rPr>
          <w:rFonts w:eastAsia="Times New Roman"/>
        </w:rPr>
      </w:pPr>
    </w:p>
    <w:p w:rsidR="00000000" w:rsidRDefault="00131F06">
      <w:pPr>
        <w:jc w:val="center"/>
        <w:divId w:val="1550338565"/>
        <w:rPr>
          <w:rFonts w:eastAsia="Times New Roman"/>
        </w:rPr>
      </w:pPr>
      <w:r>
        <w:rPr>
          <w:rFonts w:ascii="Arial" w:eastAsia="Times New Roman" w:hAnsi="Arial" w:cs="Arial"/>
          <w:color w:val="000000"/>
          <w:sz w:val="20"/>
          <w:szCs w:val="20"/>
        </w:rPr>
        <w:t>38</w:t>
      </w:r>
    </w:p>
    <w:p w:rsidR="00000000" w:rsidRDefault="00131F06">
      <w:pPr>
        <w:rPr>
          <w:rFonts w:eastAsia="Times New Roman"/>
        </w:rPr>
      </w:pPr>
      <w:r>
        <w:rPr>
          <w:rFonts w:eastAsia="Times New Roman"/>
        </w:rPr>
        <w:pict>
          <v:rect id="_x0000_i1063" style="width:0;height:1.5pt" o:hralign="center" o:hrstd="t" o:hr="t" fillcolor="#a0a0a0" stroked="f"/>
        </w:pict>
      </w:r>
    </w:p>
    <w:p w:rsidR="00000000" w:rsidRDefault="00131F06">
      <w:pPr>
        <w:jc w:val="center"/>
        <w:divId w:val="2061899052"/>
        <w:rPr>
          <w:rFonts w:eastAsia="Times New Roman"/>
        </w:rPr>
      </w:pPr>
    </w:p>
    <w:p w:rsidR="00000000" w:rsidRDefault="00131F06">
      <w:pPr>
        <w:divId w:val="1086653516"/>
        <w:rPr>
          <w:rFonts w:eastAsia="Times New Roman"/>
        </w:rPr>
      </w:pPr>
      <w:r>
        <w:rPr>
          <w:rFonts w:ascii="Arial" w:eastAsia="Times New Roman" w:hAnsi="Arial" w:cs="Arial"/>
          <w:b/>
          <w:bCs/>
          <w:color w:val="000000"/>
          <w:sz w:val="20"/>
          <w:szCs w:val="20"/>
        </w:rPr>
        <w:t>GAS TRANSMISSION AND MIDSTREAM RATE PROCEEDINGS</w:t>
      </w:r>
    </w:p>
    <w:p w:rsidR="00000000" w:rsidRDefault="00131F06">
      <w:pPr>
        <w:divId w:val="1837724795"/>
        <w:rPr>
          <w:rFonts w:eastAsia="Times New Roman"/>
        </w:rPr>
      </w:pPr>
    </w:p>
    <w:p w:rsidR="00000000" w:rsidRDefault="00131F06">
      <w:pPr>
        <w:divId w:val="1133787756"/>
        <w:rPr>
          <w:rFonts w:eastAsia="Times New Roman"/>
        </w:rPr>
      </w:pPr>
      <w:r>
        <w:rPr>
          <w:rFonts w:ascii="Arial" w:eastAsia="Times New Roman" w:hAnsi="Arial" w:cs="Arial"/>
          <w:b/>
          <w:bCs/>
          <w:color w:val="000000"/>
          <w:sz w:val="20"/>
          <w:szCs w:val="20"/>
        </w:rPr>
        <w:t>Texas Eastern Transmission</w:t>
      </w:r>
    </w:p>
    <w:p w:rsidR="00000000" w:rsidRDefault="00131F06">
      <w:pPr>
        <w:divId w:val="1644969668"/>
        <w:rPr>
          <w:rFonts w:eastAsia="Times New Roman"/>
        </w:rPr>
      </w:pPr>
      <w:r>
        <w:rPr>
          <w:rFonts w:ascii="Arial" w:eastAsia="Times New Roman" w:hAnsi="Arial" w:cs="Arial"/>
          <w:color w:val="000000"/>
          <w:sz w:val="20"/>
          <w:szCs w:val="20"/>
        </w:rPr>
        <w:t>Texas Eastern Transmission, LP (Texas Eastern) filed two rate cases in the third quarter of 2021. These two rate proceedings have since been consolidated and settlement negotiatio</w:t>
      </w:r>
      <w:r>
        <w:rPr>
          <w:rFonts w:ascii="Arial" w:eastAsia="Times New Roman" w:hAnsi="Arial" w:cs="Arial"/>
          <w:color w:val="000000"/>
          <w:sz w:val="20"/>
          <w:szCs w:val="20"/>
        </w:rPr>
        <w:t>ns began during the first quarter of 2022. An uncontested settlement in principle was reached on July 7, 2022. Texas Eastern filed an uncontested Stipulation and Agreement on September 8, 2022 to resolve all issues from the rate proceeding. The comment and</w:t>
      </w:r>
      <w:r>
        <w:rPr>
          <w:rFonts w:ascii="Arial" w:eastAsia="Times New Roman" w:hAnsi="Arial" w:cs="Arial"/>
          <w:color w:val="000000"/>
          <w:sz w:val="20"/>
          <w:szCs w:val="20"/>
        </w:rPr>
        <w:t xml:space="preserve"> reply period ended October 11, 2022 and the Stipulation and Agreement is now with the Federal Energy Regulatory Commission for approval.</w:t>
      </w:r>
    </w:p>
    <w:p w:rsidR="00000000" w:rsidRDefault="00131F06">
      <w:pPr>
        <w:divId w:val="1916359745"/>
        <w:rPr>
          <w:rFonts w:eastAsia="Times New Roman"/>
        </w:rPr>
      </w:pPr>
    </w:p>
    <w:p w:rsidR="00000000" w:rsidRDefault="00131F06">
      <w:pPr>
        <w:divId w:val="1349527286"/>
        <w:rPr>
          <w:rFonts w:eastAsia="Times New Roman"/>
        </w:rPr>
      </w:pPr>
      <w:r>
        <w:rPr>
          <w:rFonts w:ascii="Arial" w:eastAsia="Times New Roman" w:hAnsi="Arial" w:cs="Arial"/>
          <w:b/>
          <w:bCs/>
          <w:color w:val="000000"/>
          <w:sz w:val="20"/>
          <w:szCs w:val="20"/>
        </w:rPr>
        <w:t>Maritimes &amp; Northeast Pipeline</w:t>
      </w:r>
    </w:p>
    <w:p w:rsidR="00000000" w:rsidRDefault="00131F06">
      <w:pPr>
        <w:divId w:val="971401019"/>
        <w:rPr>
          <w:rFonts w:eastAsia="Times New Roman"/>
        </w:rPr>
      </w:pPr>
      <w:r>
        <w:rPr>
          <w:rFonts w:ascii="Arial" w:eastAsia="Times New Roman" w:hAnsi="Arial" w:cs="Arial"/>
          <w:color w:val="000000"/>
          <w:sz w:val="20"/>
          <w:szCs w:val="20"/>
        </w:rPr>
        <w:t>In December 2021, the Canada Energy Regulator (CER) approved interim rates for the Ca</w:t>
      </w:r>
      <w:r>
        <w:rPr>
          <w:rFonts w:ascii="Arial" w:eastAsia="Times New Roman" w:hAnsi="Arial" w:cs="Arial"/>
          <w:color w:val="000000"/>
          <w:sz w:val="20"/>
          <w:szCs w:val="20"/>
        </w:rPr>
        <w:t>nadian portion of Maritimes &amp; Northeast (M&amp;N) Pipeline effective January 1, 2022, which were based on the negotiated 2022 rates in the 2022-2023 settlement agreement and unanimously supported by shippers. The 2022-2023 M&amp;N Canada settlement agreement was a</w:t>
      </w:r>
      <w:r>
        <w:rPr>
          <w:rFonts w:ascii="Arial" w:eastAsia="Times New Roman" w:hAnsi="Arial" w:cs="Arial"/>
          <w:color w:val="000000"/>
          <w:sz w:val="20"/>
          <w:szCs w:val="20"/>
        </w:rPr>
        <w:t xml:space="preserve">pproved by the CER in February 2022. </w:t>
      </w:r>
    </w:p>
    <w:p w:rsidR="00000000" w:rsidRDefault="00131F06">
      <w:pPr>
        <w:divId w:val="2054226815"/>
        <w:rPr>
          <w:rFonts w:eastAsia="Times New Roman"/>
        </w:rPr>
      </w:pPr>
    </w:p>
    <w:p w:rsidR="00000000" w:rsidRDefault="00131F06">
      <w:pPr>
        <w:divId w:val="678389482"/>
        <w:rPr>
          <w:rFonts w:eastAsia="Times New Roman"/>
        </w:rPr>
      </w:pPr>
      <w:r>
        <w:rPr>
          <w:rFonts w:ascii="Arial" w:eastAsia="Times New Roman" w:hAnsi="Arial" w:cs="Arial"/>
          <w:b/>
          <w:bCs/>
          <w:color w:val="000000"/>
          <w:sz w:val="20"/>
          <w:szCs w:val="20"/>
        </w:rPr>
        <w:t>British Columbia Pipeline</w:t>
      </w:r>
    </w:p>
    <w:p w:rsidR="00000000" w:rsidRDefault="00131F06">
      <w:pPr>
        <w:divId w:val="1458336253"/>
        <w:rPr>
          <w:rFonts w:eastAsia="Times New Roman"/>
        </w:rPr>
      </w:pPr>
      <w:r>
        <w:rPr>
          <w:rFonts w:ascii="Arial" w:eastAsia="Times New Roman" w:hAnsi="Arial" w:cs="Arial"/>
          <w:color w:val="000000"/>
          <w:sz w:val="20"/>
          <w:szCs w:val="20"/>
        </w:rPr>
        <w:t>The settlement agreement for our British Columbia Pipeline (BC Pipeline) System expired in December 2021. The CER has approved 2022 interim tolls for BC Pipeline effective January 1, 2022. I</w:t>
      </w:r>
      <w:r>
        <w:rPr>
          <w:rFonts w:ascii="Arial" w:eastAsia="Times New Roman" w:hAnsi="Arial" w:cs="Arial"/>
          <w:color w:val="000000"/>
          <w:sz w:val="20"/>
          <w:szCs w:val="20"/>
        </w:rPr>
        <w:t>n August 2022, an agreement in principle was reached with BC Pipeline shippers on a 2022-2026 rate settlement, and we expect a settlement agreement to be executed with shippers and filed with the CER in the fourth quarter of 2022.</w:t>
      </w:r>
    </w:p>
    <w:p w:rsidR="00000000" w:rsidRDefault="00131F06">
      <w:pPr>
        <w:divId w:val="507208219"/>
        <w:rPr>
          <w:rFonts w:eastAsia="Times New Roman"/>
        </w:rPr>
      </w:pPr>
    </w:p>
    <w:p w:rsidR="00000000" w:rsidRDefault="00131F06">
      <w:pPr>
        <w:divId w:val="1299873692"/>
        <w:rPr>
          <w:rFonts w:eastAsia="Times New Roman"/>
        </w:rPr>
      </w:pPr>
      <w:r>
        <w:rPr>
          <w:rFonts w:ascii="Arial" w:eastAsia="Times New Roman" w:hAnsi="Arial" w:cs="Arial"/>
          <w:b/>
          <w:bCs/>
          <w:color w:val="000000"/>
          <w:sz w:val="20"/>
          <w:szCs w:val="20"/>
        </w:rPr>
        <w:t>GAS DISTRIBUTION AND ST</w:t>
      </w:r>
      <w:r>
        <w:rPr>
          <w:rFonts w:ascii="Arial" w:eastAsia="Times New Roman" w:hAnsi="Arial" w:cs="Arial"/>
          <w:b/>
          <w:bCs/>
          <w:color w:val="000000"/>
          <w:sz w:val="20"/>
          <w:szCs w:val="20"/>
        </w:rPr>
        <w:t>ORAGE RATE APPLICATIONS</w:t>
      </w:r>
    </w:p>
    <w:p w:rsidR="00000000" w:rsidRDefault="00131F06">
      <w:pPr>
        <w:divId w:val="957877781"/>
        <w:rPr>
          <w:rFonts w:eastAsia="Times New Roman"/>
        </w:rPr>
      </w:pPr>
    </w:p>
    <w:p w:rsidR="00000000" w:rsidRDefault="00131F06">
      <w:pPr>
        <w:divId w:val="884562959"/>
        <w:rPr>
          <w:rFonts w:eastAsia="Times New Roman"/>
        </w:rPr>
      </w:pPr>
      <w:r>
        <w:rPr>
          <w:rFonts w:ascii="Arial" w:eastAsia="Times New Roman" w:hAnsi="Arial" w:cs="Arial"/>
          <w:b/>
          <w:bCs/>
          <w:color w:val="000000"/>
          <w:sz w:val="20"/>
          <w:szCs w:val="20"/>
        </w:rPr>
        <w:t>2022 Rate Application</w:t>
      </w:r>
    </w:p>
    <w:p w:rsidR="00000000" w:rsidRDefault="00131F06">
      <w:pPr>
        <w:divId w:val="1314330605"/>
        <w:rPr>
          <w:rFonts w:eastAsia="Times New Roman"/>
        </w:rPr>
      </w:pPr>
      <w:r>
        <w:rPr>
          <w:rFonts w:ascii="Arial" w:eastAsia="Times New Roman" w:hAnsi="Arial" w:cs="Arial"/>
          <w:color w:val="000000"/>
          <w:sz w:val="20"/>
          <w:szCs w:val="20"/>
        </w:rPr>
        <w:t xml:space="preserve">In June 2021, Enbridge Gas Inc. (Enbridge Gas) filed Phase 1 of the application with the Ontario Energy Board (OEB) for the setting of rates for 2022 (the 2022 Application). The 2022 Application was filed in accordance with the parameters of Enbridge Gas' </w:t>
      </w:r>
      <w:r>
        <w:rPr>
          <w:rFonts w:ascii="Arial" w:eastAsia="Times New Roman" w:hAnsi="Arial" w:cs="Arial"/>
          <w:color w:val="000000"/>
          <w:sz w:val="20"/>
          <w:szCs w:val="20"/>
        </w:rPr>
        <w:t>OEB approved Price Cap Incentive Regulation (IR) rate setting mechanism and represents the fourth year of a five-year term. In October 2021, the OEB approved a Phase 1 Settlement Proposal and Interim Rate Order effective January 1, 2022. In April 2022, the</w:t>
      </w:r>
      <w:r>
        <w:rPr>
          <w:rFonts w:ascii="Arial" w:eastAsia="Times New Roman" w:hAnsi="Arial" w:cs="Arial"/>
          <w:color w:val="000000"/>
          <w:sz w:val="20"/>
          <w:szCs w:val="20"/>
        </w:rPr>
        <w:t xml:space="preserve"> OEB issued its decision on Phase 2 of the 2022 Application filed in October 2021, addressing incremental capital module (ICM) funding requirements, under which $127 million of Enbridge Gas' requested capital funding was approved and incorporated into fina</w:t>
      </w:r>
      <w:r>
        <w:rPr>
          <w:rFonts w:ascii="Arial" w:eastAsia="Times New Roman" w:hAnsi="Arial" w:cs="Arial"/>
          <w:color w:val="000000"/>
          <w:sz w:val="20"/>
          <w:szCs w:val="20"/>
        </w:rPr>
        <w:t>l rates, effective July 1, 2022.</w:t>
      </w:r>
    </w:p>
    <w:p w:rsidR="00000000" w:rsidRDefault="00131F06">
      <w:pPr>
        <w:divId w:val="2112583494"/>
        <w:rPr>
          <w:rFonts w:eastAsia="Times New Roman"/>
        </w:rPr>
      </w:pPr>
    </w:p>
    <w:p w:rsidR="00000000" w:rsidRDefault="00131F06">
      <w:pPr>
        <w:divId w:val="1374572190"/>
        <w:rPr>
          <w:rFonts w:eastAsia="Times New Roman"/>
        </w:rPr>
      </w:pPr>
      <w:r>
        <w:rPr>
          <w:rFonts w:ascii="Arial" w:eastAsia="Times New Roman" w:hAnsi="Arial" w:cs="Arial"/>
          <w:b/>
          <w:bCs/>
          <w:color w:val="000000"/>
          <w:sz w:val="20"/>
          <w:szCs w:val="20"/>
        </w:rPr>
        <w:t>2023 Rate Application</w:t>
      </w:r>
    </w:p>
    <w:p w:rsidR="00000000" w:rsidRDefault="00131F06">
      <w:pPr>
        <w:divId w:val="394209764"/>
        <w:rPr>
          <w:rFonts w:eastAsia="Times New Roman"/>
        </w:rPr>
      </w:pPr>
      <w:r>
        <w:rPr>
          <w:rFonts w:ascii="Arial" w:eastAsia="Times New Roman" w:hAnsi="Arial" w:cs="Arial"/>
          <w:color w:val="000000"/>
          <w:sz w:val="20"/>
          <w:szCs w:val="20"/>
        </w:rPr>
        <w:t xml:space="preserve">In June 2022, Enbridge Gas filed Phase 1 of the application with the OEB for the setting of rates for 2023 (the 2023 Application). The 2023 Application was filed in accordance with the parameters of </w:t>
      </w:r>
      <w:r>
        <w:rPr>
          <w:rFonts w:ascii="Arial" w:eastAsia="Times New Roman" w:hAnsi="Arial" w:cs="Arial"/>
          <w:color w:val="000000"/>
          <w:sz w:val="20"/>
          <w:szCs w:val="20"/>
        </w:rPr>
        <w:t>Enbridge Gas' approved Price Cap IR rate setting mechanism and represents the final year of a five-year term. In November 2022, the OEB approved the Phase 1 Settlement Proposal and Interim Rate Order effective January 1, 2023. In addition, Enbridge Gas doe</w:t>
      </w:r>
      <w:r>
        <w:rPr>
          <w:rFonts w:ascii="Arial" w:eastAsia="Times New Roman" w:hAnsi="Arial" w:cs="Arial"/>
          <w:color w:val="000000"/>
          <w:sz w:val="20"/>
          <w:szCs w:val="20"/>
        </w:rPr>
        <w:t xml:space="preserve">s </w:t>
      </w:r>
      <w:r>
        <w:rPr>
          <w:rFonts w:ascii="Arial" w:eastAsia="Times New Roman" w:hAnsi="Arial" w:cs="Arial"/>
          <w:color w:val="242424"/>
          <w:sz w:val="20"/>
          <w:szCs w:val="20"/>
        </w:rPr>
        <w:t>not anticipate 2023 capital investments to require incremental funding during the final year of</w:t>
      </w:r>
      <w:r>
        <w:rPr>
          <w:rFonts w:ascii="Arial" w:eastAsia="Times New Roman" w:hAnsi="Arial" w:cs="Arial"/>
          <w:color w:val="000000"/>
          <w:sz w:val="20"/>
          <w:szCs w:val="20"/>
        </w:rPr>
        <w:t xml:space="preserve"> its </w:t>
      </w:r>
      <w:r>
        <w:rPr>
          <w:rFonts w:ascii="Arial" w:eastAsia="Times New Roman" w:hAnsi="Arial" w:cs="Arial"/>
          <w:color w:val="242424"/>
          <w:sz w:val="20"/>
          <w:szCs w:val="20"/>
        </w:rPr>
        <w:t>current Price Cap IR term, and as such Enbridge Gas will not be making a Phase 2</w:t>
      </w:r>
      <w:r>
        <w:rPr>
          <w:rFonts w:ascii="Arial" w:eastAsia="Times New Roman" w:hAnsi="Arial" w:cs="Arial"/>
          <w:color w:val="000000"/>
          <w:sz w:val="20"/>
          <w:szCs w:val="20"/>
        </w:rPr>
        <w:t xml:space="preserve"> ICM </w:t>
      </w:r>
      <w:r>
        <w:rPr>
          <w:rFonts w:ascii="Arial" w:eastAsia="Times New Roman" w:hAnsi="Arial" w:cs="Arial"/>
          <w:color w:val="242424"/>
          <w:sz w:val="20"/>
          <w:szCs w:val="20"/>
        </w:rPr>
        <w:t>request as part of the 2023 Application.</w:t>
      </w:r>
    </w:p>
    <w:p w:rsidR="00000000" w:rsidRDefault="00131F06">
      <w:pPr>
        <w:divId w:val="908079515"/>
        <w:rPr>
          <w:rFonts w:eastAsia="Times New Roman"/>
        </w:rPr>
      </w:pPr>
    </w:p>
    <w:p w:rsidR="00000000" w:rsidRDefault="00131F06">
      <w:pPr>
        <w:divId w:val="303580495"/>
        <w:rPr>
          <w:rFonts w:eastAsia="Times New Roman"/>
        </w:rPr>
      </w:pPr>
      <w:r>
        <w:rPr>
          <w:rFonts w:ascii="Arial" w:eastAsia="Times New Roman" w:hAnsi="Arial" w:cs="Arial"/>
          <w:b/>
          <w:bCs/>
          <w:color w:val="000000"/>
          <w:sz w:val="20"/>
          <w:szCs w:val="20"/>
        </w:rPr>
        <w:t xml:space="preserve">Incentive Regulation Rate </w:t>
      </w:r>
      <w:r>
        <w:rPr>
          <w:rFonts w:ascii="Arial" w:eastAsia="Times New Roman" w:hAnsi="Arial" w:cs="Arial"/>
          <w:b/>
          <w:bCs/>
          <w:color w:val="000000"/>
          <w:sz w:val="20"/>
          <w:szCs w:val="20"/>
        </w:rPr>
        <w:t>Application</w:t>
      </w:r>
    </w:p>
    <w:p w:rsidR="00000000" w:rsidRDefault="00131F06">
      <w:pPr>
        <w:divId w:val="170485276"/>
        <w:rPr>
          <w:rFonts w:eastAsia="Times New Roman"/>
        </w:rPr>
      </w:pPr>
      <w:r>
        <w:rPr>
          <w:rFonts w:ascii="Arial" w:eastAsia="Times New Roman" w:hAnsi="Arial" w:cs="Arial"/>
          <w:color w:val="000000"/>
          <w:sz w:val="20"/>
          <w:szCs w:val="20"/>
        </w:rPr>
        <w:t>In October 2022, Enbridge Gas filed its application to establish a 2024 through 2028 IR rate setting framework. The application and framework seeks approval to establish 2024 base rates on a cost of service basis and to establish a price cap ra</w:t>
      </w:r>
      <w:r>
        <w:rPr>
          <w:rFonts w:ascii="Arial" w:eastAsia="Times New Roman" w:hAnsi="Arial" w:cs="Arial"/>
          <w:color w:val="000000"/>
          <w:sz w:val="20"/>
          <w:szCs w:val="20"/>
        </w:rPr>
        <w:t>te setting mechanism to be used for the remainder of the IR term (2025 – 2028). An OEB decision is expected on the application in the second half of 2023</w:t>
      </w:r>
      <w:r>
        <w:rPr>
          <w:rFonts w:ascii="Arial" w:eastAsia="Times New Roman" w:hAnsi="Arial" w:cs="Arial"/>
          <w:b/>
          <w:bCs/>
          <w:color w:val="000000"/>
          <w:sz w:val="20"/>
          <w:szCs w:val="20"/>
        </w:rPr>
        <w:t xml:space="preserve">. </w:t>
      </w:r>
    </w:p>
    <w:p w:rsidR="00000000" w:rsidRDefault="00131F06">
      <w:pPr>
        <w:divId w:val="1425833650"/>
        <w:rPr>
          <w:rFonts w:eastAsia="Times New Roman"/>
        </w:rPr>
      </w:pPr>
    </w:p>
    <w:p w:rsidR="00000000" w:rsidRDefault="00131F06">
      <w:pPr>
        <w:jc w:val="center"/>
        <w:divId w:val="319044047"/>
        <w:rPr>
          <w:rFonts w:eastAsia="Times New Roman"/>
        </w:rPr>
      </w:pPr>
      <w:r>
        <w:rPr>
          <w:rFonts w:ascii="Arial" w:eastAsia="Times New Roman" w:hAnsi="Arial" w:cs="Arial"/>
          <w:color w:val="000000"/>
          <w:sz w:val="20"/>
          <w:szCs w:val="20"/>
        </w:rPr>
        <w:t>39</w:t>
      </w:r>
    </w:p>
    <w:p w:rsidR="00000000" w:rsidRDefault="00131F06">
      <w:pPr>
        <w:rPr>
          <w:rFonts w:eastAsia="Times New Roman"/>
        </w:rPr>
      </w:pPr>
      <w:r>
        <w:rPr>
          <w:rFonts w:eastAsia="Times New Roman"/>
        </w:rPr>
        <w:pict>
          <v:rect id="_x0000_i1064" style="width:0;height:1.5pt" o:hralign="center" o:hrstd="t" o:hr="t" fillcolor="#a0a0a0" stroked="f"/>
        </w:pict>
      </w:r>
    </w:p>
    <w:p w:rsidR="00000000" w:rsidRDefault="00131F06">
      <w:pPr>
        <w:jc w:val="center"/>
        <w:divId w:val="1599945033"/>
        <w:rPr>
          <w:rFonts w:eastAsia="Times New Roman"/>
        </w:rPr>
      </w:pPr>
    </w:p>
    <w:p w:rsidR="00000000" w:rsidRDefault="00131F06">
      <w:pPr>
        <w:divId w:val="1026176625"/>
        <w:rPr>
          <w:rFonts w:eastAsia="Times New Roman"/>
        </w:rPr>
      </w:pPr>
      <w:r>
        <w:rPr>
          <w:rFonts w:ascii="Arial" w:eastAsia="Times New Roman" w:hAnsi="Arial" w:cs="Arial"/>
          <w:b/>
          <w:bCs/>
          <w:color w:val="000000"/>
          <w:sz w:val="20"/>
          <w:szCs w:val="20"/>
        </w:rPr>
        <w:t>Purchase Gas Variance</w:t>
      </w:r>
    </w:p>
    <w:p w:rsidR="00000000" w:rsidRDefault="00131F06">
      <w:pPr>
        <w:divId w:val="701827260"/>
        <w:rPr>
          <w:rFonts w:eastAsia="Times New Roman"/>
        </w:rPr>
      </w:pPr>
      <w:r>
        <w:rPr>
          <w:rFonts w:ascii="Arial" w:eastAsia="Times New Roman" w:hAnsi="Arial" w:cs="Arial"/>
          <w:color w:val="000000"/>
          <w:sz w:val="20"/>
          <w:szCs w:val="20"/>
        </w:rPr>
        <w:t xml:space="preserve">The Purchase Gas Variance Account </w:t>
      </w:r>
      <w:r>
        <w:rPr>
          <w:rFonts w:ascii="Arial" w:eastAsia="Times New Roman" w:hAnsi="Arial" w:cs="Arial"/>
          <w:color w:val="000000"/>
          <w:sz w:val="20"/>
          <w:szCs w:val="20"/>
        </w:rPr>
        <w:t>(PGVA) captures the difference between actual and forecasted natural gas prices reflected in rates. Account balances are typically recovered or refunded over a prospective 12-month period through Quarterly Rate Adjustment Mechanism (QRAM) applications.</w:t>
      </w:r>
    </w:p>
    <w:p w:rsidR="00000000" w:rsidRDefault="00131F06">
      <w:pPr>
        <w:divId w:val="506989177"/>
        <w:rPr>
          <w:rFonts w:eastAsia="Times New Roman"/>
        </w:rPr>
      </w:pPr>
    </w:p>
    <w:p w:rsidR="00000000" w:rsidRDefault="00131F06">
      <w:pPr>
        <w:divId w:val="1631977520"/>
        <w:rPr>
          <w:rFonts w:eastAsia="Times New Roman"/>
        </w:rPr>
      </w:pPr>
      <w:r>
        <w:rPr>
          <w:rFonts w:ascii="Arial" w:eastAsia="Times New Roman" w:hAnsi="Arial" w:cs="Arial"/>
          <w:color w:val="000000"/>
          <w:sz w:val="20"/>
          <w:szCs w:val="20"/>
        </w:rPr>
        <w:t>I</w:t>
      </w:r>
      <w:r>
        <w:rPr>
          <w:rFonts w:ascii="Arial" w:eastAsia="Times New Roman" w:hAnsi="Arial" w:cs="Arial"/>
          <w:color w:val="000000"/>
          <w:sz w:val="20"/>
          <w:szCs w:val="20"/>
        </w:rPr>
        <w:t>n March and June 2022, the OEB approved Enbridge Gas' April 1, 2022 and July 1, 2022 QRAM applications, respectively. Due to the significant increase in natural gas prices, the approvals have also included rate mitigation plans intended to ease bill impact</w:t>
      </w:r>
      <w:r>
        <w:rPr>
          <w:rFonts w:ascii="Arial" w:eastAsia="Times New Roman" w:hAnsi="Arial" w:cs="Arial"/>
          <w:color w:val="000000"/>
          <w:sz w:val="20"/>
          <w:szCs w:val="20"/>
        </w:rPr>
        <w:t xml:space="preserve">s to ratepayers. Specifically, the approved rate mitigation plans extended the PGVA recovery period from 12 months to 24 months in both applications. As an additional mitigation measure, as part of the April 1, 2022 QRAM, a portion of the PGVA balance was </w:t>
      </w:r>
      <w:r>
        <w:rPr>
          <w:rFonts w:ascii="Arial" w:eastAsia="Times New Roman" w:hAnsi="Arial" w:cs="Arial"/>
          <w:color w:val="000000"/>
          <w:sz w:val="20"/>
          <w:szCs w:val="20"/>
        </w:rPr>
        <w:t>deferred for recovery, which was subsequently approved for recovery as part of the July 1, 2022 QRAM. The October 1, 2022 QRAM application was filed and approved by the OEB with no adjustments to the prior period rate mitigation plans and it did not includ</w:t>
      </w:r>
      <w:r>
        <w:rPr>
          <w:rFonts w:ascii="Arial" w:eastAsia="Times New Roman" w:hAnsi="Arial" w:cs="Arial"/>
          <w:color w:val="000000"/>
          <w:sz w:val="20"/>
          <w:szCs w:val="20"/>
        </w:rPr>
        <w:t>e any additional rate mitigation measures.</w:t>
      </w:r>
    </w:p>
    <w:p w:rsidR="00000000" w:rsidRDefault="00131F06">
      <w:pPr>
        <w:divId w:val="1276250427"/>
        <w:rPr>
          <w:rFonts w:eastAsia="Times New Roman"/>
        </w:rPr>
      </w:pPr>
    </w:p>
    <w:p w:rsidR="00000000" w:rsidRDefault="00131F06">
      <w:pPr>
        <w:divId w:val="928125997"/>
        <w:rPr>
          <w:rFonts w:eastAsia="Times New Roman"/>
        </w:rPr>
      </w:pPr>
      <w:r>
        <w:rPr>
          <w:rFonts w:ascii="Arial" w:eastAsia="Times New Roman" w:hAnsi="Arial" w:cs="Arial"/>
          <w:color w:val="000000"/>
          <w:sz w:val="20"/>
          <w:szCs w:val="20"/>
        </w:rPr>
        <w:t>As at September 30, 2022, Enbridge Gas' PGVA balance was $693 million.</w:t>
      </w:r>
    </w:p>
    <w:p w:rsidR="00000000" w:rsidRDefault="00131F06">
      <w:pPr>
        <w:divId w:val="251934177"/>
        <w:rPr>
          <w:rFonts w:eastAsia="Times New Roman"/>
        </w:rPr>
      </w:pPr>
    </w:p>
    <w:p w:rsidR="00000000" w:rsidRDefault="00131F06">
      <w:pPr>
        <w:divId w:val="142739007"/>
        <w:rPr>
          <w:rFonts w:eastAsia="Times New Roman"/>
        </w:rPr>
      </w:pPr>
      <w:r>
        <w:rPr>
          <w:rFonts w:ascii="Arial" w:eastAsia="Times New Roman" w:hAnsi="Arial" w:cs="Arial"/>
          <w:b/>
          <w:bCs/>
          <w:color w:val="000000"/>
          <w:sz w:val="20"/>
          <w:szCs w:val="20"/>
        </w:rPr>
        <w:t>FINANCING UPDATE</w:t>
      </w:r>
    </w:p>
    <w:p w:rsidR="00000000" w:rsidRDefault="00131F06">
      <w:pPr>
        <w:divId w:val="524052156"/>
        <w:rPr>
          <w:rFonts w:eastAsia="Times New Roman"/>
        </w:rPr>
      </w:pPr>
    </w:p>
    <w:p w:rsidR="00000000" w:rsidRDefault="00131F06">
      <w:pPr>
        <w:divId w:val="1529682025"/>
        <w:rPr>
          <w:rFonts w:eastAsia="Times New Roman"/>
        </w:rPr>
      </w:pPr>
      <w:r>
        <w:rPr>
          <w:rFonts w:ascii="Arial" w:eastAsia="Times New Roman" w:hAnsi="Arial" w:cs="Arial"/>
          <w:color w:val="000000"/>
          <w:sz w:val="20"/>
          <w:szCs w:val="20"/>
        </w:rPr>
        <w:t>On January 19, 2022, we closed a $750 million private placement of non-call 10-year fixed-to-fixed subordinated notes w</w:t>
      </w:r>
      <w:r>
        <w:rPr>
          <w:rFonts w:ascii="Arial" w:eastAsia="Times New Roman" w:hAnsi="Arial" w:cs="Arial"/>
          <w:color w:val="000000"/>
          <w:sz w:val="20"/>
          <w:szCs w:val="20"/>
        </w:rPr>
        <w:t>hich mature on January 19, 2082. The net proceeds from the offering were used to redeem Preference Shares, Series 17 at par on March 1, 2022.</w:t>
      </w:r>
    </w:p>
    <w:p w:rsidR="00000000" w:rsidRDefault="00131F06">
      <w:pPr>
        <w:divId w:val="346762137"/>
        <w:rPr>
          <w:rFonts w:eastAsia="Times New Roman"/>
        </w:rPr>
      </w:pPr>
    </w:p>
    <w:p w:rsidR="00000000" w:rsidRDefault="00131F06">
      <w:pPr>
        <w:divId w:val="741945740"/>
        <w:rPr>
          <w:rFonts w:eastAsia="Times New Roman"/>
        </w:rPr>
      </w:pPr>
      <w:r>
        <w:rPr>
          <w:rFonts w:ascii="Arial" w:eastAsia="Times New Roman" w:hAnsi="Arial" w:cs="Arial"/>
          <w:color w:val="000000"/>
          <w:sz w:val="20"/>
          <w:szCs w:val="20"/>
        </w:rPr>
        <w:t xml:space="preserve">On February 17, 2022, we closed a three tranche offering of aggregate US$1.5 billion senior notes consisting of </w:t>
      </w:r>
      <w:r>
        <w:rPr>
          <w:rFonts w:ascii="Arial" w:eastAsia="Times New Roman" w:hAnsi="Arial" w:cs="Arial"/>
          <w:color w:val="000000"/>
          <w:sz w:val="20"/>
          <w:szCs w:val="20"/>
        </w:rPr>
        <w:t>US$600 million two-year floating rate notes, US$400 million two-year notes and US$500 million three-year notes. Each tranche is payable semi-annually in arrears and matures on February 16, 2024, February 16, 2024 and February 14, 2025, respectively.</w:t>
      </w:r>
    </w:p>
    <w:p w:rsidR="00000000" w:rsidRDefault="00131F06">
      <w:pPr>
        <w:divId w:val="1809319937"/>
        <w:rPr>
          <w:rFonts w:eastAsia="Times New Roman"/>
        </w:rPr>
      </w:pPr>
    </w:p>
    <w:p w:rsidR="00000000" w:rsidRDefault="00131F06">
      <w:pPr>
        <w:divId w:val="212279928"/>
        <w:rPr>
          <w:rFonts w:eastAsia="Times New Roman"/>
        </w:rPr>
      </w:pPr>
      <w:r>
        <w:rPr>
          <w:rFonts w:ascii="Arial" w:eastAsia="Times New Roman" w:hAnsi="Arial" w:cs="Arial"/>
          <w:color w:val="000000"/>
          <w:sz w:val="20"/>
          <w:szCs w:val="20"/>
        </w:rPr>
        <w:t>On M</w:t>
      </w:r>
      <w:r>
        <w:rPr>
          <w:rFonts w:ascii="Arial" w:eastAsia="Times New Roman" w:hAnsi="Arial" w:cs="Arial"/>
          <w:color w:val="000000"/>
          <w:sz w:val="20"/>
          <w:szCs w:val="20"/>
        </w:rPr>
        <w:t>ay 17, 2022, we entered into a three year term loan with a syndicate of Japanese banks for approximately $806 million (¥84.8 billion), which will mature in May 2025 and replaces the approximately $499 million (¥52.5 billion) term loan that matured in May 2</w:t>
      </w:r>
      <w:r>
        <w:rPr>
          <w:rFonts w:ascii="Arial" w:eastAsia="Times New Roman" w:hAnsi="Arial" w:cs="Arial"/>
          <w:color w:val="000000"/>
          <w:sz w:val="20"/>
          <w:szCs w:val="20"/>
        </w:rPr>
        <w:t>022. Additionally, on May 24, 2022, we entered into a 364-day term loan for approximately $1.9 billion, which will mature in May 2023.</w:t>
      </w:r>
    </w:p>
    <w:p w:rsidR="00000000" w:rsidRDefault="00131F06">
      <w:pPr>
        <w:divId w:val="2026860575"/>
        <w:rPr>
          <w:rFonts w:eastAsia="Times New Roman"/>
        </w:rPr>
      </w:pPr>
    </w:p>
    <w:p w:rsidR="00000000" w:rsidRDefault="00131F06">
      <w:pPr>
        <w:divId w:val="2057313146"/>
        <w:rPr>
          <w:rFonts w:eastAsia="Times New Roman"/>
        </w:rPr>
      </w:pPr>
      <w:r>
        <w:rPr>
          <w:rFonts w:ascii="Arial" w:eastAsia="Times New Roman" w:hAnsi="Arial" w:cs="Arial"/>
          <w:color w:val="000000"/>
          <w:sz w:val="20"/>
          <w:szCs w:val="20"/>
        </w:rPr>
        <w:t>In July and August 2022, we increased our credit facilities by approximately $641 million.</w:t>
      </w:r>
    </w:p>
    <w:p w:rsidR="00000000" w:rsidRDefault="00131F06">
      <w:pPr>
        <w:divId w:val="608582573"/>
        <w:rPr>
          <w:rFonts w:eastAsia="Times New Roman"/>
        </w:rPr>
      </w:pPr>
    </w:p>
    <w:p w:rsidR="00000000" w:rsidRDefault="00131F06">
      <w:pPr>
        <w:divId w:val="2024546633"/>
        <w:rPr>
          <w:rFonts w:eastAsia="Times New Roman"/>
        </w:rPr>
      </w:pPr>
      <w:r>
        <w:rPr>
          <w:rFonts w:ascii="Arial" w:eastAsia="Times New Roman" w:hAnsi="Arial" w:cs="Arial"/>
          <w:color w:val="000000"/>
          <w:sz w:val="20"/>
          <w:szCs w:val="20"/>
        </w:rPr>
        <w:t>On August </w:t>
      </w:r>
      <w:r>
        <w:rPr>
          <w:rFonts w:ascii="Arial" w:eastAsia="Times New Roman" w:hAnsi="Arial" w:cs="Arial"/>
          <w:color w:val="000000"/>
          <w:sz w:val="20"/>
          <w:szCs w:val="20"/>
        </w:rPr>
        <w:t>17, 2022, Enbridge Gas closed a $650 million dual-tranche medium-term note offering in the Canadian debt capital markets, split evenly across a 10-year tranche and a 30-year tranche, payable semi-annually in arrears due August 17, 2032 and August 17, 2052,</w:t>
      </w:r>
      <w:r>
        <w:rPr>
          <w:rFonts w:ascii="Arial" w:eastAsia="Times New Roman" w:hAnsi="Arial" w:cs="Arial"/>
          <w:color w:val="000000"/>
          <w:sz w:val="20"/>
          <w:szCs w:val="20"/>
        </w:rPr>
        <w:t xml:space="preserve"> respectively.</w:t>
      </w:r>
    </w:p>
    <w:p w:rsidR="00000000" w:rsidRDefault="00131F06">
      <w:pPr>
        <w:divId w:val="126165027"/>
        <w:rPr>
          <w:rFonts w:eastAsia="Times New Roman"/>
        </w:rPr>
      </w:pPr>
    </w:p>
    <w:p w:rsidR="00000000" w:rsidRDefault="00131F06">
      <w:pPr>
        <w:divId w:val="1963074404"/>
        <w:rPr>
          <w:rFonts w:eastAsia="Times New Roman"/>
        </w:rPr>
      </w:pPr>
      <w:r>
        <w:rPr>
          <w:rFonts w:ascii="Arial" w:eastAsia="Times New Roman" w:hAnsi="Arial" w:cs="Arial"/>
          <w:color w:val="000000"/>
          <w:sz w:val="20"/>
          <w:szCs w:val="20"/>
        </w:rPr>
        <w:t>On September 20, 2022, we closed a US$1.1 billion dual-tranche hybrid note offering consisting of 60-year non-call 5-year fixed-to-fixed subordinated notes and 60-year non-call 10-year fixed-to-fixed subordinated notes, both of which matur</w:t>
      </w:r>
      <w:r>
        <w:rPr>
          <w:rFonts w:ascii="Arial" w:eastAsia="Times New Roman" w:hAnsi="Arial" w:cs="Arial"/>
          <w:color w:val="000000"/>
          <w:sz w:val="20"/>
          <w:szCs w:val="20"/>
        </w:rPr>
        <w:t xml:space="preserve">e on January 15, 2083. </w:t>
      </w:r>
    </w:p>
    <w:p w:rsidR="00000000" w:rsidRDefault="00131F06">
      <w:pPr>
        <w:divId w:val="985548085"/>
        <w:rPr>
          <w:rFonts w:eastAsia="Times New Roman"/>
        </w:rPr>
      </w:pPr>
    </w:p>
    <w:p w:rsidR="00000000" w:rsidRDefault="00131F06">
      <w:pPr>
        <w:divId w:val="356927861"/>
        <w:rPr>
          <w:rFonts w:eastAsia="Times New Roman"/>
        </w:rPr>
      </w:pPr>
      <w:r>
        <w:rPr>
          <w:rFonts w:ascii="Arial" w:eastAsia="Times New Roman" w:hAnsi="Arial" w:cs="Arial"/>
          <w:color w:val="000000"/>
          <w:sz w:val="20"/>
          <w:szCs w:val="20"/>
        </w:rPr>
        <w:t>These financing activities, in combination with the financing activities executed in 2021, provide significant liquidity that we expect will enable us to fund our current portfolio of capital projects without requiring access to t</w:t>
      </w:r>
      <w:r>
        <w:rPr>
          <w:rFonts w:ascii="Arial" w:eastAsia="Times New Roman" w:hAnsi="Arial" w:cs="Arial"/>
          <w:color w:val="000000"/>
          <w:sz w:val="20"/>
          <w:szCs w:val="20"/>
        </w:rPr>
        <w:t xml:space="preserve">he capital markets for the next 12 months should market access be restricted or pricing be unattractive. Refer to </w:t>
      </w:r>
      <w:r>
        <w:rPr>
          <w:rFonts w:ascii="Arial" w:eastAsia="Times New Roman" w:hAnsi="Arial" w:cs="Arial"/>
          <w:i/>
          <w:iCs/>
          <w:color w:val="000000"/>
          <w:sz w:val="20"/>
          <w:szCs w:val="20"/>
        </w:rPr>
        <w:t>Liquidity and Capital Resources</w:t>
      </w:r>
      <w:r>
        <w:rPr>
          <w:rFonts w:ascii="Arial" w:eastAsia="Times New Roman" w:hAnsi="Arial" w:cs="Arial"/>
          <w:color w:val="000000"/>
          <w:sz w:val="20"/>
          <w:szCs w:val="20"/>
        </w:rPr>
        <w:t xml:space="preserve">. </w:t>
      </w:r>
    </w:p>
    <w:p w:rsidR="00000000" w:rsidRDefault="00131F06">
      <w:pPr>
        <w:divId w:val="867259667"/>
        <w:rPr>
          <w:rFonts w:eastAsia="Times New Roman"/>
        </w:rPr>
      </w:pPr>
    </w:p>
    <w:p w:rsidR="00000000" w:rsidRDefault="00131F06">
      <w:pPr>
        <w:divId w:val="1610624436"/>
        <w:rPr>
          <w:rFonts w:eastAsia="Times New Roman"/>
        </w:rPr>
      </w:pPr>
      <w:r>
        <w:rPr>
          <w:rFonts w:ascii="Arial" w:eastAsia="Times New Roman" w:hAnsi="Arial" w:cs="Arial"/>
          <w:color w:val="000000"/>
          <w:sz w:val="20"/>
          <w:szCs w:val="20"/>
        </w:rPr>
        <w:t>As at September </w:t>
      </w:r>
      <w:r>
        <w:rPr>
          <w:rFonts w:ascii="Arial" w:eastAsia="Times New Roman" w:hAnsi="Arial" w:cs="Arial"/>
          <w:color w:val="000000"/>
          <w:sz w:val="20"/>
          <w:szCs w:val="20"/>
        </w:rPr>
        <w:t xml:space="preserve">30, 2022, after adjusting for the impact of floating-to-fixed interest rate swap hedges, approximately 10% of our total debt is exposed to floating rates. Refer to Part I. </w:t>
      </w:r>
      <w:r>
        <w:rPr>
          <w:rFonts w:ascii="Arial" w:eastAsia="Times New Roman" w:hAnsi="Arial" w:cs="Arial"/>
          <w:i/>
          <w:iCs/>
          <w:color w:val="000000"/>
          <w:sz w:val="20"/>
          <w:szCs w:val="20"/>
        </w:rPr>
        <w:t>Item I. Financial Statements - Note 9. Risk Management and Financial Instruments</w:t>
      </w:r>
      <w:r>
        <w:rPr>
          <w:rFonts w:ascii="Arial" w:eastAsia="Times New Roman" w:hAnsi="Arial" w:cs="Arial"/>
          <w:color w:val="000000"/>
          <w:sz w:val="20"/>
          <w:szCs w:val="20"/>
        </w:rPr>
        <w:t xml:space="preserve"> for</w:t>
      </w:r>
      <w:r>
        <w:rPr>
          <w:rFonts w:ascii="Arial" w:eastAsia="Times New Roman" w:hAnsi="Arial" w:cs="Arial"/>
          <w:color w:val="000000"/>
          <w:sz w:val="20"/>
          <w:szCs w:val="20"/>
        </w:rPr>
        <w:t xml:space="preserve"> more information on our interest rate hedging program.</w:t>
      </w:r>
    </w:p>
    <w:p w:rsidR="00000000" w:rsidRDefault="00131F06">
      <w:pPr>
        <w:divId w:val="1494492644"/>
        <w:rPr>
          <w:rFonts w:eastAsia="Times New Roman"/>
        </w:rPr>
      </w:pPr>
    </w:p>
    <w:p w:rsidR="00000000" w:rsidRDefault="00131F06">
      <w:pPr>
        <w:jc w:val="center"/>
        <w:divId w:val="773401854"/>
        <w:rPr>
          <w:rFonts w:eastAsia="Times New Roman"/>
        </w:rPr>
      </w:pPr>
      <w:r>
        <w:rPr>
          <w:rFonts w:ascii="Arial" w:eastAsia="Times New Roman" w:hAnsi="Arial" w:cs="Arial"/>
          <w:color w:val="000000"/>
          <w:sz w:val="20"/>
          <w:szCs w:val="20"/>
        </w:rPr>
        <w:t>40</w:t>
      </w:r>
    </w:p>
    <w:p w:rsidR="00000000" w:rsidRDefault="00131F06">
      <w:pPr>
        <w:rPr>
          <w:rFonts w:eastAsia="Times New Roman"/>
        </w:rPr>
      </w:pPr>
      <w:r>
        <w:rPr>
          <w:rFonts w:eastAsia="Times New Roman"/>
        </w:rPr>
        <w:pict>
          <v:rect id="_x0000_i1065" style="width:0;height:1.5pt" o:hralign="center" o:hrstd="t" o:hr="t" fillcolor="#a0a0a0" stroked="f"/>
        </w:pict>
      </w:r>
    </w:p>
    <w:p w:rsidR="00000000" w:rsidRDefault="00131F06">
      <w:pPr>
        <w:jc w:val="center"/>
        <w:divId w:val="1929920882"/>
        <w:rPr>
          <w:rFonts w:eastAsia="Times New Roman"/>
        </w:rPr>
      </w:pPr>
    </w:p>
    <w:p w:rsidR="00000000" w:rsidRDefault="00131F06">
      <w:pPr>
        <w:divId w:val="1225413263"/>
        <w:rPr>
          <w:rFonts w:eastAsia="Times New Roman"/>
        </w:rPr>
      </w:pPr>
      <w:r>
        <w:rPr>
          <w:rFonts w:ascii="Arial" w:eastAsia="Times New Roman" w:hAnsi="Arial" w:cs="Arial"/>
          <w:b/>
          <w:bCs/>
          <w:color w:val="000000"/>
          <w:sz w:val="26"/>
          <w:szCs w:val="26"/>
        </w:rPr>
        <w:t>RESULTS OF OPERATIONS</w:t>
      </w:r>
    </w:p>
    <w:p w:rsidR="00000000" w:rsidRDefault="00131F06">
      <w:pPr>
        <w:divId w:val="1313098619"/>
        <w:rPr>
          <w:rFonts w:eastAsia="Times New Roman"/>
        </w:rPr>
      </w:pPr>
      <w:r>
        <w:rPr>
          <w:rFonts w:ascii="Arial" w:eastAsia="Times New Roman" w:hAnsi="Arial" w:cs="Arial"/>
          <w:color w:val="000000"/>
          <w:sz w:val="4"/>
          <w:szCs w:val="4"/>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8"/>
        <w:gridCol w:w="65"/>
        <w:gridCol w:w="808"/>
        <w:gridCol w:w="37"/>
        <w:gridCol w:w="65"/>
        <w:gridCol w:w="808"/>
        <w:gridCol w:w="36"/>
        <w:gridCol w:w="36"/>
        <w:gridCol w:w="36"/>
        <w:gridCol w:w="36"/>
        <w:gridCol w:w="63"/>
        <w:gridCol w:w="806"/>
        <w:gridCol w:w="37"/>
        <w:gridCol w:w="65"/>
        <w:gridCol w:w="809"/>
        <w:gridCol w:w="36"/>
      </w:tblGrid>
      <w:tr w:rsidR="00000000">
        <w:trPr>
          <w:divId w:val="623080665"/>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623080665"/>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623080665"/>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ind w:hanging="180"/>
              <w:divId w:val="1472405008"/>
              <w:rPr>
                <w:rFonts w:eastAsia="Times New Roman"/>
              </w:rPr>
            </w:pPr>
            <w:r>
              <w:rPr>
                <w:rFonts w:ascii="Arial" w:eastAsia="Times New Roman" w:hAnsi="Arial" w:cs="Arial"/>
                <w:b/>
                <w:bCs/>
                <w:color w:val="000000"/>
                <w:sz w:val="20"/>
                <w:szCs w:val="20"/>
              </w:rPr>
              <w:t>Segment earnings/(loss)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divId w:val="1781414430"/>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1,946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1,673 </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6,093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5,756 </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divId w:val="709915178"/>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2,251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884 </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4,384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2,725 </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divId w:val="1812476352"/>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282 </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1,368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1,374 </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divId w:val="886839004"/>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105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91 </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389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362 </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divId w:val="319966045"/>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(70)</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(204)</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(348)</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(379)</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 w:type="dxa"/>
              <w:bottom w:w="30" w:type="dxa"/>
              <w:right w:w="20" w:type="dxa"/>
            </w:tcMar>
            <w:vAlign w:val="center"/>
            <w:hideMark/>
          </w:tcPr>
          <w:p w:rsidR="00000000" w:rsidRDefault="00131F06">
            <w:pPr>
              <w:spacing w:after="100"/>
              <w:divId w:val="1385980939"/>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(935)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(121)</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(1,284)</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191 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623080665"/>
        </w:trPr>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ind w:hanging="180"/>
              <w:divId w:val="297299101"/>
              <w:rPr>
                <w:rFonts w:eastAsia="Times New Roman"/>
              </w:rPr>
            </w:pPr>
            <w:r>
              <w:rPr>
                <w:rFonts w:ascii="Arial" w:eastAsia="Times New Roman" w:hAnsi="Arial" w:cs="Arial"/>
                <w:b/>
                <w:bCs/>
                <w:color w:val="000000"/>
                <w:sz w:val="20"/>
                <w:szCs w:val="20"/>
              </w:rPr>
              <w:t>Earnings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3,583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2,605 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10,602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10,029 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divId w:val="1812480852"/>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(1,076)</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(944)</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(3,195)</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(2,805)</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divId w:val="130053050"/>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(806)</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(648)</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(2,316)</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(1,923)</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(318)</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(199)</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(1,044)</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(952)</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0" w:type="dxa"/>
              <w:bottom w:w="30" w:type="dxa"/>
              <w:right w:w="20" w:type="dxa"/>
            </w:tcMar>
            <w:hideMark/>
          </w:tcPr>
          <w:p w:rsidR="00000000" w:rsidRDefault="00131F06">
            <w:pPr>
              <w:spacing w:after="100"/>
              <w:rPr>
                <w:rFonts w:eastAsia="Times New Roman"/>
              </w:rPr>
            </w:pPr>
            <w:r>
              <w:rPr>
                <w:rFonts w:ascii="Arial" w:eastAsia="Times New Roman" w:hAnsi="Arial" w:cs="Arial"/>
                <w:color w:val="000000"/>
                <w:sz w:val="20"/>
                <w:szCs w:val="20"/>
              </w:rPr>
              <w:t xml:space="preserve">Earnings attributable to noncontrolling interests </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(34)</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(61)</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(93)</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Mar>
              <w:top w:w="30" w:type="dxa"/>
              <w:left w:w="20" w:type="dxa"/>
              <w:bottom w:w="30" w:type="dxa"/>
              <w:right w:w="20" w:type="dxa"/>
            </w:tcMar>
            <w:hideMark/>
          </w:tcPr>
          <w:p w:rsidR="00000000" w:rsidRDefault="00131F06">
            <w:pPr>
              <w:spacing w:after="100"/>
              <w:divId w:val="1576629371"/>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(83)</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(98)</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(330)</w:t>
            </w:r>
          </w:p>
        </w:tc>
        <w:tc>
          <w:tcPr>
            <w:tcW w:w="0" w:type="auto"/>
            <w:shd w:val="clear" w:color="auto" w:fill="D9D9D9"/>
            <w:tcMar>
              <w:top w:w="30" w:type="dxa"/>
              <w:left w:w="0" w:type="dxa"/>
              <w:bottom w:w="30" w:type="dxa"/>
              <w:right w:w="20" w:type="dxa"/>
            </w:tcMa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(280)</w:t>
            </w:r>
          </w:p>
        </w:tc>
        <w:tc>
          <w:tcPr>
            <w:tcW w:w="0" w:type="auto"/>
            <w:tcMar>
              <w:top w:w="30" w:type="dxa"/>
              <w:left w:w="0" w:type="dxa"/>
              <w:bottom w:w="30" w:type="dxa"/>
              <w:right w:w="20" w:type="dxa"/>
            </w:tcMar>
            <w:hideMark/>
          </w:tcPr>
          <w:p w:rsidR="00000000" w:rsidRDefault="00131F06">
            <w:pPr>
              <w:spacing w:after="100"/>
              <w:jc w:val="right"/>
              <w:rPr>
                <w:rFonts w:eastAsia="Times New Roman"/>
              </w:rPr>
            </w:pPr>
          </w:p>
        </w:tc>
      </w:tr>
      <w:tr w:rsidR="00000000">
        <w:trPr>
          <w:divId w:val="62308066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1,279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682 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3,656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3,976 </w:t>
            </w:r>
          </w:p>
        </w:tc>
        <w:tc>
          <w:tcPr>
            <w:tcW w:w="0" w:type="auto"/>
            <w:tcBorders>
              <w:top w:val="single" w:sz="4"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623080665"/>
        </w:trPr>
        <w:tc>
          <w:tcPr>
            <w:tcW w:w="0" w:type="auto"/>
            <w:gridSpan w:val="3"/>
            <w:tcBorders>
              <w:top w:val="single" w:sz="8" w:space="0" w:color="000000"/>
            </w:tcBorders>
            <w:tcMar>
              <w:top w:w="30" w:type="dxa"/>
              <w:left w:w="380" w:type="dxa"/>
              <w:bottom w:w="30" w:type="dxa"/>
              <w:right w:w="20" w:type="dxa"/>
            </w:tcMar>
            <w:hideMark/>
          </w:tcPr>
          <w:p w:rsidR="00000000" w:rsidRDefault="00131F06">
            <w:pPr>
              <w:spacing w:after="100"/>
              <w:ind w:hanging="180"/>
              <w:rPr>
                <w:rFonts w:eastAsia="Times New Roman"/>
              </w:rPr>
            </w:pPr>
            <w:r>
              <w:rPr>
                <w:rFonts w:ascii="Arial" w:eastAsia="Times New Roman" w:hAnsi="Arial" w:cs="Arial"/>
                <w:color w:val="000000"/>
                <w:sz w:val="20"/>
                <w:szCs w:val="20"/>
              </w:rPr>
              <w:t xml:space="preserve">Earnings </w:t>
            </w:r>
            <w:r>
              <w:rPr>
                <w:rFonts w:ascii="Arial" w:eastAsia="Times New Roman" w:hAnsi="Arial" w:cs="Arial"/>
                <w:color w:val="000000"/>
                <w:sz w:val="20"/>
                <w:szCs w:val="20"/>
              </w:rPr>
              <w:t>per common share attributable to common shareholders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0.63</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0.34 </w:t>
            </w:r>
          </w:p>
        </w:tc>
        <w:tc>
          <w:tcPr>
            <w:tcW w:w="0" w:type="auto"/>
            <w:tcBorders>
              <w:top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1.80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1.97 </w:t>
            </w:r>
          </w:p>
        </w:tc>
        <w:tc>
          <w:tcPr>
            <w:tcW w:w="0" w:type="auto"/>
            <w:tcBorders>
              <w:top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623080665"/>
        </w:trPr>
        <w:tc>
          <w:tcPr>
            <w:tcW w:w="0" w:type="auto"/>
            <w:gridSpan w:val="3"/>
            <w:tcBorders>
              <w:top w:val="single" w:sz="8" w:space="0" w:color="000000"/>
              <w:bottom w:val="single" w:sz="8" w:space="0" w:color="000000"/>
            </w:tcBorders>
            <w:tcMar>
              <w:top w:w="30" w:type="dxa"/>
              <w:left w:w="380" w:type="dxa"/>
              <w:bottom w:w="30" w:type="dxa"/>
              <w:right w:w="20" w:type="dxa"/>
            </w:tcMar>
            <w:hideMark/>
          </w:tcPr>
          <w:p w:rsidR="00000000" w:rsidRDefault="00131F06">
            <w:pPr>
              <w:spacing w:after="100"/>
              <w:ind w:hanging="180"/>
              <w:rPr>
                <w:rFonts w:eastAsia="Times New Roman"/>
              </w:rPr>
            </w:pPr>
            <w:r>
              <w:rPr>
                <w:rFonts w:ascii="Arial" w:eastAsia="Times New Roman" w:hAnsi="Arial" w:cs="Arial"/>
                <w:color w:val="000000"/>
                <w:sz w:val="20"/>
                <w:szCs w:val="20"/>
              </w:rPr>
              <w:t>Diluted earnings per common share attributable to common shareholders</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0.63</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0.34 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1.80</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1.96 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ind w:hanging="180"/>
        <w:divId w:val="112754808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Non-GAAP financial measure. Please refer to </w:t>
      </w:r>
      <w:r>
        <w:rPr>
          <w:rFonts w:ascii="Arial" w:eastAsia="Times New Roman" w:hAnsi="Arial" w:cs="Arial"/>
          <w:color w:val="000000"/>
          <w:sz w:val="16"/>
          <w:szCs w:val="16"/>
        </w:rPr>
        <w:t>Non-GAAP and Other Financial Measures.</w:t>
      </w:r>
    </w:p>
    <w:p w:rsidR="00000000" w:rsidRDefault="00131F06">
      <w:pPr>
        <w:ind w:firstLine="180"/>
        <w:divId w:val="275261179"/>
        <w:rPr>
          <w:rFonts w:eastAsia="Times New Roman"/>
        </w:rPr>
      </w:pPr>
    </w:p>
    <w:p w:rsidR="00000000" w:rsidRDefault="00131F06">
      <w:pPr>
        <w:jc w:val="center"/>
        <w:divId w:val="244269623"/>
        <w:rPr>
          <w:rFonts w:eastAsia="Times New Roman"/>
        </w:rPr>
      </w:pPr>
      <w:r>
        <w:rPr>
          <w:rFonts w:ascii="Arial" w:eastAsia="Times New Roman" w:hAnsi="Arial" w:cs="Arial"/>
          <w:color w:val="000000"/>
          <w:sz w:val="20"/>
          <w:szCs w:val="20"/>
        </w:rPr>
        <w:t>41</w:t>
      </w:r>
    </w:p>
    <w:p w:rsidR="00000000" w:rsidRDefault="00131F06">
      <w:pPr>
        <w:rPr>
          <w:rFonts w:eastAsia="Times New Roman"/>
        </w:rPr>
      </w:pPr>
      <w:r>
        <w:rPr>
          <w:rFonts w:eastAsia="Times New Roman"/>
        </w:rPr>
        <w:pict>
          <v:rect id="_x0000_i1066" style="width:0;height:1.5pt" o:hralign="center" o:hrstd="t" o:hr="t" fillcolor="#a0a0a0" stroked="f"/>
        </w:pict>
      </w:r>
    </w:p>
    <w:p w:rsidR="00000000" w:rsidRDefault="00131F06">
      <w:pPr>
        <w:jc w:val="center"/>
        <w:divId w:val="1978148126"/>
        <w:rPr>
          <w:rFonts w:eastAsia="Times New Roman"/>
        </w:rPr>
      </w:pPr>
    </w:p>
    <w:p w:rsidR="00000000" w:rsidRDefault="00131F06">
      <w:pPr>
        <w:divId w:val="100614343"/>
        <w:rPr>
          <w:rFonts w:eastAsia="Times New Roman"/>
        </w:rPr>
      </w:pPr>
      <w:r>
        <w:rPr>
          <w:rFonts w:ascii="Arial" w:eastAsia="Times New Roman" w:hAnsi="Arial" w:cs="Arial"/>
          <w:b/>
          <w:bCs/>
          <w:color w:val="000000"/>
          <w:sz w:val="20"/>
          <w:szCs w:val="20"/>
        </w:rPr>
        <w:t>EARNINGS ATTRIBUTABLE TO COMMON SHAREHOLDERS</w:t>
      </w:r>
    </w:p>
    <w:p w:rsidR="00000000" w:rsidRDefault="00131F06">
      <w:pPr>
        <w:divId w:val="967394236"/>
        <w:rPr>
          <w:rFonts w:eastAsia="Times New Roman"/>
        </w:rPr>
      </w:pPr>
    </w:p>
    <w:p w:rsidR="00000000" w:rsidRDefault="00131F06">
      <w:pPr>
        <w:divId w:val="732389341"/>
        <w:rPr>
          <w:rFonts w:eastAsia="Times New Roman"/>
        </w:rPr>
      </w:pPr>
      <w:r>
        <w:rPr>
          <w:rFonts w:ascii="Arial" w:eastAsia="Times New Roman" w:hAnsi="Arial" w:cs="Arial"/>
          <w:b/>
          <w:bCs/>
          <w:color w:val="000000"/>
          <w:sz w:val="20"/>
          <w:szCs w:val="20"/>
        </w:rPr>
        <w:t>Three months ended September 30, 2022, compared with the three months ended Septemb</w:t>
      </w:r>
      <w:r>
        <w:rPr>
          <w:rFonts w:ascii="Arial" w:eastAsia="Times New Roman" w:hAnsi="Arial" w:cs="Arial"/>
          <w:b/>
          <w:bCs/>
          <w:color w:val="000000"/>
          <w:sz w:val="20"/>
          <w:szCs w:val="20"/>
        </w:rPr>
        <w:t>er 30, 2021</w:t>
      </w:r>
    </w:p>
    <w:p w:rsidR="00000000" w:rsidRDefault="00131F06">
      <w:pPr>
        <w:divId w:val="1315719444"/>
        <w:rPr>
          <w:rFonts w:eastAsia="Times New Roman"/>
        </w:rPr>
      </w:pPr>
    </w:p>
    <w:p w:rsidR="00000000" w:rsidRDefault="00131F06">
      <w:pPr>
        <w:divId w:val="634263069"/>
        <w:rPr>
          <w:rFonts w:eastAsia="Times New Roman"/>
        </w:rPr>
      </w:pPr>
      <w:r>
        <w:rPr>
          <w:rFonts w:ascii="Arial" w:eastAsia="Times New Roman" w:hAnsi="Arial" w:cs="Arial"/>
          <w:color w:val="000000"/>
          <w:sz w:val="20"/>
          <w:szCs w:val="20"/>
        </w:rPr>
        <w:t>Earnings attributable to common shareholders were positively impacted by $415 million due to certain infrequent or other non-operating factors, primarily explained by the following:</w:t>
      </w:r>
    </w:p>
    <w:p w:rsidR="00000000" w:rsidRDefault="00131F06">
      <w:pPr>
        <w:divId w:val="1448620848"/>
        <w:rPr>
          <w:rFonts w:eastAsia="Times New Roman"/>
        </w:rPr>
      </w:pPr>
    </w:p>
    <w:p w:rsidR="00000000" w:rsidRDefault="00131F06">
      <w:pPr>
        <w:ind w:hanging="180"/>
        <w:divId w:val="1437365057"/>
        <w:rPr>
          <w:rFonts w:eastAsia="Times New Roman"/>
        </w:rPr>
      </w:pPr>
      <w:r>
        <w:rPr>
          <w:rFonts w:ascii="Arial" w:eastAsia="Times New Roman" w:hAnsi="Arial" w:cs="Arial"/>
          <w:color w:val="000000"/>
          <w:sz w:val="20"/>
          <w:szCs w:val="20"/>
        </w:rPr>
        <w:t xml:space="preserve">•a gain of $1,076 million ($732 million after-tax) on the </w:t>
      </w:r>
      <w:r>
        <w:rPr>
          <w:rFonts w:ascii="Arial" w:eastAsia="Times New Roman" w:hAnsi="Arial" w:cs="Arial"/>
          <w:color w:val="000000"/>
          <w:sz w:val="20"/>
          <w:szCs w:val="20"/>
        </w:rPr>
        <w:t>closing of the joint venture merger transaction with P66 realigning our indirect economic interests in Gray Oak and DCP;</w:t>
      </w:r>
    </w:p>
    <w:p w:rsidR="00000000" w:rsidRDefault="00131F06">
      <w:pPr>
        <w:ind w:hanging="180"/>
        <w:divId w:val="910652447"/>
        <w:rPr>
          <w:rFonts w:eastAsia="Times New Roman"/>
        </w:rPr>
      </w:pPr>
      <w:r>
        <w:rPr>
          <w:rFonts w:ascii="Arial" w:eastAsia="Times New Roman" w:hAnsi="Arial" w:cs="Arial"/>
          <w:color w:val="000000"/>
          <w:sz w:val="20"/>
          <w:szCs w:val="20"/>
        </w:rPr>
        <w:t>•a deferred tax benefit of $95 million recognized in the quarter as a result of the reduced Pennsylvania state corporate income tax;</w:t>
      </w:r>
    </w:p>
    <w:p w:rsidR="00000000" w:rsidRDefault="00131F06">
      <w:pPr>
        <w:ind w:hanging="180"/>
        <w:divId w:val="2023318408"/>
        <w:rPr>
          <w:rFonts w:eastAsia="Times New Roman"/>
        </w:rPr>
      </w:pPr>
      <w:r>
        <w:rPr>
          <w:rFonts w:ascii="Arial" w:eastAsia="Times New Roman" w:hAnsi="Arial" w:cs="Arial"/>
          <w:color w:val="000000"/>
          <w:sz w:val="20"/>
          <w:szCs w:val="20"/>
        </w:rPr>
        <w:t>•t</w:t>
      </w:r>
      <w:r>
        <w:rPr>
          <w:rFonts w:ascii="Arial" w:eastAsia="Times New Roman" w:hAnsi="Arial" w:cs="Arial"/>
          <w:color w:val="000000"/>
          <w:sz w:val="20"/>
          <w:szCs w:val="20"/>
        </w:rPr>
        <w:t>he absence of the $111 million ($83 million after-tax) impairment loss in 2021 to our investment in the PennEast Pipeline Company, LLC (PennEast) pipeline project after a decision by project partners to cease development;</w:t>
      </w:r>
    </w:p>
    <w:p w:rsidR="00000000" w:rsidRDefault="00131F06">
      <w:pPr>
        <w:ind w:hanging="180"/>
        <w:divId w:val="36900566"/>
        <w:rPr>
          <w:rFonts w:eastAsia="Times New Roman"/>
        </w:rPr>
      </w:pPr>
      <w:r>
        <w:rPr>
          <w:rFonts w:ascii="Arial" w:eastAsia="Times New Roman" w:hAnsi="Arial" w:cs="Arial"/>
          <w:color w:val="000000"/>
          <w:sz w:val="20"/>
          <w:szCs w:val="20"/>
        </w:rPr>
        <w:t xml:space="preserve">•a net positive adjustment of $85 </w:t>
      </w:r>
      <w:r>
        <w:rPr>
          <w:rFonts w:ascii="Arial" w:eastAsia="Times New Roman" w:hAnsi="Arial" w:cs="Arial"/>
          <w:color w:val="000000"/>
          <w:sz w:val="20"/>
          <w:szCs w:val="20"/>
        </w:rPr>
        <w:t>million ($75 million after-tax) due to the release of reserves associated with our enterprise insurance strategy; and</w:t>
      </w:r>
    </w:p>
    <w:p w:rsidR="00000000" w:rsidRDefault="00131F06">
      <w:pPr>
        <w:ind w:hanging="180"/>
        <w:divId w:val="638001741"/>
        <w:rPr>
          <w:rFonts w:eastAsia="Times New Roman"/>
        </w:rPr>
      </w:pPr>
      <w:r>
        <w:rPr>
          <w:rFonts w:eastAsia="Times New Roman"/>
          <w:color w:val="000000"/>
          <w:sz w:val="20"/>
          <w:szCs w:val="20"/>
        </w:rPr>
        <w:t>•</w:t>
      </w:r>
      <w:r>
        <w:rPr>
          <w:rFonts w:ascii="Arial" w:eastAsia="Times New Roman" w:hAnsi="Arial" w:cs="Arial"/>
          <w:color w:val="000000"/>
          <w:sz w:val="20"/>
          <w:szCs w:val="20"/>
        </w:rPr>
        <w:t>non-cash, unrealized gains of $58 million ($44 million after-tax) in 2022, compared with unrealized losses of $88 million ($67 million after-tax) in 2021, reflecting the revaluation of derivatives used to manage the profitability of transportation and stor</w:t>
      </w:r>
      <w:r>
        <w:rPr>
          <w:rFonts w:ascii="Arial" w:eastAsia="Times New Roman" w:hAnsi="Arial" w:cs="Arial"/>
          <w:color w:val="000000"/>
          <w:sz w:val="20"/>
          <w:szCs w:val="20"/>
        </w:rPr>
        <w:t>age transactions, as well as manage the exposure to movements in commodity prices; partially offset by</w:t>
      </w:r>
    </w:p>
    <w:p w:rsidR="00000000" w:rsidRDefault="00131F06">
      <w:pPr>
        <w:ind w:hanging="180"/>
        <w:divId w:val="93524533"/>
        <w:rPr>
          <w:rFonts w:eastAsia="Times New Roman"/>
        </w:rPr>
      </w:pPr>
      <w:r>
        <w:rPr>
          <w:rFonts w:ascii="Arial" w:eastAsia="Times New Roman" w:hAnsi="Arial" w:cs="Arial"/>
          <w:color w:val="000000"/>
          <w:sz w:val="20"/>
          <w:szCs w:val="20"/>
        </w:rPr>
        <w:t>•non-cash, net unrealized derivative fair value losses of $1,334 million ($1,021 million after-tax) in 2022, compared with unrealized losses of $436 mill</w:t>
      </w:r>
      <w:r>
        <w:rPr>
          <w:rFonts w:ascii="Arial" w:eastAsia="Times New Roman" w:hAnsi="Arial" w:cs="Arial"/>
          <w:color w:val="000000"/>
          <w:sz w:val="20"/>
          <w:szCs w:val="20"/>
        </w:rPr>
        <w:t>ion ($332 million after-tax) in 2021, reflecting changes in the mark-to-market value of derivative financial instruments used to manage foreign exchange risks.</w:t>
      </w:r>
    </w:p>
    <w:p w:rsidR="00000000" w:rsidRDefault="00131F06">
      <w:pPr>
        <w:divId w:val="284192615"/>
        <w:rPr>
          <w:rFonts w:eastAsia="Times New Roman"/>
        </w:rPr>
      </w:pPr>
    </w:p>
    <w:p w:rsidR="00000000" w:rsidRDefault="00131F06">
      <w:pPr>
        <w:divId w:val="1833984721"/>
        <w:rPr>
          <w:rFonts w:eastAsia="Times New Roman"/>
        </w:rPr>
      </w:pPr>
      <w:r>
        <w:rPr>
          <w:rFonts w:ascii="Arial" w:eastAsia="Times New Roman" w:hAnsi="Arial" w:cs="Arial"/>
          <w:color w:val="000000"/>
          <w:sz w:val="20"/>
          <w:szCs w:val="20"/>
        </w:rPr>
        <w:t>The non-cash, unrealized derivative fair value gains and losses discussed above generally aris</w:t>
      </w:r>
      <w:r>
        <w:rPr>
          <w:rFonts w:ascii="Arial" w:eastAsia="Times New Roman" w:hAnsi="Arial" w:cs="Arial"/>
          <w:color w:val="000000"/>
          <w:sz w:val="20"/>
          <w:szCs w:val="20"/>
        </w:rPr>
        <w:t>e as a result of our comprehensive economic hedging program to mitigate foreign exchange and commodity price risks. This program creates volatility in reported short-term earnings through the recognition of unrealized non-cash gains and losses on derivativ</w:t>
      </w:r>
      <w:r>
        <w:rPr>
          <w:rFonts w:ascii="Arial" w:eastAsia="Times New Roman" w:hAnsi="Arial" w:cs="Arial"/>
          <w:color w:val="000000"/>
          <w:sz w:val="20"/>
          <w:szCs w:val="20"/>
        </w:rPr>
        <w:t>e instruments used to hedge these risks. Over the long-term, we believe our hedging program supports the reliable cash flows and dividend growth upon which our investor value proposition is based.</w:t>
      </w:r>
    </w:p>
    <w:p w:rsidR="00000000" w:rsidRDefault="00131F06">
      <w:pPr>
        <w:divId w:val="352077269"/>
        <w:rPr>
          <w:rFonts w:eastAsia="Times New Roman"/>
        </w:rPr>
      </w:pPr>
    </w:p>
    <w:p w:rsidR="00000000" w:rsidRDefault="00131F06">
      <w:pPr>
        <w:divId w:val="141119466"/>
        <w:rPr>
          <w:rFonts w:eastAsia="Times New Roman"/>
        </w:rPr>
      </w:pPr>
      <w:r>
        <w:rPr>
          <w:rFonts w:ascii="Arial" w:eastAsia="Times New Roman" w:hAnsi="Arial" w:cs="Arial"/>
          <w:color w:val="000000"/>
          <w:sz w:val="20"/>
          <w:szCs w:val="20"/>
        </w:rPr>
        <w:t>After taking into consideration the factors above, the re</w:t>
      </w:r>
      <w:r>
        <w:rPr>
          <w:rFonts w:ascii="Arial" w:eastAsia="Times New Roman" w:hAnsi="Arial" w:cs="Arial"/>
          <w:color w:val="000000"/>
          <w:sz w:val="20"/>
          <w:szCs w:val="20"/>
        </w:rPr>
        <w:t>maining $182 million increase in earnings attributable to common shareholders is primarily explained by:</w:t>
      </w:r>
    </w:p>
    <w:p w:rsidR="00000000" w:rsidRDefault="00131F06">
      <w:pPr>
        <w:divId w:val="1635065522"/>
        <w:rPr>
          <w:rFonts w:eastAsia="Times New Roman"/>
        </w:rPr>
      </w:pPr>
    </w:p>
    <w:p w:rsidR="00000000" w:rsidRDefault="00131F06">
      <w:pPr>
        <w:ind w:hanging="180"/>
        <w:divId w:val="481234648"/>
        <w:rPr>
          <w:rFonts w:eastAsia="Times New Roman"/>
        </w:rPr>
      </w:pPr>
      <w:r>
        <w:rPr>
          <w:rFonts w:eastAsia="Times New Roman"/>
          <w:color w:val="000000"/>
          <w:sz w:val="20"/>
          <w:szCs w:val="20"/>
        </w:rPr>
        <w:t>•</w:t>
      </w:r>
      <w:r>
        <w:rPr>
          <w:rFonts w:ascii="Arial" w:eastAsia="Times New Roman" w:hAnsi="Arial" w:cs="Arial"/>
          <w:color w:val="000000"/>
          <w:sz w:val="20"/>
          <w:szCs w:val="20"/>
        </w:rPr>
        <w:t>higher throughput within our Liquids Pipelines segment driven by higher demand and incremental Line 3 Replacement (L3R) capacity that came into serv</w:t>
      </w:r>
      <w:r>
        <w:rPr>
          <w:rFonts w:ascii="Arial" w:eastAsia="Times New Roman" w:hAnsi="Arial" w:cs="Arial"/>
          <w:color w:val="000000"/>
          <w:sz w:val="20"/>
          <w:szCs w:val="20"/>
        </w:rPr>
        <w:t>ice October 2021;</w:t>
      </w:r>
    </w:p>
    <w:p w:rsidR="00000000" w:rsidRDefault="00131F06">
      <w:pPr>
        <w:ind w:hanging="180"/>
        <w:divId w:val="2126387252"/>
        <w:rPr>
          <w:rFonts w:eastAsia="Times New Roman"/>
        </w:rPr>
      </w:pPr>
      <w:r>
        <w:rPr>
          <w:rFonts w:eastAsia="Times New Roman"/>
          <w:color w:val="000000"/>
          <w:sz w:val="20"/>
          <w:szCs w:val="20"/>
        </w:rPr>
        <w:t>•</w:t>
      </w:r>
      <w:r>
        <w:rPr>
          <w:rFonts w:ascii="Arial" w:eastAsia="Times New Roman" w:hAnsi="Arial" w:cs="Arial"/>
          <w:color w:val="000000"/>
          <w:sz w:val="20"/>
          <w:szCs w:val="20"/>
        </w:rPr>
        <w:t>increased earnings within our Liquids Pipelines segment from the implementation of the full L3R surcharge when compared to the lower surcharge on the Canadian portion of the project in effect prior to October 2021, as well as from new export assets acquire</w:t>
      </w:r>
      <w:r>
        <w:rPr>
          <w:rFonts w:ascii="Arial" w:eastAsia="Times New Roman" w:hAnsi="Arial" w:cs="Arial"/>
          <w:color w:val="000000"/>
          <w:sz w:val="20"/>
          <w:szCs w:val="20"/>
        </w:rPr>
        <w:t>d in October 2021;</w:t>
      </w:r>
    </w:p>
    <w:p w:rsidR="00000000" w:rsidRDefault="00131F06">
      <w:pPr>
        <w:ind w:hanging="180"/>
        <w:divId w:val="481427641"/>
        <w:rPr>
          <w:rFonts w:eastAsia="Times New Roman"/>
        </w:rPr>
      </w:pPr>
      <w:r>
        <w:rPr>
          <w:rFonts w:ascii="Arial" w:eastAsia="Times New Roman" w:hAnsi="Arial" w:cs="Arial"/>
          <w:color w:val="000000"/>
          <w:sz w:val="20"/>
          <w:szCs w:val="20"/>
        </w:rPr>
        <w:t>•increased earnings from our Gas Transmission and Midstream segment primarily as a result of higher commodity prices benefiting our investments in DCP and Aux Sable Midstream LLC (Aux Sable), as well as higher contributions from projects</w:t>
      </w:r>
      <w:r>
        <w:rPr>
          <w:rFonts w:ascii="Arial" w:eastAsia="Times New Roman" w:hAnsi="Arial" w:cs="Arial"/>
          <w:color w:val="000000"/>
          <w:sz w:val="20"/>
          <w:szCs w:val="20"/>
        </w:rPr>
        <w:t xml:space="preserve"> placed into service in November 2021; and</w:t>
      </w:r>
    </w:p>
    <w:p w:rsidR="00000000" w:rsidRDefault="00131F06">
      <w:pPr>
        <w:ind w:hanging="180"/>
        <w:divId w:val="847403729"/>
        <w:rPr>
          <w:rFonts w:eastAsia="Times New Roman"/>
        </w:rPr>
      </w:pPr>
      <w:r>
        <w:rPr>
          <w:rFonts w:ascii="Arial" w:eastAsia="Times New Roman" w:hAnsi="Arial" w:cs="Arial"/>
          <w:color w:val="000000"/>
          <w:sz w:val="20"/>
          <w:szCs w:val="20"/>
        </w:rPr>
        <w:t>•recognition of revenues attributable to the Texas Eastern rate case resulting from an uncontested Stipulation and Agreement; partially offset by</w:t>
      </w:r>
    </w:p>
    <w:p w:rsidR="00000000" w:rsidRDefault="00131F06">
      <w:pPr>
        <w:ind w:hanging="180"/>
        <w:divId w:val="692416598"/>
        <w:rPr>
          <w:rFonts w:eastAsia="Times New Roman"/>
        </w:rPr>
      </w:pPr>
      <w:r>
        <w:rPr>
          <w:rFonts w:eastAsia="Times New Roman"/>
          <w:color w:val="000000"/>
          <w:sz w:val="20"/>
          <w:szCs w:val="20"/>
        </w:rPr>
        <w:t>•</w:t>
      </w:r>
      <w:r>
        <w:rPr>
          <w:rFonts w:ascii="Arial" w:eastAsia="Times New Roman" w:hAnsi="Arial" w:cs="Arial"/>
          <w:color w:val="000000"/>
          <w:sz w:val="20"/>
          <w:szCs w:val="20"/>
        </w:rPr>
        <w:t>higher interest expense primarily due to reduced capitalized inter</w:t>
      </w:r>
      <w:r>
        <w:rPr>
          <w:rFonts w:ascii="Arial" w:eastAsia="Times New Roman" w:hAnsi="Arial" w:cs="Arial"/>
          <w:color w:val="000000"/>
          <w:sz w:val="20"/>
          <w:szCs w:val="20"/>
        </w:rPr>
        <w:t>est associated with the US portion of the L3R Project placed into service in the fourth quarter of 2021, as well as higher average principal and higher interest rates; and</w:t>
      </w:r>
    </w:p>
    <w:p w:rsidR="00000000" w:rsidRDefault="00131F06">
      <w:pPr>
        <w:ind w:hanging="180"/>
        <w:divId w:val="1287083791"/>
        <w:rPr>
          <w:rFonts w:eastAsia="Times New Roman"/>
        </w:rPr>
      </w:pPr>
      <w:r>
        <w:rPr>
          <w:rFonts w:eastAsia="Times New Roman"/>
          <w:color w:val="000000"/>
          <w:sz w:val="20"/>
          <w:szCs w:val="20"/>
        </w:rPr>
        <w:t>•</w:t>
      </w:r>
      <w:r>
        <w:rPr>
          <w:rFonts w:ascii="Arial" w:eastAsia="Times New Roman" w:hAnsi="Arial" w:cs="Arial"/>
          <w:color w:val="000000"/>
          <w:sz w:val="20"/>
          <w:szCs w:val="20"/>
        </w:rPr>
        <w:t>higher depreciation and amortization expense as a result of several projects placed</w:t>
      </w:r>
      <w:r>
        <w:rPr>
          <w:rFonts w:ascii="Arial" w:eastAsia="Times New Roman" w:hAnsi="Arial" w:cs="Arial"/>
          <w:color w:val="000000"/>
          <w:sz w:val="20"/>
          <w:szCs w:val="20"/>
        </w:rPr>
        <w:t xml:space="preserve"> into service in the fourth quarter of 2021, as well as for new export assets acquired in October 2021.</w:t>
      </w:r>
    </w:p>
    <w:p w:rsidR="00000000" w:rsidRDefault="00131F06">
      <w:pPr>
        <w:divId w:val="141317399"/>
        <w:rPr>
          <w:rFonts w:eastAsia="Times New Roman"/>
        </w:rPr>
      </w:pPr>
    </w:p>
    <w:p w:rsidR="00000000" w:rsidRDefault="00131F06">
      <w:pPr>
        <w:jc w:val="center"/>
        <w:divId w:val="1659648403"/>
        <w:rPr>
          <w:rFonts w:eastAsia="Times New Roman"/>
        </w:rPr>
      </w:pPr>
      <w:r>
        <w:rPr>
          <w:rFonts w:ascii="Arial" w:eastAsia="Times New Roman" w:hAnsi="Arial" w:cs="Arial"/>
          <w:color w:val="000000"/>
          <w:sz w:val="20"/>
          <w:szCs w:val="20"/>
        </w:rPr>
        <w:t>42</w:t>
      </w:r>
    </w:p>
    <w:p w:rsidR="00000000" w:rsidRDefault="00131F06">
      <w:pPr>
        <w:rPr>
          <w:rFonts w:eastAsia="Times New Roman"/>
        </w:rPr>
      </w:pPr>
      <w:r>
        <w:rPr>
          <w:rFonts w:eastAsia="Times New Roman"/>
        </w:rPr>
        <w:pict>
          <v:rect id="_x0000_i1067" style="width:0;height:1.5pt" o:hralign="center" o:hrstd="t" o:hr="t" fillcolor="#a0a0a0" stroked="f"/>
        </w:pict>
      </w:r>
    </w:p>
    <w:p w:rsidR="00000000" w:rsidRDefault="00131F06">
      <w:pPr>
        <w:jc w:val="center"/>
        <w:divId w:val="2039964727"/>
        <w:rPr>
          <w:rFonts w:eastAsia="Times New Roman"/>
        </w:rPr>
      </w:pPr>
    </w:p>
    <w:p w:rsidR="00000000" w:rsidRDefault="00131F06">
      <w:pPr>
        <w:divId w:val="1237517295"/>
        <w:rPr>
          <w:rFonts w:eastAsia="Times New Roman"/>
        </w:rPr>
      </w:pPr>
      <w:r>
        <w:rPr>
          <w:rFonts w:ascii="Arial" w:eastAsia="Times New Roman" w:hAnsi="Arial" w:cs="Arial"/>
          <w:b/>
          <w:bCs/>
          <w:color w:val="000000"/>
          <w:sz w:val="20"/>
          <w:szCs w:val="20"/>
        </w:rPr>
        <w:t>Nine months ended September 30, 2022, compared with the nine months ended September 30, 2021</w:t>
      </w:r>
    </w:p>
    <w:p w:rsidR="00000000" w:rsidRDefault="00131F06">
      <w:pPr>
        <w:divId w:val="1700662108"/>
        <w:rPr>
          <w:rFonts w:eastAsia="Times New Roman"/>
        </w:rPr>
      </w:pPr>
    </w:p>
    <w:p w:rsidR="00000000" w:rsidRDefault="00131F06">
      <w:pPr>
        <w:divId w:val="1623538675"/>
        <w:rPr>
          <w:rFonts w:eastAsia="Times New Roman"/>
        </w:rPr>
      </w:pPr>
      <w:r>
        <w:rPr>
          <w:rFonts w:ascii="Arial" w:eastAsia="Times New Roman" w:hAnsi="Arial" w:cs="Arial"/>
          <w:color w:val="000000"/>
          <w:sz w:val="20"/>
          <w:szCs w:val="20"/>
        </w:rPr>
        <w:t>Earnings attr</w:t>
      </w:r>
      <w:r>
        <w:rPr>
          <w:rFonts w:ascii="Arial" w:eastAsia="Times New Roman" w:hAnsi="Arial" w:cs="Arial"/>
          <w:color w:val="000000"/>
          <w:sz w:val="20"/>
          <w:szCs w:val="20"/>
        </w:rPr>
        <w:t>ibutable to common shareholders were negatively impacted by $566 million due to certain infrequent or other non-operating factors, primarily explained by the following:</w:t>
      </w:r>
    </w:p>
    <w:p w:rsidR="00000000" w:rsidRDefault="00131F06">
      <w:pPr>
        <w:divId w:val="2004508597"/>
        <w:rPr>
          <w:rFonts w:eastAsia="Times New Roman"/>
        </w:rPr>
      </w:pPr>
    </w:p>
    <w:p w:rsidR="00000000" w:rsidRDefault="00131F06">
      <w:pPr>
        <w:ind w:hanging="180"/>
        <w:divId w:val="1050493723"/>
        <w:rPr>
          <w:rFonts w:eastAsia="Times New Roman"/>
        </w:rPr>
      </w:pPr>
      <w:r>
        <w:rPr>
          <w:rFonts w:ascii="Arial" w:eastAsia="Times New Roman" w:hAnsi="Arial" w:cs="Arial"/>
          <w:color w:val="000000"/>
          <w:sz w:val="20"/>
          <w:szCs w:val="20"/>
        </w:rPr>
        <w:t>•non-cash, net unrealized derivative fair value losses of $1,751 million ($1,340 mill</w:t>
      </w:r>
      <w:r>
        <w:rPr>
          <w:rFonts w:ascii="Arial" w:eastAsia="Times New Roman" w:hAnsi="Arial" w:cs="Arial"/>
          <w:color w:val="000000"/>
          <w:sz w:val="20"/>
          <w:szCs w:val="20"/>
        </w:rPr>
        <w:t>ion after-tax) in 2022, compared with unrealized gains of $85 million ($65 million after-tax) in 2021, reflecting changes in the mark-to-market value of derivative financial instruments used to manage foreign exchange risks;</w:t>
      </w:r>
    </w:p>
    <w:p w:rsidR="00000000" w:rsidRDefault="00131F06">
      <w:pPr>
        <w:ind w:hanging="180"/>
        <w:divId w:val="38864141"/>
        <w:rPr>
          <w:rFonts w:eastAsia="Times New Roman"/>
        </w:rPr>
      </w:pPr>
      <w:r>
        <w:rPr>
          <w:rFonts w:ascii="Arial" w:eastAsia="Times New Roman" w:hAnsi="Arial" w:cs="Arial"/>
          <w:color w:val="000000"/>
          <w:sz w:val="20"/>
          <w:szCs w:val="20"/>
        </w:rPr>
        <w:t>•a net negative adjustment to c</w:t>
      </w:r>
      <w:r>
        <w:rPr>
          <w:rFonts w:ascii="Arial" w:eastAsia="Times New Roman" w:hAnsi="Arial" w:cs="Arial"/>
          <w:color w:val="000000"/>
          <w:sz w:val="20"/>
          <w:szCs w:val="20"/>
        </w:rPr>
        <w:t>rude oil and natural gas inventories in our Energy Services business segment of $67 million ($50 million after-tax);</w:t>
      </w:r>
    </w:p>
    <w:p w:rsidR="00000000" w:rsidRDefault="00131F06">
      <w:pPr>
        <w:ind w:hanging="180"/>
        <w:divId w:val="1227375675"/>
        <w:rPr>
          <w:rFonts w:eastAsia="Times New Roman"/>
        </w:rPr>
      </w:pPr>
      <w:r>
        <w:rPr>
          <w:rFonts w:ascii="Arial" w:eastAsia="Times New Roman" w:hAnsi="Arial" w:cs="Arial"/>
          <w:color w:val="000000"/>
          <w:sz w:val="20"/>
          <w:szCs w:val="20"/>
        </w:rPr>
        <w:t>•the absence in 2022 of a $57 million ($43 million after-tax) property tax settlement received in 2021 related to the resolution of Minneso</w:t>
      </w:r>
      <w:r>
        <w:rPr>
          <w:rFonts w:ascii="Arial" w:eastAsia="Times New Roman" w:hAnsi="Arial" w:cs="Arial"/>
          <w:color w:val="000000"/>
          <w:sz w:val="20"/>
          <w:szCs w:val="20"/>
        </w:rPr>
        <w:t>ta property tax appeals for 2012-2018;</w:t>
      </w:r>
    </w:p>
    <w:p w:rsidR="00000000" w:rsidRDefault="00131F06">
      <w:pPr>
        <w:ind w:hanging="180"/>
        <w:divId w:val="753086842"/>
        <w:rPr>
          <w:rFonts w:eastAsia="Times New Roman"/>
        </w:rPr>
      </w:pPr>
      <w:r>
        <w:rPr>
          <w:rFonts w:ascii="Arial" w:eastAsia="Times New Roman" w:hAnsi="Arial" w:cs="Arial"/>
          <w:color w:val="000000"/>
          <w:sz w:val="20"/>
          <w:szCs w:val="20"/>
        </w:rPr>
        <w:t>•an impairment of $44 million ($34 million after-tax) for lease assets due to office relocation plans; and</w:t>
      </w:r>
    </w:p>
    <w:p w:rsidR="00000000" w:rsidRDefault="00131F06">
      <w:pPr>
        <w:ind w:hanging="180"/>
        <w:divId w:val="549923541"/>
        <w:rPr>
          <w:rFonts w:eastAsia="Times New Roman"/>
        </w:rPr>
      </w:pPr>
      <w:r>
        <w:rPr>
          <w:rFonts w:ascii="Arial" w:eastAsia="Times New Roman" w:hAnsi="Arial" w:cs="Arial"/>
          <w:color w:val="000000"/>
          <w:sz w:val="20"/>
          <w:szCs w:val="20"/>
        </w:rPr>
        <w:t>•an asset impairment loss of $40 million ($30 million after-tax) relating to MacKay River line within our Albe</w:t>
      </w:r>
      <w:r>
        <w:rPr>
          <w:rFonts w:ascii="Arial" w:eastAsia="Times New Roman" w:hAnsi="Arial" w:cs="Arial"/>
          <w:color w:val="000000"/>
          <w:sz w:val="20"/>
          <w:szCs w:val="20"/>
        </w:rPr>
        <w:t>rta Regional Oil Sands System; partially offset by</w:t>
      </w:r>
    </w:p>
    <w:p w:rsidR="00000000" w:rsidRDefault="00131F06">
      <w:pPr>
        <w:ind w:hanging="180"/>
        <w:divId w:val="1269503027"/>
        <w:rPr>
          <w:rFonts w:eastAsia="Times New Roman"/>
        </w:rPr>
      </w:pPr>
      <w:r>
        <w:rPr>
          <w:rFonts w:ascii="Arial" w:eastAsia="Times New Roman" w:hAnsi="Arial" w:cs="Arial"/>
          <w:color w:val="000000"/>
          <w:sz w:val="20"/>
          <w:szCs w:val="20"/>
        </w:rPr>
        <w:t>•a gain of $1,076 million ($732 million after-tax) on the closing of the joint venture merger transaction with P66 realigning our indirect economic interests in Gray Oak and DCP;</w:t>
      </w:r>
    </w:p>
    <w:p w:rsidR="00000000" w:rsidRDefault="00131F06">
      <w:pPr>
        <w:ind w:hanging="180"/>
        <w:divId w:val="38600742"/>
        <w:rPr>
          <w:rFonts w:eastAsia="Times New Roman"/>
        </w:rPr>
      </w:pPr>
      <w:r>
        <w:rPr>
          <w:rFonts w:eastAsia="Times New Roman"/>
          <w:color w:val="000000"/>
          <w:sz w:val="20"/>
          <w:szCs w:val="20"/>
        </w:rPr>
        <w:t>•</w:t>
      </w:r>
      <w:r>
        <w:rPr>
          <w:rFonts w:ascii="Arial" w:eastAsia="Times New Roman" w:hAnsi="Arial" w:cs="Arial"/>
          <w:color w:val="000000"/>
          <w:sz w:val="20"/>
          <w:szCs w:val="20"/>
        </w:rPr>
        <w:t>a deferred tax benefit of</w:t>
      </w:r>
      <w:r>
        <w:rPr>
          <w:rFonts w:ascii="Arial" w:eastAsia="Times New Roman" w:hAnsi="Arial" w:cs="Arial"/>
          <w:color w:val="000000"/>
          <w:sz w:val="20"/>
          <w:szCs w:val="20"/>
        </w:rPr>
        <w:t xml:space="preserve"> $95 million recognized in the quarter as a result of the reduced Pennsylvania state corporate income tax;</w:t>
      </w:r>
    </w:p>
    <w:p w:rsidR="00000000" w:rsidRDefault="00131F06">
      <w:pPr>
        <w:ind w:hanging="180"/>
        <w:divId w:val="1062871619"/>
        <w:rPr>
          <w:rFonts w:eastAsia="Times New Roman"/>
        </w:rPr>
      </w:pPr>
      <w:r>
        <w:rPr>
          <w:rFonts w:ascii="Arial" w:eastAsia="Times New Roman" w:hAnsi="Arial" w:cs="Arial"/>
          <w:color w:val="000000"/>
          <w:sz w:val="20"/>
          <w:szCs w:val="20"/>
        </w:rPr>
        <w:t>•non-cash, unrealized gains of $22 million ($17 million after-tax) in 2022, compared with unrealized losses of $102 million ($78 million after-tax) i</w:t>
      </w:r>
      <w:r>
        <w:rPr>
          <w:rFonts w:ascii="Arial" w:eastAsia="Times New Roman" w:hAnsi="Arial" w:cs="Arial"/>
          <w:color w:val="000000"/>
          <w:sz w:val="20"/>
          <w:szCs w:val="20"/>
        </w:rPr>
        <w:t>n 2021, reflecting the revaluation of derivatives used to manage the profitability of transportation and storage transactions, as well as manage the exposure to movements in commodity prices; and</w:t>
      </w:r>
    </w:p>
    <w:p w:rsidR="00000000" w:rsidRDefault="00131F06">
      <w:pPr>
        <w:ind w:hanging="180"/>
        <w:divId w:val="1857695285"/>
        <w:rPr>
          <w:rFonts w:eastAsia="Times New Roman"/>
        </w:rPr>
      </w:pPr>
      <w:r>
        <w:rPr>
          <w:rFonts w:ascii="Arial" w:eastAsia="Times New Roman" w:hAnsi="Arial" w:cs="Arial"/>
          <w:color w:val="000000"/>
          <w:sz w:val="20"/>
          <w:szCs w:val="20"/>
        </w:rPr>
        <w:t xml:space="preserve">•a non-cash, net negative equity earnings adjustment of $30 </w:t>
      </w:r>
      <w:r>
        <w:rPr>
          <w:rFonts w:ascii="Arial" w:eastAsia="Times New Roman" w:hAnsi="Arial" w:cs="Arial"/>
          <w:color w:val="000000"/>
          <w:sz w:val="20"/>
          <w:szCs w:val="20"/>
        </w:rPr>
        <w:t xml:space="preserve">million ($22 million after-tax) in 2022, compared to a net negative adjustment of $104 million ($79 million after-tax) in 2021 relating to our share of changes in the mark-to-market value of derivative financial instruments of our equity method investees, </w:t>
      </w:r>
      <w:r>
        <w:rPr>
          <w:rFonts w:ascii="Arial" w:eastAsia="Times New Roman" w:hAnsi="Arial" w:cs="Arial"/>
          <w:color w:val="000000"/>
          <w:sz w:val="20"/>
          <w:szCs w:val="20"/>
        </w:rPr>
        <w:t>DCP and Aux Sable.</w:t>
      </w:r>
    </w:p>
    <w:p w:rsidR="00000000" w:rsidRDefault="00131F06">
      <w:pPr>
        <w:divId w:val="992101550"/>
        <w:rPr>
          <w:rFonts w:eastAsia="Times New Roman"/>
        </w:rPr>
      </w:pPr>
    </w:p>
    <w:p w:rsidR="00000000" w:rsidRDefault="00131F06">
      <w:pPr>
        <w:divId w:val="1969044617"/>
        <w:rPr>
          <w:rFonts w:eastAsia="Times New Roman"/>
        </w:rPr>
      </w:pPr>
      <w:r>
        <w:rPr>
          <w:rFonts w:ascii="Arial" w:eastAsia="Times New Roman" w:hAnsi="Arial" w:cs="Arial"/>
          <w:color w:val="000000"/>
          <w:sz w:val="20"/>
          <w:szCs w:val="20"/>
        </w:rPr>
        <w:t>After taking into consideration the factors above, the remaining $246 million increase in earnings attributable to common shareholders is primarily explained by the following significant business factors:</w:t>
      </w:r>
    </w:p>
    <w:p w:rsidR="00000000" w:rsidRDefault="00131F06">
      <w:pPr>
        <w:divId w:val="1572693896"/>
        <w:rPr>
          <w:rFonts w:eastAsia="Times New Roman"/>
        </w:rPr>
      </w:pPr>
    </w:p>
    <w:p w:rsidR="00000000" w:rsidRDefault="00131F06">
      <w:pPr>
        <w:ind w:hanging="180"/>
        <w:divId w:val="1860465181"/>
        <w:rPr>
          <w:rFonts w:eastAsia="Times New Roman"/>
        </w:rPr>
      </w:pPr>
      <w:r>
        <w:rPr>
          <w:rFonts w:eastAsia="Times New Roman"/>
          <w:color w:val="000000"/>
          <w:sz w:val="20"/>
          <w:szCs w:val="20"/>
        </w:rPr>
        <w:t>•</w:t>
      </w:r>
      <w:r>
        <w:rPr>
          <w:rFonts w:ascii="Arial" w:eastAsia="Times New Roman" w:hAnsi="Arial" w:cs="Arial"/>
          <w:color w:val="000000"/>
          <w:sz w:val="20"/>
          <w:szCs w:val="20"/>
        </w:rPr>
        <w:t>higher throughput within ou</w:t>
      </w:r>
      <w:r>
        <w:rPr>
          <w:rFonts w:ascii="Arial" w:eastAsia="Times New Roman" w:hAnsi="Arial" w:cs="Arial"/>
          <w:color w:val="000000"/>
          <w:sz w:val="20"/>
          <w:szCs w:val="20"/>
        </w:rPr>
        <w:t>r Liquids Pipelines segment driven by higher demand and incremental L3R capacity that came into service October 2021;</w:t>
      </w:r>
    </w:p>
    <w:p w:rsidR="00000000" w:rsidRDefault="00131F06">
      <w:pPr>
        <w:ind w:hanging="180"/>
        <w:divId w:val="1797679994"/>
        <w:rPr>
          <w:rFonts w:eastAsia="Times New Roman"/>
        </w:rPr>
      </w:pPr>
      <w:r>
        <w:rPr>
          <w:rFonts w:eastAsia="Times New Roman"/>
          <w:color w:val="000000"/>
          <w:sz w:val="20"/>
          <w:szCs w:val="20"/>
        </w:rPr>
        <w:t>•</w:t>
      </w:r>
      <w:r>
        <w:rPr>
          <w:rFonts w:ascii="Arial" w:eastAsia="Times New Roman" w:hAnsi="Arial" w:cs="Arial"/>
          <w:color w:val="000000"/>
          <w:sz w:val="20"/>
          <w:szCs w:val="20"/>
        </w:rPr>
        <w:t>increased earnings within our Liquids Pipelines segment from the implementation of the full L3R surcharge when compared to the lower surc</w:t>
      </w:r>
      <w:r>
        <w:rPr>
          <w:rFonts w:ascii="Arial" w:eastAsia="Times New Roman" w:hAnsi="Arial" w:cs="Arial"/>
          <w:color w:val="000000"/>
          <w:sz w:val="20"/>
          <w:szCs w:val="20"/>
        </w:rPr>
        <w:t>harge on the Canadian portion of the project in effect prior to October 2021, as well as from new export assets acquired in October 2021;</w:t>
      </w:r>
    </w:p>
    <w:p w:rsidR="00000000" w:rsidRDefault="00131F06">
      <w:pPr>
        <w:ind w:hanging="180"/>
        <w:divId w:val="1496414654"/>
        <w:rPr>
          <w:rFonts w:eastAsia="Times New Roman"/>
        </w:rPr>
      </w:pPr>
      <w:r>
        <w:rPr>
          <w:rFonts w:ascii="Arial" w:eastAsia="Times New Roman" w:hAnsi="Arial" w:cs="Arial"/>
          <w:color w:val="000000"/>
          <w:sz w:val="20"/>
          <w:szCs w:val="20"/>
        </w:rPr>
        <w:t>•increased earnings from our Gas Transmission and Midstream segment primarily as a result of higher commodity prices b</w:t>
      </w:r>
      <w:r>
        <w:rPr>
          <w:rFonts w:ascii="Arial" w:eastAsia="Times New Roman" w:hAnsi="Arial" w:cs="Arial"/>
          <w:color w:val="000000"/>
          <w:sz w:val="20"/>
          <w:szCs w:val="20"/>
        </w:rPr>
        <w:t>enefiting our investments in DCP and Aux Sable, as well as higher contributions from projects placed into service in November 2021; and</w:t>
      </w:r>
    </w:p>
    <w:p w:rsidR="00000000" w:rsidRDefault="00131F06">
      <w:pPr>
        <w:ind w:hanging="180"/>
        <w:divId w:val="54082900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recognition of revenues attributable to the Texas Eastern rate case resulting from an uncontested Stipulation and Agreement; partially offset by</w:t>
      </w:r>
    </w:p>
    <w:p w:rsidR="00000000" w:rsidRDefault="00131F06">
      <w:pPr>
        <w:ind w:hanging="180"/>
        <w:divId w:val="35391894"/>
        <w:rPr>
          <w:rFonts w:eastAsia="Times New Roman"/>
        </w:rPr>
      </w:pPr>
      <w:r>
        <w:rPr>
          <w:rFonts w:ascii="Arial" w:eastAsia="Times New Roman" w:hAnsi="Arial" w:cs="Arial"/>
          <w:color w:val="000000"/>
          <w:sz w:val="20"/>
          <w:szCs w:val="20"/>
        </w:rPr>
        <w:t>•the recognition of a provision against the interim Mainline International Joint Tariff (IJT) for barrels shipp</w:t>
      </w:r>
      <w:r>
        <w:rPr>
          <w:rFonts w:ascii="Arial" w:eastAsia="Times New Roman" w:hAnsi="Arial" w:cs="Arial"/>
          <w:color w:val="000000"/>
          <w:sz w:val="20"/>
          <w:szCs w:val="20"/>
        </w:rPr>
        <w:t>ed in 2022;</w:t>
      </w:r>
    </w:p>
    <w:p w:rsidR="00000000" w:rsidRDefault="00131F06">
      <w:pPr>
        <w:ind w:hanging="180"/>
        <w:divId w:val="1173446446"/>
        <w:rPr>
          <w:rFonts w:eastAsia="Times New Roman"/>
        </w:rPr>
      </w:pPr>
      <w:r>
        <w:rPr>
          <w:rFonts w:eastAsia="Times New Roman"/>
          <w:color w:val="000000"/>
          <w:sz w:val="20"/>
          <w:szCs w:val="20"/>
        </w:rPr>
        <w:t>•</w:t>
      </w:r>
      <w:r>
        <w:rPr>
          <w:rFonts w:ascii="Arial" w:eastAsia="Times New Roman" w:hAnsi="Arial" w:cs="Arial"/>
          <w:color w:val="000000"/>
          <w:sz w:val="20"/>
          <w:szCs w:val="20"/>
        </w:rPr>
        <w:t>higher interest expense primarily due to higher average principal and higher interest rates, as well as reduced capitalized interest associated with the US portion of the L3R Project placed into service in the fourth quarter of 2021; and</w:t>
      </w:r>
    </w:p>
    <w:p w:rsidR="00000000" w:rsidRDefault="00131F06">
      <w:pPr>
        <w:ind w:hanging="180"/>
        <w:divId w:val="372076204"/>
        <w:rPr>
          <w:rFonts w:eastAsia="Times New Roman"/>
        </w:rPr>
      </w:pPr>
      <w:r>
        <w:rPr>
          <w:rFonts w:eastAsia="Times New Roman"/>
          <w:color w:val="000000"/>
          <w:sz w:val="20"/>
          <w:szCs w:val="20"/>
        </w:rPr>
        <w:t>•</w:t>
      </w:r>
      <w:r>
        <w:rPr>
          <w:rFonts w:ascii="Arial" w:eastAsia="Times New Roman" w:hAnsi="Arial" w:cs="Arial"/>
          <w:color w:val="000000"/>
          <w:sz w:val="20"/>
          <w:szCs w:val="20"/>
        </w:rPr>
        <w:t>high</w:t>
      </w:r>
      <w:r>
        <w:rPr>
          <w:rFonts w:ascii="Arial" w:eastAsia="Times New Roman" w:hAnsi="Arial" w:cs="Arial"/>
          <w:color w:val="000000"/>
          <w:sz w:val="20"/>
          <w:szCs w:val="20"/>
        </w:rPr>
        <w:t>er depreciation and amortization expense as a result of several projects placed into service in the fourth quarter of 2021, as well as for new export assets acquired in October 2021.</w:t>
      </w:r>
    </w:p>
    <w:p w:rsidR="00000000" w:rsidRDefault="00131F06">
      <w:pPr>
        <w:divId w:val="1866937826"/>
        <w:rPr>
          <w:rFonts w:eastAsia="Times New Roman"/>
        </w:rPr>
      </w:pPr>
    </w:p>
    <w:p w:rsidR="00000000" w:rsidRDefault="00131F06">
      <w:pPr>
        <w:jc w:val="center"/>
        <w:divId w:val="1227959730"/>
        <w:rPr>
          <w:rFonts w:eastAsia="Times New Roman"/>
        </w:rPr>
      </w:pPr>
      <w:r>
        <w:rPr>
          <w:rFonts w:ascii="Arial" w:eastAsia="Times New Roman" w:hAnsi="Arial" w:cs="Arial"/>
          <w:color w:val="000000"/>
          <w:sz w:val="20"/>
          <w:szCs w:val="20"/>
        </w:rPr>
        <w:t>43</w:t>
      </w:r>
    </w:p>
    <w:p w:rsidR="00000000" w:rsidRDefault="00131F06">
      <w:pPr>
        <w:rPr>
          <w:rFonts w:eastAsia="Times New Roman"/>
        </w:rPr>
      </w:pPr>
      <w:r>
        <w:rPr>
          <w:rFonts w:eastAsia="Times New Roman"/>
        </w:rPr>
        <w:pict>
          <v:rect id="_x0000_i1068" style="width:0;height:1.5pt" o:hralign="center" o:hrstd="t" o:hr="t" fillcolor="#a0a0a0" stroked="f"/>
        </w:pict>
      </w:r>
    </w:p>
    <w:p w:rsidR="00000000" w:rsidRDefault="00131F06">
      <w:pPr>
        <w:jc w:val="center"/>
        <w:divId w:val="349065716"/>
        <w:rPr>
          <w:rFonts w:eastAsia="Times New Roman"/>
        </w:rPr>
      </w:pPr>
    </w:p>
    <w:p w:rsidR="00000000" w:rsidRDefault="00131F06">
      <w:pPr>
        <w:divId w:val="309792904"/>
        <w:rPr>
          <w:rFonts w:eastAsia="Times New Roman"/>
        </w:rPr>
      </w:pPr>
      <w:r>
        <w:rPr>
          <w:rFonts w:ascii="Arial" w:eastAsia="Times New Roman" w:hAnsi="Arial" w:cs="Arial"/>
          <w:b/>
          <w:bCs/>
          <w:color w:val="000000"/>
          <w:sz w:val="20"/>
          <w:szCs w:val="20"/>
        </w:rPr>
        <w:t>BUSINESS SEGMENTS</w:t>
      </w:r>
    </w:p>
    <w:p w:rsidR="00000000" w:rsidRDefault="00131F06">
      <w:pPr>
        <w:divId w:val="1345979484"/>
        <w:rPr>
          <w:rFonts w:eastAsia="Times New Roman"/>
        </w:rPr>
      </w:pPr>
    </w:p>
    <w:p w:rsidR="00000000" w:rsidRDefault="00131F06">
      <w:pPr>
        <w:divId w:val="980426847"/>
        <w:rPr>
          <w:rFonts w:eastAsia="Times New Roman"/>
        </w:rPr>
      </w:pPr>
      <w:r>
        <w:rPr>
          <w:rFonts w:ascii="Arial" w:eastAsia="Times New Roman" w:hAnsi="Arial" w:cs="Arial"/>
          <w:b/>
          <w:bCs/>
          <w:color w:val="000000"/>
          <w:sz w:val="20"/>
          <w:szCs w:val="20"/>
        </w:rPr>
        <w:t>LIQUIDS PIPELINES</w:t>
      </w:r>
    </w:p>
    <w:p w:rsidR="00000000" w:rsidRDefault="00131F06">
      <w:pPr>
        <w:divId w:val="1763138970"/>
        <w:rPr>
          <w:rFonts w:eastAsia="Times New Roman"/>
        </w:rPr>
      </w:pPr>
      <w:r>
        <w:rPr>
          <w:rFonts w:ascii="Arial" w:eastAsia="Times New Roman" w:hAnsi="Arial" w:cs="Arial"/>
          <w:color w:val="000000"/>
          <w:sz w:val="2"/>
          <w:szCs w:val="2"/>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1814371869"/>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814371869"/>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814371869"/>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181437186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divId w:val="181437186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ind w:hanging="180"/>
              <w:divId w:val="2001618965"/>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1,946</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1,673 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6,093</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5,756 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ind w:hanging="180"/>
        <w:divId w:val="148250380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Non-GAAP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131F06">
      <w:pPr>
        <w:ind w:firstLine="180"/>
        <w:divId w:val="627204127"/>
        <w:rPr>
          <w:rFonts w:eastAsia="Times New Roman"/>
        </w:rPr>
      </w:pPr>
    </w:p>
    <w:p w:rsidR="00000000" w:rsidRDefault="00131F06">
      <w:pPr>
        <w:divId w:val="610819636"/>
        <w:rPr>
          <w:rFonts w:eastAsia="Times New Roman"/>
        </w:rPr>
      </w:pPr>
      <w:r>
        <w:rPr>
          <w:rFonts w:ascii="Arial" w:eastAsia="Times New Roman" w:hAnsi="Arial" w:cs="Arial"/>
          <w:b/>
          <w:bCs/>
          <w:color w:val="000000"/>
          <w:sz w:val="20"/>
          <w:szCs w:val="20"/>
        </w:rPr>
        <w:t>Three months ended September 30, 2022, compared with the three months ended September 30, 2021</w:t>
      </w:r>
    </w:p>
    <w:p w:rsidR="00000000" w:rsidRDefault="00131F06">
      <w:pPr>
        <w:divId w:val="122040634"/>
        <w:rPr>
          <w:rFonts w:eastAsia="Times New Roman"/>
        </w:rPr>
      </w:pPr>
    </w:p>
    <w:p w:rsidR="00000000" w:rsidRDefault="00131F06">
      <w:pPr>
        <w:divId w:val="137572373"/>
        <w:rPr>
          <w:rFonts w:eastAsia="Times New Roman"/>
        </w:rPr>
      </w:pPr>
      <w:r>
        <w:rPr>
          <w:rFonts w:ascii="Arial" w:eastAsia="Times New Roman" w:hAnsi="Arial" w:cs="Arial"/>
          <w:color w:val="000000"/>
          <w:sz w:val="20"/>
          <w:szCs w:val="20"/>
        </w:rPr>
        <w:t xml:space="preserve">EBITDA was negatively impacted by $98 million due to certain infrequent or other non-operating factors, primarily explained by non-cash, net unrealized losses </w:t>
      </w:r>
      <w:r>
        <w:rPr>
          <w:rFonts w:ascii="Arial" w:eastAsia="Times New Roman" w:hAnsi="Arial" w:cs="Arial"/>
          <w:color w:val="000000"/>
          <w:sz w:val="20"/>
          <w:szCs w:val="20"/>
        </w:rPr>
        <w:t>of $290 million in 2022, compared with unrealized losses of $222 million in 2021, reflecting net fair value gains and losses arising from changes in the mark-to-market value of derivative financial instruments used to manage foreign exchange risks.</w:t>
      </w:r>
    </w:p>
    <w:p w:rsidR="00000000" w:rsidRDefault="00131F06">
      <w:pPr>
        <w:divId w:val="811555615"/>
        <w:rPr>
          <w:rFonts w:eastAsia="Times New Roman"/>
        </w:rPr>
      </w:pPr>
    </w:p>
    <w:p w:rsidR="00000000" w:rsidRDefault="00131F06">
      <w:pPr>
        <w:divId w:val="1708026583"/>
        <w:rPr>
          <w:rFonts w:eastAsia="Times New Roman"/>
        </w:rPr>
      </w:pPr>
      <w:r>
        <w:rPr>
          <w:rFonts w:ascii="Arial" w:eastAsia="Times New Roman" w:hAnsi="Arial" w:cs="Arial"/>
          <w:color w:val="000000"/>
          <w:sz w:val="20"/>
          <w:szCs w:val="20"/>
        </w:rPr>
        <w:t>After</w:t>
      </w:r>
      <w:r>
        <w:rPr>
          <w:rFonts w:ascii="Arial" w:eastAsia="Times New Roman" w:hAnsi="Arial" w:cs="Arial"/>
          <w:color w:val="000000"/>
          <w:sz w:val="20"/>
          <w:szCs w:val="20"/>
        </w:rPr>
        <w:t xml:space="preserve"> taking into consideration the factors above, the remaining $371 million increase is primarily explained by the following significant business factors:</w:t>
      </w:r>
    </w:p>
    <w:p w:rsidR="00000000" w:rsidRDefault="00131F06">
      <w:pPr>
        <w:divId w:val="1882012257"/>
        <w:rPr>
          <w:rFonts w:eastAsia="Times New Roman"/>
        </w:rPr>
      </w:pPr>
    </w:p>
    <w:p w:rsidR="00000000" w:rsidRDefault="00131F06">
      <w:pPr>
        <w:ind w:hanging="180"/>
        <w:divId w:val="717700546"/>
        <w:rPr>
          <w:rFonts w:eastAsia="Times New Roman"/>
        </w:rPr>
      </w:pPr>
      <w:r>
        <w:rPr>
          <w:rFonts w:ascii="Arial" w:eastAsia="Times New Roman" w:hAnsi="Arial" w:cs="Arial"/>
          <w:color w:val="000000"/>
          <w:sz w:val="20"/>
          <w:szCs w:val="20"/>
        </w:rPr>
        <w:t>•higher Mainline System ex-Gretna average throughput of 3.0 million barrels per day (mmbpd) in 2022 as</w:t>
      </w:r>
      <w:r>
        <w:rPr>
          <w:rFonts w:ascii="Arial" w:eastAsia="Times New Roman" w:hAnsi="Arial" w:cs="Arial"/>
          <w:color w:val="000000"/>
          <w:sz w:val="20"/>
          <w:szCs w:val="20"/>
        </w:rPr>
        <w:t xml:space="preserve"> compared to 2.7 mmbpd in 2021 driven by higher demand and incremental L3R capacity that came into service October 2021;</w:t>
      </w:r>
    </w:p>
    <w:p w:rsidR="00000000" w:rsidRDefault="00131F06">
      <w:pPr>
        <w:ind w:hanging="180"/>
        <w:divId w:val="1755741410"/>
        <w:rPr>
          <w:rFonts w:eastAsia="Times New Roman"/>
        </w:rPr>
      </w:pPr>
      <w:r>
        <w:rPr>
          <w:rFonts w:eastAsia="Times New Roman"/>
          <w:color w:val="000000"/>
          <w:sz w:val="20"/>
          <w:szCs w:val="20"/>
        </w:rPr>
        <w:t>•</w:t>
      </w:r>
      <w:r>
        <w:rPr>
          <w:rFonts w:ascii="Arial" w:eastAsia="Times New Roman" w:hAnsi="Arial" w:cs="Arial"/>
          <w:color w:val="000000"/>
          <w:sz w:val="20"/>
          <w:szCs w:val="20"/>
        </w:rPr>
        <w:t>implementation of the full L3R surcharge when compared to the lower surcharge on the Canadian portion of the project in effect prior t</w:t>
      </w:r>
      <w:r>
        <w:rPr>
          <w:rFonts w:ascii="Arial" w:eastAsia="Times New Roman" w:hAnsi="Arial" w:cs="Arial"/>
          <w:color w:val="000000"/>
          <w:sz w:val="20"/>
          <w:szCs w:val="20"/>
        </w:rPr>
        <w:t>o October 2021;</w:t>
      </w:r>
    </w:p>
    <w:p w:rsidR="00000000" w:rsidRDefault="00131F06">
      <w:pPr>
        <w:ind w:hanging="180"/>
        <w:divId w:val="654261190"/>
        <w:rPr>
          <w:rFonts w:eastAsia="Times New Roman"/>
        </w:rPr>
      </w:pPr>
      <w:r>
        <w:rPr>
          <w:rFonts w:ascii="Arial" w:eastAsia="Times New Roman" w:hAnsi="Arial" w:cs="Arial"/>
          <w:color w:val="000000"/>
          <w:sz w:val="20"/>
          <w:szCs w:val="20"/>
        </w:rPr>
        <w:t>•higher contributions from the Gulf Coast and Mid-Continent System due primarily to the acquisition of the Enbridge Ingleside Energy Center (EIEC) and related assets in the fourth quarter of 2021, as well as higher volumes from our Flanagan</w:t>
      </w:r>
      <w:r>
        <w:rPr>
          <w:rFonts w:ascii="Arial" w:eastAsia="Times New Roman" w:hAnsi="Arial" w:cs="Arial"/>
          <w:color w:val="000000"/>
          <w:sz w:val="20"/>
          <w:szCs w:val="20"/>
        </w:rPr>
        <w:t xml:space="preserve"> South Pipeline (FSP), and increased indirect economic interest in the Gray Oak pipeline during the third quarter of 2022;</w:t>
      </w:r>
    </w:p>
    <w:p w:rsidR="00000000" w:rsidRDefault="00131F06">
      <w:pPr>
        <w:ind w:hanging="180"/>
        <w:divId w:val="793717598"/>
        <w:rPr>
          <w:rFonts w:eastAsia="Times New Roman"/>
        </w:rPr>
      </w:pPr>
      <w:r>
        <w:rPr>
          <w:rFonts w:ascii="Arial" w:eastAsia="Times New Roman" w:hAnsi="Arial" w:cs="Arial"/>
          <w:color w:val="000000"/>
          <w:sz w:val="20"/>
          <w:szCs w:val="20"/>
        </w:rPr>
        <w:t>•higher contributions from the Bakken System due to higher volumes; and</w:t>
      </w:r>
    </w:p>
    <w:p w:rsidR="00000000" w:rsidRDefault="00131F06">
      <w:pPr>
        <w:ind w:hanging="180"/>
        <w:divId w:val="1024017673"/>
        <w:rPr>
          <w:rFonts w:eastAsia="Times New Roman"/>
        </w:rPr>
      </w:pPr>
      <w:r>
        <w:rPr>
          <w:rFonts w:ascii="Arial" w:eastAsia="Times New Roman" w:hAnsi="Arial" w:cs="Arial"/>
          <w:color w:val="000000"/>
          <w:sz w:val="20"/>
          <w:szCs w:val="20"/>
        </w:rPr>
        <w:t>•the favorable effect of translating US dollar EBITDA at a hi</w:t>
      </w:r>
      <w:r>
        <w:rPr>
          <w:rFonts w:ascii="Arial" w:eastAsia="Times New Roman" w:hAnsi="Arial" w:cs="Arial"/>
          <w:color w:val="000000"/>
          <w:sz w:val="20"/>
          <w:szCs w:val="20"/>
        </w:rPr>
        <w:t>gher average exchange rate in 2022 compared to the same period in 2021; partially offset by</w:t>
      </w:r>
    </w:p>
    <w:p w:rsidR="00000000" w:rsidRDefault="00131F06">
      <w:pPr>
        <w:ind w:hanging="180"/>
        <w:divId w:val="46875144"/>
        <w:rPr>
          <w:rFonts w:eastAsia="Times New Roman"/>
        </w:rPr>
      </w:pPr>
      <w:r>
        <w:rPr>
          <w:rFonts w:eastAsia="Times New Roman"/>
          <w:color w:val="000000"/>
          <w:sz w:val="20"/>
          <w:szCs w:val="20"/>
        </w:rPr>
        <w:t>•</w:t>
      </w:r>
      <w:r>
        <w:rPr>
          <w:rFonts w:ascii="Arial" w:eastAsia="Times New Roman" w:hAnsi="Arial" w:cs="Arial"/>
          <w:color w:val="000000"/>
          <w:sz w:val="20"/>
          <w:szCs w:val="20"/>
        </w:rPr>
        <w:t>the recognition of a provision against the interim Mainline IJT for barrels shipped in 2022;</w:t>
      </w:r>
    </w:p>
    <w:p w:rsidR="00000000" w:rsidRDefault="00131F06">
      <w:pPr>
        <w:ind w:hanging="180"/>
        <w:divId w:val="1465461089"/>
        <w:rPr>
          <w:rFonts w:eastAsia="Times New Roman"/>
        </w:rPr>
      </w:pPr>
      <w:r>
        <w:rPr>
          <w:rFonts w:ascii="Arial" w:eastAsia="Times New Roman" w:hAnsi="Arial" w:cs="Arial"/>
          <w:color w:val="000000"/>
          <w:sz w:val="20"/>
          <w:szCs w:val="20"/>
        </w:rPr>
        <w:t>•lower contributions from the Seaway Crude Pipeline System, as well as</w:t>
      </w:r>
      <w:r>
        <w:rPr>
          <w:rFonts w:ascii="Arial" w:eastAsia="Times New Roman" w:hAnsi="Arial" w:cs="Arial"/>
          <w:color w:val="000000"/>
          <w:sz w:val="20"/>
          <w:szCs w:val="20"/>
        </w:rPr>
        <w:t xml:space="preserve"> from the Cushing and Hardisty storage assets as a result of lower demand; and</w:t>
      </w:r>
    </w:p>
    <w:p w:rsidR="00000000" w:rsidRDefault="00131F06">
      <w:pPr>
        <w:ind w:hanging="180"/>
        <w:divId w:val="60370984"/>
        <w:rPr>
          <w:rFonts w:eastAsia="Times New Roman"/>
        </w:rPr>
      </w:pPr>
      <w:r>
        <w:rPr>
          <w:rFonts w:ascii="Arial" w:eastAsia="Times New Roman" w:hAnsi="Arial" w:cs="Arial"/>
          <w:color w:val="000000"/>
          <w:sz w:val="20"/>
          <w:szCs w:val="20"/>
        </w:rPr>
        <w:t>•higher power costs as a result of increased volumes and power prices.</w:t>
      </w:r>
    </w:p>
    <w:p w:rsidR="00000000" w:rsidRDefault="00131F06">
      <w:pPr>
        <w:divId w:val="1918662556"/>
        <w:rPr>
          <w:rFonts w:eastAsia="Times New Roman"/>
        </w:rPr>
      </w:pPr>
    </w:p>
    <w:p w:rsidR="00000000" w:rsidRDefault="00131F06">
      <w:pPr>
        <w:divId w:val="1113861737"/>
        <w:rPr>
          <w:rFonts w:eastAsia="Times New Roman"/>
        </w:rPr>
      </w:pPr>
      <w:r>
        <w:rPr>
          <w:rFonts w:ascii="Arial" w:eastAsia="Times New Roman" w:hAnsi="Arial" w:cs="Arial"/>
          <w:b/>
          <w:bCs/>
          <w:color w:val="000000"/>
          <w:sz w:val="20"/>
          <w:szCs w:val="20"/>
        </w:rPr>
        <w:t>Nine months ended September 30, 2022, compared with the nine months ended September 30, 2021</w:t>
      </w:r>
    </w:p>
    <w:p w:rsidR="00000000" w:rsidRDefault="00131F06">
      <w:pPr>
        <w:divId w:val="66273297"/>
        <w:rPr>
          <w:rFonts w:eastAsia="Times New Roman"/>
        </w:rPr>
      </w:pPr>
    </w:p>
    <w:p w:rsidR="00000000" w:rsidRDefault="00131F06">
      <w:pPr>
        <w:divId w:val="1449204590"/>
        <w:rPr>
          <w:rFonts w:eastAsia="Times New Roman"/>
        </w:rPr>
      </w:pPr>
      <w:r>
        <w:rPr>
          <w:rFonts w:ascii="Arial" w:eastAsia="Times New Roman" w:hAnsi="Arial" w:cs="Arial"/>
          <w:color w:val="000000"/>
          <w:sz w:val="20"/>
          <w:szCs w:val="20"/>
        </w:rPr>
        <w:t>EBITDA wa</w:t>
      </w:r>
      <w:r>
        <w:rPr>
          <w:rFonts w:ascii="Arial" w:eastAsia="Times New Roman" w:hAnsi="Arial" w:cs="Arial"/>
          <w:color w:val="000000"/>
          <w:sz w:val="20"/>
          <w:szCs w:val="20"/>
        </w:rPr>
        <w:t>s negatively impacted by $621 million due to certain infrequent or other non-operating factors, primarily explained by the following:</w:t>
      </w:r>
    </w:p>
    <w:p w:rsidR="00000000" w:rsidRDefault="00131F06">
      <w:pPr>
        <w:divId w:val="1798183193"/>
        <w:rPr>
          <w:rFonts w:eastAsia="Times New Roman"/>
        </w:rPr>
      </w:pPr>
    </w:p>
    <w:p w:rsidR="00000000" w:rsidRDefault="00131F06">
      <w:pPr>
        <w:ind w:hanging="180"/>
        <w:divId w:val="1942639397"/>
        <w:rPr>
          <w:rFonts w:eastAsia="Times New Roman"/>
        </w:rPr>
      </w:pPr>
      <w:r>
        <w:rPr>
          <w:rFonts w:ascii="Arial" w:eastAsia="Times New Roman" w:hAnsi="Arial" w:cs="Arial"/>
          <w:color w:val="000000"/>
          <w:sz w:val="20"/>
          <w:szCs w:val="20"/>
        </w:rPr>
        <w:t>•non-cash, net unrealized losses of $364 million in 2022, compared with unrealized gains of $84 million in 2021, reflect</w:t>
      </w:r>
      <w:r>
        <w:rPr>
          <w:rFonts w:ascii="Arial" w:eastAsia="Times New Roman" w:hAnsi="Arial" w:cs="Arial"/>
          <w:color w:val="000000"/>
          <w:sz w:val="20"/>
          <w:szCs w:val="20"/>
        </w:rPr>
        <w:t xml:space="preserve">ing net fair value gains and losses arising from changes in the mark-to-market value of derivative financial instruments used to manage foreign exchange risks; </w:t>
      </w:r>
    </w:p>
    <w:p w:rsidR="00000000" w:rsidRDefault="00131F06">
      <w:pPr>
        <w:ind w:hanging="180"/>
        <w:divId w:val="1628127244"/>
        <w:rPr>
          <w:rFonts w:eastAsia="Times New Roman"/>
        </w:rPr>
      </w:pPr>
      <w:r>
        <w:rPr>
          <w:rFonts w:ascii="Arial" w:eastAsia="Times New Roman" w:hAnsi="Arial" w:cs="Arial"/>
          <w:color w:val="000000"/>
          <w:sz w:val="20"/>
          <w:szCs w:val="20"/>
        </w:rPr>
        <w:t>•an asset impairment loss of $40 million relating to MacKay River line within our Alberta Regio</w:t>
      </w:r>
      <w:r>
        <w:rPr>
          <w:rFonts w:ascii="Arial" w:eastAsia="Times New Roman" w:hAnsi="Arial" w:cs="Arial"/>
          <w:color w:val="000000"/>
          <w:sz w:val="20"/>
          <w:szCs w:val="20"/>
        </w:rPr>
        <w:t>nal Oil Sands System; and</w:t>
      </w:r>
    </w:p>
    <w:p w:rsidR="00000000" w:rsidRDefault="00131F06">
      <w:pPr>
        <w:ind w:hanging="180"/>
        <w:divId w:val="684940993"/>
        <w:rPr>
          <w:rFonts w:eastAsia="Times New Roman"/>
        </w:rPr>
      </w:pPr>
      <w:r>
        <w:rPr>
          <w:rFonts w:ascii="Arial" w:eastAsia="Times New Roman" w:hAnsi="Arial" w:cs="Arial"/>
          <w:color w:val="000000"/>
          <w:sz w:val="20"/>
          <w:szCs w:val="20"/>
        </w:rPr>
        <w:t>•the absence in 2022 of a $57 million property tax settlement received in 2021 related to the resolution of Minnesota property tax appeals for 2012-2018.</w:t>
      </w:r>
    </w:p>
    <w:p w:rsidR="00000000" w:rsidRDefault="00131F06">
      <w:pPr>
        <w:jc w:val="center"/>
        <w:divId w:val="915675675"/>
        <w:rPr>
          <w:rFonts w:eastAsia="Times New Roman"/>
        </w:rPr>
      </w:pPr>
      <w:r>
        <w:rPr>
          <w:rFonts w:ascii="Arial" w:eastAsia="Times New Roman" w:hAnsi="Arial" w:cs="Arial"/>
          <w:color w:val="000000"/>
          <w:sz w:val="20"/>
          <w:szCs w:val="20"/>
        </w:rPr>
        <w:t>44</w:t>
      </w:r>
    </w:p>
    <w:p w:rsidR="00000000" w:rsidRDefault="00131F06">
      <w:pPr>
        <w:rPr>
          <w:rFonts w:eastAsia="Times New Roman"/>
        </w:rPr>
      </w:pPr>
      <w:r>
        <w:rPr>
          <w:rFonts w:eastAsia="Times New Roman"/>
        </w:rPr>
        <w:pict>
          <v:rect id="_x0000_i1069" style="width:0;height:1.5pt" o:hralign="center" o:hrstd="t" o:hr="t" fillcolor="#a0a0a0" stroked="f"/>
        </w:pict>
      </w:r>
    </w:p>
    <w:p w:rsidR="00000000" w:rsidRDefault="00131F06">
      <w:pPr>
        <w:jc w:val="center"/>
        <w:divId w:val="1675498399"/>
        <w:rPr>
          <w:rFonts w:eastAsia="Times New Roman"/>
        </w:rPr>
      </w:pPr>
    </w:p>
    <w:p w:rsidR="00000000" w:rsidRDefault="00131F06">
      <w:pPr>
        <w:divId w:val="912664972"/>
        <w:rPr>
          <w:rFonts w:eastAsia="Times New Roman"/>
        </w:rPr>
      </w:pPr>
      <w:r>
        <w:rPr>
          <w:rFonts w:ascii="Arial" w:eastAsia="Times New Roman" w:hAnsi="Arial" w:cs="Arial"/>
          <w:color w:val="000000"/>
          <w:sz w:val="20"/>
          <w:szCs w:val="20"/>
        </w:rPr>
        <w:t>After taking into consideration th</w:t>
      </w:r>
      <w:r>
        <w:rPr>
          <w:rFonts w:ascii="Arial" w:eastAsia="Times New Roman" w:hAnsi="Arial" w:cs="Arial"/>
          <w:color w:val="000000"/>
          <w:sz w:val="20"/>
          <w:szCs w:val="20"/>
        </w:rPr>
        <w:t>e factors above, the remaining $958 million increase is primarily explained by the following significant business factors:</w:t>
      </w:r>
    </w:p>
    <w:p w:rsidR="00000000" w:rsidRDefault="00131F06">
      <w:pPr>
        <w:divId w:val="2089498267"/>
        <w:rPr>
          <w:rFonts w:eastAsia="Times New Roman"/>
        </w:rPr>
      </w:pPr>
    </w:p>
    <w:p w:rsidR="00000000" w:rsidRDefault="00131F06">
      <w:pPr>
        <w:ind w:hanging="180"/>
        <w:divId w:val="192873098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higher Mainline System ex-Gretna average throughput of 2.9 mmbpd in 2022 as compared to 2.7 mmbpd in 2021 driven by higher demand and incremental L3R capacity that came into service October 2021;</w:t>
      </w:r>
    </w:p>
    <w:p w:rsidR="00000000" w:rsidRDefault="00131F06">
      <w:pPr>
        <w:ind w:hanging="180"/>
        <w:divId w:val="867526468"/>
        <w:rPr>
          <w:rFonts w:eastAsia="Times New Roman"/>
        </w:rPr>
      </w:pPr>
      <w:r>
        <w:rPr>
          <w:rFonts w:eastAsia="Times New Roman"/>
          <w:color w:val="000000"/>
          <w:sz w:val="20"/>
          <w:szCs w:val="20"/>
        </w:rPr>
        <w:t>•</w:t>
      </w:r>
      <w:r>
        <w:rPr>
          <w:rFonts w:ascii="Arial" w:eastAsia="Times New Roman" w:hAnsi="Arial" w:cs="Arial"/>
          <w:color w:val="000000"/>
          <w:sz w:val="20"/>
          <w:szCs w:val="20"/>
        </w:rPr>
        <w:t>implementation of the full L3R surcharge when compared to t</w:t>
      </w:r>
      <w:r>
        <w:rPr>
          <w:rFonts w:ascii="Arial" w:eastAsia="Times New Roman" w:hAnsi="Arial" w:cs="Arial"/>
          <w:color w:val="000000"/>
          <w:sz w:val="20"/>
          <w:szCs w:val="20"/>
        </w:rPr>
        <w:t>he lower surcharge on the Canadian portion of the project in effect prior to October 2021;</w:t>
      </w:r>
    </w:p>
    <w:p w:rsidR="00000000" w:rsidRDefault="00131F06">
      <w:pPr>
        <w:ind w:hanging="180"/>
        <w:divId w:val="1214804406"/>
        <w:rPr>
          <w:rFonts w:eastAsia="Times New Roman"/>
        </w:rPr>
      </w:pPr>
      <w:r>
        <w:rPr>
          <w:rFonts w:ascii="Arial" w:eastAsia="Times New Roman" w:hAnsi="Arial" w:cs="Arial"/>
          <w:color w:val="000000"/>
          <w:sz w:val="20"/>
          <w:szCs w:val="20"/>
        </w:rPr>
        <w:t xml:space="preserve">•higher contributions from the Gulf Coast and Mid-Continent System due primarily to the acquisition of the EIEC and related assets in the fourth quarter of 2021, as </w:t>
      </w:r>
      <w:r>
        <w:rPr>
          <w:rFonts w:ascii="Arial" w:eastAsia="Times New Roman" w:hAnsi="Arial" w:cs="Arial"/>
          <w:color w:val="000000"/>
          <w:sz w:val="20"/>
          <w:szCs w:val="20"/>
        </w:rPr>
        <w:t xml:space="preserve">well as higher volumes from FSP, and increased indirect economic interest in the Gray Oak pipeline during the third quarter of 2022; </w:t>
      </w:r>
    </w:p>
    <w:p w:rsidR="00000000" w:rsidRDefault="00131F06">
      <w:pPr>
        <w:ind w:hanging="180"/>
        <w:divId w:val="1829401577"/>
        <w:rPr>
          <w:rFonts w:eastAsia="Times New Roman"/>
        </w:rPr>
      </w:pPr>
      <w:r>
        <w:rPr>
          <w:rFonts w:ascii="Arial" w:eastAsia="Times New Roman" w:hAnsi="Arial" w:cs="Arial"/>
          <w:color w:val="000000"/>
          <w:sz w:val="20"/>
          <w:szCs w:val="20"/>
        </w:rPr>
        <w:t>•higher contributions from the Bakken System due to higher volumes; and</w:t>
      </w:r>
    </w:p>
    <w:p w:rsidR="00000000" w:rsidRDefault="00131F06">
      <w:pPr>
        <w:ind w:hanging="180"/>
        <w:divId w:val="1631744177"/>
        <w:rPr>
          <w:rFonts w:eastAsia="Times New Roman"/>
        </w:rPr>
      </w:pPr>
      <w:r>
        <w:rPr>
          <w:rFonts w:ascii="Arial" w:eastAsia="Times New Roman" w:hAnsi="Arial" w:cs="Arial"/>
          <w:color w:val="000000"/>
          <w:sz w:val="20"/>
          <w:szCs w:val="20"/>
        </w:rPr>
        <w:t>•the favorable effect of translating US dollar EBI</w:t>
      </w:r>
      <w:r>
        <w:rPr>
          <w:rFonts w:ascii="Arial" w:eastAsia="Times New Roman" w:hAnsi="Arial" w:cs="Arial"/>
          <w:color w:val="000000"/>
          <w:sz w:val="20"/>
          <w:szCs w:val="20"/>
        </w:rPr>
        <w:t xml:space="preserve">TDA at a higher average exchange rate in 2022 compared to the same period in 2021; partially offset by </w:t>
      </w:r>
    </w:p>
    <w:p w:rsidR="00000000" w:rsidRDefault="00131F06">
      <w:pPr>
        <w:ind w:hanging="180"/>
        <w:divId w:val="1753772679"/>
        <w:rPr>
          <w:rFonts w:eastAsia="Times New Roman"/>
        </w:rPr>
      </w:pPr>
      <w:r>
        <w:rPr>
          <w:rFonts w:ascii="Arial" w:eastAsia="Times New Roman" w:hAnsi="Arial" w:cs="Arial"/>
          <w:color w:val="000000"/>
          <w:sz w:val="20"/>
          <w:szCs w:val="20"/>
        </w:rPr>
        <w:t>•the recognition of a provision against the interim Mainline IJT for barrels shipped in 2022;</w:t>
      </w:r>
    </w:p>
    <w:p w:rsidR="00000000" w:rsidRDefault="00131F06">
      <w:pPr>
        <w:ind w:hanging="180"/>
        <w:divId w:val="1467506334"/>
        <w:rPr>
          <w:rFonts w:eastAsia="Times New Roman"/>
        </w:rPr>
      </w:pPr>
      <w:r>
        <w:rPr>
          <w:rFonts w:ascii="Arial" w:eastAsia="Times New Roman" w:hAnsi="Arial" w:cs="Arial"/>
          <w:color w:val="000000"/>
          <w:sz w:val="20"/>
          <w:szCs w:val="20"/>
        </w:rPr>
        <w:t>•lower contributions from the Seaway Crude Pipeline System</w:t>
      </w:r>
      <w:r>
        <w:rPr>
          <w:rFonts w:ascii="Arial" w:eastAsia="Times New Roman" w:hAnsi="Arial" w:cs="Arial"/>
          <w:color w:val="000000"/>
          <w:sz w:val="20"/>
          <w:szCs w:val="20"/>
        </w:rPr>
        <w:t>, as well as from the Cushing and Hardisty storage assets as a result of lower demand; and</w:t>
      </w:r>
    </w:p>
    <w:p w:rsidR="00000000" w:rsidRDefault="00131F06">
      <w:pPr>
        <w:ind w:hanging="180"/>
        <w:divId w:val="1762331477"/>
        <w:rPr>
          <w:rFonts w:eastAsia="Times New Roman"/>
        </w:rPr>
      </w:pPr>
      <w:r>
        <w:rPr>
          <w:rFonts w:ascii="Arial" w:eastAsia="Times New Roman" w:hAnsi="Arial" w:cs="Arial"/>
          <w:color w:val="000000"/>
          <w:sz w:val="20"/>
          <w:szCs w:val="20"/>
        </w:rPr>
        <w:t>•higher power costs as a result of increased volumes and power prices.</w:t>
      </w:r>
    </w:p>
    <w:p w:rsidR="00000000" w:rsidRDefault="00131F06">
      <w:pPr>
        <w:ind w:firstLine="360"/>
        <w:divId w:val="1354040580"/>
        <w:rPr>
          <w:rFonts w:eastAsia="Times New Roman"/>
        </w:rPr>
      </w:pPr>
    </w:p>
    <w:p w:rsidR="00000000" w:rsidRDefault="00131F06">
      <w:pPr>
        <w:divId w:val="1840458154"/>
        <w:rPr>
          <w:rFonts w:eastAsia="Times New Roman"/>
        </w:rPr>
      </w:pPr>
      <w:r>
        <w:rPr>
          <w:rFonts w:ascii="Arial" w:eastAsia="Times New Roman" w:hAnsi="Arial" w:cs="Arial"/>
          <w:b/>
          <w:bCs/>
          <w:color w:val="000000"/>
          <w:sz w:val="20"/>
          <w:szCs w:val="20"/>
        </w:rPr>
        <w:t>GAS TRANSMISSION AND MIDSTREAM</w:t>
      </w:r>
    </w:p>
    <w:p w:rsidR="00000000" w:rsidRDefault="00131F06">
      <w:pPr>
        <w:divId w:val="1977448158"/>
        <w:rPr>
          <w:rFonts w:eastAsia="Times New Roman"/>
        </w:rPr>
      </w:pPr>
      <w:r>
        <w:rPr>
          <w:rFonts w:ascii="Arial" w:eastAsia="Times New Roman" w:hAnsi="Arial" w:cs="Arial"/>
          <w:color w:val="000000"/>
          <w:sz w:val="2"/>
          <w:szCs w:val="2"/>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116533758"/>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16533758"/>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r>
            <w:r>
              <w:rPr>
                <w:rFonts w:ascii="Arial" w:eastAsia="Times New Roman" w:hAnsi="Arial" w:cs="Arial"/>
                <w:color w:val="000000"/>
                <w:sz w:val="20"/>
                <w:szCs w:val="20"/>
              </w:rP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16533758"/>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116533758"/>
        </w:trPr>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
                <w:szCs w:val="2"/>
              </w:rPr>
              <w:t> </w:t>
            </w:r>
          </w:p>
        </w:tc>
      </w:tr>
      <w:tr w:rsidR="00000000">
        <w:trPr>
          <w:divId w:val="11653375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ind w:hanging="180"/>
              <w:divId w:val="1289162036"/>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2,251</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884 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4,384</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2,725 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ind w:hanging="180"/>
        <w:divId w:val="48119147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Non-GAAP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131F06">
      <w:pPr>
        <w:divId w:val="876622556"/>
        <w:rPr>
          <w:rFonts w:eastAsia="Times New Roman"/>
        </w:rPr>
      </w:pPr>
      <w:r>
        <w:rPr>
          <w:rFonts w:ascii="Arial" w:eastAsia="Times New Roman" w:hAnsi="Arial" w:cs="Arial"/>
          <w:b/>
          <w:bCs/>
          <w:color w:val="000000"/>
          <w:sz w:val="2"/>
          <w:szCs w:val="2"/>
        </w:rPr>
        <w:t> </w:t>
      </w:r>
    </w:p>
    <w:p w:rsidR="00000000" w:rsidRDefault="00131F06">
      <w:pPr>
        <w:divId w:val="1084766907"/>
        <w:rPr>
          <w:rFonts w:eastAsia="Times New Roman"/>
        </w:rPr>
      </w:pPr>
      <w:r>
        <w:rPr>
          <w:rFonts w:ascii="Arial" w:eastAsia="Times New Roman" w:hAnsi="Arial" w:cs="Arial"/>
          <w:b/>
          <w:bCs/>
          <w:color w:val="000000"/>
          <w:sz w:val="20"/>
          <w:szCs w:val="20"/>
        </w:rPr>
        <w:t>Three months ended September 30, 2022, compared with the three months ended September 30, 2021</w:t>
      </w:r>
    </w:p>
    <w:p w:rsidR="00000000" w:rsidRDefault="00131F06">
      <w:pPr>
        <w:divId w:val="514655921"/>
        <w:rPr>
          <w:rFonts w:eastAsia="Times New Roman"/>
        </w:rPr>
      </w:pPr>
      <w:r>
        <w:rPr>
          <w:rFonts w:ascii="Arial" w:eastAsia="Times New Roman" w:hAnsi="Arial" w:cs="Arial"/>
          <w:color w:val="000000"/>
          <w:sz w:val="20"/>
          <w:szCs w:val="20"/>
        </w:rPr>
        <w:t>EBITDA was positively impacted by $1,195 million due to certain infrequent or other non-operating factors, primarily explained by the following:</w:t>
      </w:r>
    </w:p>
    <w:p w:rsidR="00000000" w:rsidRDefault="00131F06">
      <w:pPr>
        <w:ind w:hanging="180"/>
        <w:divId w:val="975450320"/>
        <w:rPr>
          <w:rFonts w:eastAsia="Times New Roman"/>
        </w:rPr>
      </w:pPr>
      <w:r>
        <w:rPr>
          <w:rFonts w:ascii="Arial" w:eastAsia="Times New Roman" w:hAnsi="Arial" w:cs="Arial"/>
          <w:color w:val="000000"/>
          <w:sz w:val="20"/>
          <w:szCs w:val="20"/>
        </w:rPr>
        <w:t>•a gain of $1,07</w:t>
      </w:r>
      <w:r>
        <w:rPr>
          <w:rFonts w:ascii="Arial" w:eastAsia="Times New Roman" w:hAnsi="Arial" w:cs="Arial"/>
          <w:color w:val="000000"/>
          <w:sz w:val="20"/>
          <w:szCs w:val="20"/>
        </w:rPr>
        <w:t>6 million on the closing of the joint venture merger transaction with P66 realigning our indirect economic interests in Gray Oak and DCP; and</w:t>
      </w:r>
    </w:p>
    <w:p w:rsidR="00000000" w:rsidRDefault="00131F06">
      <w:pPr>
        <w:ind w:hanging="180"/>
        <w:divId w:val="682627877"/>
        <w:rPr>
          <w:rFonts w:eastAsia="Times New Roman"/>
        </w:rPr>
      </w:pPr>
      <w:r>
        <w:rPr>
          <w:rFonts w:ascii="Arial" w:eastAsia="Times New Roman" w:hAnsi="Arial" w:cs="Arial"/>
          <w:color w:val="000000"/>
          <w:sz w:val="20"/>
          <w:szCs w:val="20"/>
        </w:rPr>
        <w:t xml:space="preserve">•the absence of the $111 million impairment loss in 2021 to our investment in the PennEast pipeline project after </w:t>
      </w:r>
      <w:r>
        <w:rPr>
          <w:rFonts w:ascii="Arial" w:eastAsia="Times New Roman" w:hAnsi="Arial" w:cs="Arial"/>
          <w:color w:val="000000"/>
          <w:sz w:val="20"/>
          <w:szCs w:val="20"/>
        </w:rPr>
        <w:t>a decision by project partners to cease development.</w:t>
      </w:r>
    </w:p>
    <w:p w:rsidR="00000000" w:rsidRDefault="00131F06">
      <w:pPr>
        <w:divId w:val="264535379"/>
        <w:rPr>
          <w:rFonts w:eastAsia="Times New Roman"/>
        </w:rPr>
      </w:pPr>
      <w:r>
        <w:rPr>
          <w:rFonts w:ascii="Arial" w:eastAsia="Times New Roman" w:hAnsi="Arial" w:cs="Arial"/>
          <w:color w:val="000000"/>
          <w:sz w:val="20"/>
          <w:szCs w:val="20"/>
        </w:rPr>
        <w:t>The remaining $172 million increase is primarily explained by the following significant business factors:</w:t>
      </w:r>
    </w:p>
    <w:p w:rsidR="00000000" w:rsidRDefault="00131F06">
      <w:pPr>
        <w:ind w:hanging="180"/>
        <w:divId w:val="2020690553"/>
        <w:rPr>
          <w:rFonts w:eastAsia="Times New Roman"/>
        </w:rPr>
      </w:pPr>
      <w:r>
        <w:rPr>
          <w:rFonts w:ascii="Arial" w:eastAsia="Times New Roman" w:hAnsi="Arial" w:cs="Arial"/>
          <w:color w:val="000000"/>
          <w:sz w:val="20"/>
          <w:szCs w:val="20"/>
        </w:rPr>
        <w:t>•contributions from the T-South and Spruce Ridge expansion projects after service commenced in No</w:t>
      </w:r>
      <w:r>
        <w:rPr>
          <w:rFonts w:ascii="Arial" w:eastAsia="Times New Roman" w:hAnsi="Arial" w:cs="Arial"/>
          <w:color w:val="000000"/>
          <w:sz w:val="20"/>
          <w:szCs w:val="20"/>
        </w:rPr>
        <w:t>vember 2021;</w:t>
      </w:r>
    </w:p>
    <w:p w:rsidR="00000000" w:rsidRDefault="00131F06">
      <w:pPr>
        <w:ind w:hanging="180"/>
        <w:divId w:val="257636118"/>
        <w:rPr>
          <w:rFonts w:eastAsia="Times New Roman"/>
        </w:rPr>
      </w:pPr>
      <w:r>
        <w:rPr>
          <w:rFonts w:ascii="Arial" w:eastAsia="Times New Roman" w:hAnsi="Arial" w:cs="Arial"/>
          <w:color w:val="000000"/>
          <w:sz w:val="20"/>
          <w:szCs w:val="20"/>
        </w:rPr>
        <w:t>•higher AECO-Chicago basis differential and lower costs benefiting earnings from our investment in Alliance Pipeline (Alliance);</w:t>
      </w:r>
    </w:p>
    <w:p w:rsidR="00000000" w:rsidRDefault="00131F06">
      <w:pPr>
        <w:ind w:hanging="180"/>
        <w:divId w:val="1585142502"/>
        <w:rPr>
          <w:rFonts w:eastAsia="Times New Roman"/>
        </w:rPr>
      </w:pPr>
      <w:r>
        <w:rPr>
          <w:rFonts w:ascii="Arial" w:eastAsia="Times New Roman" w:hAnsi="Arial" w:cs="Arial"/>
          <w:color w:val="000000"/>
          <w:sz w:val="20"/>
          <w:szCs w:val="20"/>
        </w:rPr>
        <w:t>•higher commodity prices benefiting our DCP and Aux Sable joint ventures;</w:t>
      </w:r>
    </w:p>
    <w:p w:rsidR="00000000" w:rsidRDefault="00131F06">
      <w:pPr>
        <w:ind w:hanging="180"/>
        <w:divId w:val="1169370301"/>
        <w:rPr>
          <w:rFonts w:eastAsia="Times New Roman"/>
        </w:rPr>
      </w:pPr>
      <w:r>
        <w:rPr>
          <w:rFonts w:ascii="Arial" w:eastAsia="Times New Roman" w:hAnsi="Arial" w:cs="Arial"/>
          <w:color w:val="000000"/>
          <w:sz w:val="20"/>
          <w:szCs w:val="20"/>
        </w:rPr>
        <w:t>•recognition of revenues attributable to</w:t>
      </w:r>
      <w:r>
        <w:rPr>
          <w:rFonts w:ascii="Arial" w:eastAsia="Times New Roman" w:hAnsi="Arial" w:cs="Arial"/>
          <w:color w:val="000000"/>
          <w:sz w:val="20"/>
          <w:szCs w:val="20"/>
        </w:rPr>
        <w:t xml:space="preserve"> the Texas Eastern rate case resulting from an uncontested Stipulation and Agreement;</w:t>
      </w:r>
    </w:p>
    <w:p w:rsidR="00000000" w:rsidRDefault="00131F06">
      <w:pPr>
        <w:ind w:hanging="180"/>
        <w:divId w:val="1953590096"/>
        <w:rPr>
          <w:rFonts w:eastAsia="Times New Roman"/>
        </w:rPr>
      </w:pPr>
      <w:r>
        <w:rPr>
          <w:rFonts w:ascii="Arial" w:eastAsia="Times New Roman" w:hAnsi="Arial" w:cs="Arial"/>
          <w:color w:val="000000"/>
          <w:sz w:val="20"/>
          <w:szCs w:val="20"/>
        </w:rPr>
        <w:t>•contributions from the Cameron Extension, Middlesex Extension, and the Appalachia to Market projects placed into service in the fourth quarter of 2021; and</w:t>
      </w:r>
    </w:p>
    <w:p w:rsidR="00000000" w:rsidRDefault="00131F06">
      <w:pPr>
        <w:ind w:hanging="180"/>
        <w:divId w:val="43868374"/>
        <w:rPr>
          <w:rFonts w:eastAsia="Times New Roman"/>
        </w:rPr>
      </w:pPr>
      <w:r>
        <w:rPr>
          <w:rFonts w:ascii="Arial" w:eastAsia="Times New Roman" w:hAnsi="Arial" w:cs="Arial"/>
          <w:color w:val="000000"/>
          <w:sz w:val="20"/>
          <w:szCs w:val="20"/>
        </w:rPr>
        <w:t>•the favorabl</w:t>
      </w:r>
      <w:r>
        <w:rPr>
          <w:rFonts w:ascii="Arial" w:eastAsia="Times New Roman" w:hAnsi="Arial" w:cs="Arial"/>
          <w:color w:val="000000"/>
          <w:sz w:val="20"/>
          <w:szCs w:val="20"/>
        </w:rPr>
        <w:t>e effect of translating US dollar EBITDA at a higher average exchange rate in 2022 compared to the same period in 2021; partially offset by</w:t>
      </w:r>
    </w:p>
    <w:p w:rsidR="00000000" w:rsidRDefault="00131F06">
      <w:pPr>
        <w:ind w:hanging="180"/>
        <w:divId w:val="580914853"/>
        <w:rPr>
          <w:rFonts w:eastAsia="Times New Roman"/>
        </w:rPr>
      </w:pPr>
      <w:r>
        <w:rPr>
          <w:rFonts w:ascii="Arial" w:eastAsia="Times New Roman" w:hAnsi="Arial" w:cs="Arial"/>
          <w:color w:val="000000"/>
          <w:sz w:val="20"/>
          <w:szCs w:val="20"/>
        </w:rPr>
        <w:t>•a reduction in earnings from our investment in DCP as a result of our decreased interest due to the joint venture m</w:t>
      </w:r>
      <w:r>
        <w:rPr>
          <w:rFonts w:ascii="Arial" w:eastAsia="Times New Roman" w:hAnsi="Arial" w:cs="Arial"/>
          <w:color w:val="000000"/>
          <w:sz w:val="20"/>
          <w:szCs w:val="20"/>
        </w:rPr>
        <w:t>erger transaction with P66 that closed during the quarter.</w:t>
      </w:r>
    </w:p>
    <w:p w:rsidR="00000000" w:rsidRDefault="00131F06">
      <w:pPr>
        <w:jc w:val="center"/>
        <w:divId w:val="1360013514"/>
        <w:rPr>
          <w:rFonts w:eastAsia="Times New Roman"/>
        </w:rPr>
      </w:pPr>
      <w:r>
        <w:rPr>
          <w:rFonts w:ascii="Arial" w:eastAsia="Times New Roman" w:hAnsi="Arial" w:cs="Arial"/>
          <w:color w:val="000000"/>
          <w:sz w:val="20"/>
          <w:szCs w:val="20"/>
        </w:rPr>
        <w:t>45</w:t>
      </w:r>
    </w:p>
    <w:p w:rsidR="00000000" w:rsidRDefault="00131F06">
      <w:pPr>
        <w:rPr>
          <w:rFonts w:eastAsia="Times New Roman"/>
        </w:rPr>
      </w:pPr>
      <w:r>
        <w:rPr>
          <w:rFonts w:eastAsia="Times New Roman"/>
        </w:rPr>
        <w:pict>
          <v:rect id="_x0000_i1070" style="width:0;height:1.5pt" o:hralign="center" o:hrstd="t" o:hr="t" fillcolor="#a0a0a0" stroked="f"/>
        </w:pict>
      </w:r>
    </w:p>
    <w:p w:rsidR="00000000" w:rsidRDefault="00131F06">
      <w:pPr>
        <w:jc w:val="center"/>
        <w:divId w:val="1952859869"/>
        <w:rPr>
          <w:rFonts w:eastAsia="Times New Roman"/>
        </w:rPr>
      </w:pPr>
    </w:p>
    <w:p w:rsidR="00000000" w:rsidRDefault="00131F06">
      <w:pPr>
        <w:divId w:val="845556690"/>
        <w:rPr>
          <w:rFonts w:eastAsia="Times New Roman"/>
        </w:rPr>
      </w:pPr>
      <w:r>
        <w:rPr>
          <w:rFonts w:ascii="Arial" w:eastAsia="Times New Roman" w:hAnsi="Arial" w:cs="Arial"/>
          <w:b/>
          <w:bCs/>
          <w:color w:val="000000"/>
          <w:sz w:val="20"/>
          <w:szCs w:val="20"/>
        </w:rPr>
        <w:t>Nine months ended September 30, 2022, compared with the nine months ended September 30, 2021</w:t>
      </w:r>
    </w:p>
    <w:p w:rsidR="00000000" w:rsidRDefault="00131F06">
      <w:pPr>
        <w:divId w:val="1010064887"/>
        <w:rPr>
          <w:rFonts w:eastAsia="Times New Roman"/>
        </w:rPr>
      </w:pPr>
    </w:p>
    <w:p w:rsidR="00000000" w:rsidRDefault="00131F06">
      <w:pPr>
        <w:divId w:val="1898128417"/>
        <w:rPr>
          <w:rFonts w:eastAsia="Times New Roman"/>
        </w:rPr>
      </w:pPr>
      <w:r>
        <w:rPr>
          <w:rFonts w:ascii="Arial" w:eastAsia="Times New Roman" w:hAnsi="Arial" w:cs="Arial"/>
          <w:color w:val="000000"/>
          <w:sz w:val="20"/>
          <w:szCs w:val="20"/>
        </w:rPr>
        <w:t>EBITDA was positively impacted by $1,287 million due to certa</w:t>
      </w:r>
      <w:r>
        <w:rPr>
          <w:rFonts w:ascii="Arial" w:eastAsia="Times New Roman" w:hAnsi="Arial" w:cs="Arial"/>
          <w:color w:val="000000"/>
          <w:sz w:val="20"/>
          <w:szCs w:val="20"/>
        </w:rPr>
        <w:t>in infrequent or other non-operating factors, primarily explained by the following:</w:t>
      </w:r>
    </w:p>
    <w:p w:rsidR="00000000" w:rsidRDefault="00131F06">
      <w:pPr>
        <w:divId w:val="292564648"/>
        <w:rPr>
          <w:rFonts w:eastAsia="Times New Roman"/>
        </w:rPr>
      </w:pPr>
    </w:p>
    <w:p w:rsidR="00000000" w:rsidRDefault="00131F06">
      <w:pPr>
        <w:ind w:hanging="180"/>
        <w:divId w:val="2045859061"/>
        <w:rPr>
          <w:rFonts w:eastAsia="Times New Roman"/>
        </w:rPr>
      </w:pPr>
      <w:r>
        <w:rPr>
          <w:rFonts w:ascii="Arial" w:eastAsia="Times New Roman" w:hAnsi="Arial" w:cs="Arial"/>
          <w:color w:val="000000"/>
          <w:sz w:val="20"/>
          <w:szCs w:val="20"/>
        </w:rPr>
        <w:t>•a gain of $1,076 million on the closing of the joint venture merger transaction with P66 realigning our indirect economic interests in Gray Oak and DCP;</w:t>
      </w:r>
    </w:p>
    <w:p w:rsidR="00000000" w:rsidRDefault="00131F06">
      <w:pPr>
        <w:ind w:hanging="180"/>
        <w:divId w:val="1538469923"/>
        <w:rPr>
          <w:rFonts w:eastAsia="Times New Roman"/>
        </w:rPr>
      </w:pPr>
      <w:r>
        <w:rPr>
          <w:rFonts w:ascii="Arial" w:eastAsia="Times New Roman" w:hAnsi="Arial" w:cs="Arial"/>
          <w:color w:val="000000"/>
          <w:sz w:val="20"/>
          <w:szCs w:val="20"/>
        </w:rPr>
        <w:t xml:space="preserve">•the absence of </w:t>
      </w:r>
      <w:r>
        <w:rPr>
          <w:rFonts w:ascii="Arial" w:eastAsia="Times New Roman" w:hAnsi="Arial" w:cs="Arial"/>
          <w:color w:val="000000"/>
          <w:sz w:val="20"/>
          <w:szCs w:val="20"/>
        </w:rPr>
        <w:t>the $111 million impairment loss in 2021 to our investment in the PennEast pipeline project after a decision by project partners to cease development; and</w:t>
      </w:r>
    </w:p>
    <w:p w:rsidR="00000000" w:rsidRDefault="00131F06">
      <w:pPr>
        <w:ind w:hanging="180"/>
        <w:divId w:val="1078283318"/>
        <w:rPr>
          <w:rFonts w:eastAsia="Times New Roman"/>
        </w:rPr>
      </w:pPr>
      <w:r>
        <w:rPr>
          <w:rFonts w:ascii="Arial" w:eastAsia="Times New Roman" w:hAnsi="Arial" w:cs="Arial"/>
          <w:color w:val="000000"/>
          <w:sz w:val="20"/>
          <w:szCs w:val="20"/>
        </w:rPr>
        <w:t>•a non-cash, net negative equity earnings adjustment of $30 million in 2022, compared to a net negati</w:t>
      </w:r>
      <w:r>
        <w:rPr>
          <w:rFonts w:ascii="Arial" w:eastAsia="Times New Roman" w:hAnsi="Arial" w:cs="Arial"/>
          <w:color w:val="000000"/>
          <w:sz w:val="20"/>
          <w:szCs w:val="20"/>
        </w:rPr>
        <w:t>ve adjustment of $104 million in 2021 relating to our share of changes in the mark-to-market value of derivative financial instruments of our equity method investees, DCP and Aux Sable.</w:t>
      </w:r>
    </w:p>
    <w:p w:rsidR="00000000" w:rsidRDefault="00131F06">
      <w:pPr>
        <w:divId w:val="1695299670"/>
        <w:rPr>
          <w:rFonts w:eastAsia="Times New Roman"/>
        </w:rPr>
      </w:pPr>
    </w:p>
    <w:p w:rsidR="00000000" w:rsidRDefault="00131F06">
      <w:pPr>
        <w:divId w:val="1415123649"/>
        <w:rPr>
          <w:rFonts w:eastAsia="Times New Roman"/>
        </w:rPr>
      </w:pPr>
      <w:r>
        <w:rPr>
          <w:rFonts w:ascii="Arial" w:eastAsia="Times New Roman" w:hAnsi="Arial" w:cs="Arial"/>
          <w:color w:val="000000"/>
          <w:sz w:val="20"/>
          <w:szCs w:val="20"/>
        </w:rPr>
        <w:t>The remaining $372 million increase is primarily explained by the fo</w:t>
      </w:r>
      <w:r>
        <w:rPr>
          <w:rFonts w:ascii="Arial" w:eastAsia="Times New Roman" w:hAnsi="Arial" w:cs="Arial"/>
          <w:color w:val="000000"/>
          <w:sz w:val="20"/>
          <w:szCs w:val="20"/>
        </w:rPr>
        <w:t>llowing significant business factors:</w:t>
      </w:r>
    </w:p>
    <w:p w:rsidR="00000000" w:rsidRDefault="00131F06">
      <w:pPr>
        <w:divId w:val="22219860"/>
        <w:rPr>
          <w:rFonts w:eastAsia="Times New Roman"/>
        </w:rPr>
      </w:pPr>
    </w:p>
    <w:p w:rsidR="00000000" w:rsidRDefault="00131F06">
      <w:pPr>
        <w:ind w:hanging="180"/>
        <w:divId w:val="1987976901"/>
        <w:rPr>
          <w:rFonts w:eastAsia="Times New Roman"/>
        </w:rPr>
      </w:pPr>
      <w:r>
        <w:rPr>
          <w:rFonts w:ascii="Arial" w:eastAsia="Times New Roman" w:hAnsi="Arial" w:cs="Arial"/>
          <w:color w:val="000000"/>
          <w:sz w:val="20"/>
          <w:szCs w:val="20"/>
        </w:rPr>
        <w:t>•higher commodity prices benefiting our DCP and Aux Sable joint ventures;</w:t>
      </w:r>
    </w:p>
    <w:p w:rsidR="00000000" w:rsidRDefault="00131F06">
      <w:pPr>
        <w:ind w:hanging="180"/>
        <w:divId w:val="1811359120"/>
        <w:rPr>
          <w:rFonts w:eastAsia="Times New Roman"/>
        </w:rPr>
      </w:pPr>
      <w:r>
        <w:rPr>
          <w:rFonts w:ascii="Arial" w:eastAsia="Times New Roman" w:hAnsi="Arial" w:cs="Arial"/>
          <w:color w:val="000000"/>
          <w:sz w:val="20"/>
          <w:szCs w:val="20"/>
        </w:rPr>
        <w:t>•higher AECO-Chicago basis differential and lower costs benefiting earnings from our investment in Alliance;</w:t>
      </w:r>
    </w:p>
    <w:p w:rsidR="00000000" w:rsidRDefault="00131F06">
      <w:pPr>
        <w:ind w:hanging="180"/>
        <w:divId w:val="40726686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contributions from the T-South and Spruce Ridge expansion projects after service commenced in November 2021;</w:t>
      </w:r>
    </w:p>
    <w:p w:rsidR="00000000" w:rsidRDefault="00131F06">
      <w:pPr>
        <w:ind w:hanging="180"/>
        <w:divId w:val="768700782"/>
        <w:rPr>
          <w:rFonts w:eastAsia="Times New Roman"/>
        </w:rPr>
      </w:pPr>
      <w:r>
        <w:rPr>
          <w:rFonts w:ascii="Arial" w:eastAsia="Times New Roman" w:hAnsi="Arial" w:cs="Arial"/>
          <w:color w:val="000000"/>
          <w:sz w:val="20"/>
          <w:szCs w:val="20"/>
        </w:rPr>
        <w:t>•recognition of revenues attributable to the Texas Eastern rate case resulting from an uncontested Stipulation and Agreement;</w:t>
      </w:r>
    </w:p>
    <w:p w:rsidR="00000000" w:rsidRDefault="00131F06">
      <w:pPr>
        <w:ind w:hanging="180"/>
        <w:divId w:val="910314206"/>
        <w:rPr>
          <w:rFonts w:eastAsia="Times New Roman"/>
        </w:rPr>
      </w:pPr>
      <w:r>
        <w:rPr>
          <w:rFonts w:ascii="Arial" w:eastAsia="Times New Roman" w:hAnsi="Arial" w:cs="Arial"/>
          <w:color w:val="000000"/>
          <w:sz w:val="20"/>
          <w:szCs w:val="20"/>
        </w:rPr>
        <w:t>•contributions from t</w:t>
      </w:r>
      <w:r>
        <w:rPr>
          <w:rFonts w:ascii="Arial" w:eastAsia="Times New Roman" w:hAnsi="Arial" w:cs="Arial"/>
          <w:color w:val="000000"/>
          <w:sz w:val="20"/>
          <w:szCs w:val="20"/>
        </w:rPr>
        <w:t>he Cameron Extension, Middlesex Extension, and the Appalachia to Market projects placed into service in the fourth quarter of 2021; and</w:t>
      </w:r>
    </w:p>
    <w:p w:rsidR="00000000" w:rsidRDefault="00131F06">
      <w:pPr>
        <w:ind w:hanging="180"/>
        <w:divId w:val="1055009943"/>
        <w:rPr>
          <w:rFonts w:eastAsia="Times New Roman"/>
        </w:rPr>
      </w:pPr>
      <w:r>
        <w:rPr>
          <w:rFonts w:ascii="Arial" w:eastAsia="Times New Roman" w:hAnsi="Arial" w:cs="Arial"/>
          <w:color w:val="000000"/>
          <w:sz w:val="20"/>
          <w:szCs w:val="20"/>
        </w:rPr>
        <w:t>•the favorable effect of translating US dollar EBITDA at a higher average exchange rate in 2022 compared to the same per</w:t>
      </w:r>
      <w:r>
        <w:rPr>
          <w:rFonts w:ascii="Arial" w:eastAsia="Times New Roman" w:hAnsi="Arial" w:cs="Arial"/>
          <w:color w:val="000000"/>
          <w:sz w:val="20"/>
          <w:szCs w:val="20"/>
        </w:rPr>
        <w:t>iod in 2021; partially offset by</w:t>
      </w:r>
    </w:p>
    <w:p w:rsidR="00000000" w:rsidRDefault="00131F06">
      <w:pPr>
        <w:ind w:hanging="180"/>
        <w:divId w:val="703797470"/>
        <w:rPr>
          <w:rFonts w:eastAsia="Times New Roman"/>
        </w:rPr>
      </w:pPr>
      <w:r>
        <w:rPr>
          <w:rFonts w:ascii="Arial" w:eastAsia="Times New Roman" w:hAnsi="Arial" w:cs="Arial"/>
          <w:color w:val="000000"/>
          <w:sz w:val="20"/>
          <w:szCs w:val="20"/>
        </w:rPr>
        <w:t>•higher operating costs; and</w:t>
      </w:r>
    </w:p>
    <w:p w:rsidR="00000000" w:rsidRDefault="00131F06">
      <w:pPr>
        <w:ind w:hanging="180"/>
        <w:divId w:val="31734720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reduction in earnings from our investment in DCP, as a result of our decreased interest due to the joint venture merger transaction with P66 that closed during the quarter.</w:t>
      </w:r>
    </w:p>
    <w:p w:rsidR="00000000" w:rsidRDefault="00131F06">
      <w:pPr>
        <w:divId w:val="283003761"/>
        <w:rPr>
          <w:rFonts w:eastAsia="Times New Roman"/>
        </w:rPr>
      </w:pPr>
    </w:p>
    <w:p w:rsidR="00000000" w:rsidRDefault="00131F06">
      <w:pPr>
        <w:divId w:val="1383674876"/>
        <w:rPr>
          <w:rFonts w:eastAsia="Times New Roman"/>
        </w:rPr>
      </w:pPr>
      <w:r>
        <w:rPr>
          <w:rFonts w:ascii="Arial" w:eastAsia="Times New Roman" w:hAnsi="Arial" w:cs="Arial"/>
          <w:b/>
          <w:bCs/>
          <w:color w:val="000000"/>
          <w:sz w:val="20"/>
          <w:szCs w:val="20"/>
        </w:rPr>
        <w:t>GAS DISTRIBUTION AND STORAGE</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1650547753"/>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650547753"/>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650547753"/>
        </w:trPr>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1650547753"/>
        </w:trPr>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65054775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ind w:hanging="180"/>
              <w:divId w:val="1415932192"/>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286</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282 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1,368</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1,374 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divId w:val="1033535138"/>
        <w:rPr>
          <w:rFonts w:eastAsia="Times New Roman"/>
        </w:rPr>
      </w:pPr>
      <w:r>
        <w:rPr>
          <w:rFonts w:ascii="Arial" w:eastAsia="Times New Roman" w:hAnsi="Arial" w:cs="Arial"/>
          <w:color w:val="000000"/>
          <w:sz w:val="2"/>
          <w:szCs w:val="2"/>
        </w:rPr>
        <w:t> </w:t>
      </w:r>
    </w:p>
    <w:p w:rsidR="00000000" w:rsidRDefault="00131F06">
      <w:pPr>
        <w:ind w:hanging="180"/>
        <w:divId w:val="911233957"/>
        <w:rPr>
          <w:rFonts w:eastAsia="Times New Roman"/>
        </w:rPr>
      </w:pPr>
      <w:r>
        <w:rPr>
          <w:rFonts w:ascii="Arial" w:eastAsia="Times New Roman" w:hAnsi="Arial" w:cs="Arial"/>
          <w:i/>
          <w:iCs/>
          <w:color w:val="000000"/>
          <w:sz w:val="16"/>
          <w:szCs w:val="16"/>
        </w:rPr>
        <w:t>1No</w:t>
      </w:r>
      <w:r>
        <w:rPr>
          <w:rFonts w:ascii="Arial" w:eastAsia="Times New Roman" w:hAnsi="Arial" w:cs="Arial"/>
          <w:i/>
          <w:iCs/>
          <w:color w:val="000000"/>
          <w:sz w:val="16"/>
          <w:szCs w:val="16"/>
        </w:rPr>
        <w:t xml:space="preserve">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131F06">
      <w:pPr>
        <w:ind w:firstLine="180"/>
        <w:divId w:val="1975794005"/>
        <w:rPr>
          <w:rFonts w:eastAsia="Times New Roman"/>
        </w:rPr>
      </w:pPr>
    </w:p>
    <w:p w:rsidR="00000000" w:rsidRDefault="00131F06">
      <w:pPr>
        <w:divId w:val="172838714"/>
        <w:rPr>
          <w:rFonts w:eastAsia="Times New Roman"/>
        </w:rPr>
      </w:pPr>
      <w:r>
        <w:rPr>
          <w:rFonts w:ascii="Arial" w:eastAsia="Times New Roman" w:hAnsi="Arial" w:cs="Arial"/>
          <w:b/>
          <w:bCs/>
          <w:color w:val="000000"/>
          <w:sz w:val="20"/>
          <w:szCs w:val="20"/>
        </w:rPr>
        <w:t>Three months ended September 30, 2022, compared with the three months ended September 30, 2021</w:t>
      </w:r>
    </w:p>
    <w:p w:rsidR="00000000" w:rsidRDefault="00131F06">
      <w:pPr>
        <w:divId w:val="203177685"/>
        <w:rPr>
          <w:rFonts w:eastAsia="Times New Roman"/>
        </w:rPr>
      </w:pPr>
    </w:p>
    <w:p w:rsidR="00000000" w:rsidRDefault="00131F06">
      <w:pPr>
        <w:divId w:val="180359299"/>
        <w:rPr>
          <w:rFonts w:eastAsia="Times New Roman"/>
        </w:rPr>
      </w:pPr>
      <w:r>
        <w:rPr>
          <w:rFonts w:ascii="Arial" w:eastAsia="Times New Roman" w:hAnsi="Arial" w:cs="Arial"/>
          <w:color w:val="000000"/>
          <w:sz w:val="20"/>
          <w:szCs w:val="20"/>
        </w:rPr>
        <w:t>EBITDA remained consistent year over year for the same three-month period due to higher distribution charges at Enbridge Gas, resulting from increases in rates and customer base, that were offset by higher operating and administrative costs related to high</w:t>
      </w:r>
      <w:r>
        <w:rPr>
          <w:rFonts w:ascii="Arial" w:eastAsia="Times New Roman" w:hAnsi="Arial" w:cs="Arial"/>
          <w:color w:val="000000"/>
          <w:sz w:val="20"/>
          <w:szCs w:val="20"/>
        </w:rPr>
        <w:t>er maintenance and integrity spend, as well as timing of expenditures.</w:t>
      </w:r>
    </w:p>
    <w:p w:rsidR="00000000" w:rsidRDefault="00131F06">
      <w:pPr>
        <w:divId w:val="1827937832"/>
        <w:rPr>
          <w:rFonts w:eastAsia="Times New Roman"/>
        </w:rPr>
      </w:pPr>
    </w:p>
    <w:p w:rsidR="00000000" w:rsidRDefault="00131F06">
      <w:pPr>
        <w:jc w:val="center"/>
        <w:divId w:val="113015218"/>
        <w:rPr>
          <w:rFonts w:eastAsia="Times New Roman"/>
        </w:rPr>
      </w:pPr>
      <w:r>
        <w:rPr>
          <w:rFonts w:ascii="Arial" w:eastAsia="Times New Roman" w:hAnsi="Arial" w:cs="Arial"/>
          <w:color w:val="000000"/>
          <w:sz w:val="20"/>
          <w:szCs w:val="20"/>
        </w:rPr>
        <w:t>46</w:t>
      </w:r>
    </w:p>
    <w:p w:rsidR="00000000" w:rsidRDefault="00131F06">
      <w:pPr>
        <w:rPr>
          <w:rFonts w:eastAsia="Times New Roman"/>
        </w:rPr>
      </w:pPr>
      <w:r>
        <w:rPr>
          <w:rFonts w:eastAsia="Times New Roman"/>
        </w:rPr>
        <w:pict>
          <v:rect id="_x0000_i1071" style="width:0;height:1.5pt" o:hralign="center" o:hrstd="t" o:hr="t" fillcolor="#a0a0a0" stroked="f"/>
        </w:pict>
      </w:r>
    </w:p>
    <w:p w:rsidR="00000000" w:rsidRDefault="00131F06">
      <w:pPr>
        <w:jc w:val="center"/>
        <w:divId w:val="613439435"/>
        <w:rPr>
          <w:rFonts w:eastAsia="Times New Roman"/>
        </w:rPr>
      </w:pPr>
    </w:p>
    <w:p w:rsidR="00000000" w:rsidRDefault="00131F06">
      <w:pPr>
        <w:divId w:val="525362544"/>
        <w:rPr>
          <w:rFonts w:eastAsia="Times New Roman"/>
        </w:rPr>
      </w:pPr>
      <w:r>
        <w:rPr>
          <w:rFonts w:ascii="Arial" w:eastAsia="Times New Roman" w:hAnsi="Arial" w:cs="Arial"/>
          <w:b/>
          <w:bCs/>
          <w:color w:val="000000"/>
          <w:sz w:val="20"/>
          <w:szCs w:val="20"/>
        </w:rPr>
        <w:t>Nine months ended September 30, 2022, compared with the nine months ended September 30, 2021</w:t>
      </w:r>
    </w:p>
    <w:p w:rsidR="00000000" w:rsidRDefault="00131F06">
      <w:pPr>
        <w:divId w:val="352003167"/>
        <w:rPr>
          <w:rFonts w:eastAsia="Times New Roman"/>
        </w:rPr>
      </w:pPr>
    </w:p>
    <w:p w:rsidR="00000000" w:rsidRDefault="00131F06">
      <w:pPr>
        <w:divId w:val="1592397483"/>
        <w:rPr>
          <w:rFonts w:eastAsia="Times New Roman"/>
        </w:rPr>
      </w:pPr>
      <w:r>
        <w:rPr>
          <w:rFonts w:ascii="Arial" w:eastAsia="Times New Roman" w:hAnsi="Arial" w:cs="Arial"/>
          <w:color w:val="000000"/>
          <w:sz w:val="20"/>
          <w:szCs w:val="20"/>
        </w:rPr>
        <w:t>EBITDA was negatively impacted by $6 million pr</w:t>
      </w:r>
      <w:r>
        <w:rPr>
          <w:rFonts w:ascii="Arial" w:eastAsia="Times New Roman" w:hAnsi="Arial" w:cs="Arial"/>
          <w:color w:val="000000"/>
          <w:sz w:val="20"/>
          <w:szCs w:val="20"/>
        </w:rPr>
        <w:t>imarily explained by:</w:t>
      </w:r>
    </w:p>
    <w:p w:rsidR="00000000" w:rsidRDefault="00131F06">
      <w:pPr>
        <w:divId w:val="900945809"/>
        <w:rPr>
          <w:rFonts w:eastAsia="Times New Roman"/>
        </w:rPr>
      </w:pPr>
    </w:p>
    <w:p w:rsidR="00000000" w:rsidRDefault="00131F06">
      <w:pPr>
        <w:ind w:hanging="180"/>
        <w:divId w:val="1949964036"/>
        <w:rPr>
          <w:rFonts w:eastAsia="Times New Roman"/>
        </w:rPr>
      </w:pPr>
      <w:r>
        <w:rPr>
          <w:rFonts w:ascii="Arial" w:eastAsia="Times New Roman" w:hAnsi="Arial" w:cs="Arial"/>
          <w:color w:val="000000"/>
          <w:sz w:val="20"/>
          <w:szCs w:val="20"/>
        </w:rPr>
        <w:t>•the absence of earnings from Noverco Inc. due to the sale of our minority investment in December 2021; and</w:t>
      </w:r>
    </w:p>
    <w:p w:rsidR="00000000" w:rsidRDefault="00131F06">
      <w:pPr>
        <w:ind w:hanging="180"/>
        <w:divId w:val="2083326888"/>
        <w:rPr>
          <w:rFonts w:eastAsia="Times New Roman"/>
        </w:rPr>
      </w:pPr>
      <w:r>
        <w:rPr>
          <w:rFonts w:ascii="Arial" w:eastAsia="Times New Roman" w:hAnsi="Arial" w:cs="Arial"/>
          <w:color w:val="000000"/>
          <w:sz w:val="20"/>
          <w:szCs w:val="20"/>
        </w:rPr>
        <w:t>•higher operating costs at Enbridge Gas largely driven by higher maintenance and integrity spend, as well as the timing of e</w:t>
      </w:r>
      <w:r>
        <w:rPr>
          <w:rFonts w:ascii="Arial" w:eastAsia="Times New Roman" w:hAnsi="Arial" w:cs="Arial"/>
          <w:color w:val="000000"/>
          <w:sz w:val="20"/>
          <w:szCs w:val="20"/>
        </w:rPr>
        <w:t>xpenditures; partially offset by</w:t>
      </w:r>
    </w:p>
    <w:p w:rsidR="00000000" w:rsidRDefault="00131F06">
      <w:pPr>
        <w:ind w:hanging="180"/>
        <w:divId w:val="1106579078"/>
        <w:rPr>
          <w:rFonts w:eastAsia="Times New Roman"/>
        </w:rPr>
      </w:pPr>
      <w:r>
        <w:rPr>
          <w:rFonts w:ascii="Arial" w:eastAsia="Times New Roman" w:hAnsi="Arial" w:cs="Arial"/>
          <w:color w:val="000000"/>
          <w:sz w:val="20"/>
          <w:szCs w:val="20"/>
        </w:rPr>
        <w:t>•higher distribution charges at Enbridge Gas resulting from increases in rates and customer base, as well as higher demand in the contract market; and</w:t>
      </w:r>
    </w:p>
    <w:p w:rsidR="00000000" w:rsidRDefault="00131F06">
      <w:pPr>
        <w:ind w:hanging="180"/>
        <w:divId w:val="656955283"/>
        <w:rPr>
          <w:rFonts w:eastAsia="Times New Roman"/>
        </w:rPr>
      </w:pPr>
      <w:r>
        <w:rPr>
          <w:rFonts w:ascii="Arial" w:eastAsia="Times New Roman" w:hAnsi="Arial" w:cs="Arial"/>
          <w:color w:val="000000"/>
          <w:sz w:val="20"/>
          <w:szCs w:val="20"/>
        </w:rPr>
        <w:t>•when compared with the normal weather forecast embedded in rates, colde</w:t>
      </w:r>
      <w:r>
        <w:rPr>
          <w:rFonts w:ascii="Arial" w:eastAsia="Times New Roman" w:hAnsi="Arial" w:cs="Arial"/>
          <w:color w:val="000000"/>
          <w:sz w:val="20"/>
          <w:szCs w:val="20"/>
        </w:rPr>
        <w:t>r than normal weather in 2022 positively impacted Enbridge Gas 2022 EBITDA by approximately $28 million while warmer than normal weather in 2021 negatively impacted 2021 EBITDA by approximately $24 million.</w:t>
      </w:r>
    </w:p>
    <w:p w:rsidR="00000000" w:rsidRDefault="00131F06">
      <w:pPr>
        <w:divId w:val="1271472510"/>
        <w:rPr>
          <w:rFonts w:eastAsia="Times New Roman"/>
        </w:rPr>
      </w:pPr>
    </w:p>
    <w:p w:rsidR="00000000" w:rsidRDefault="00131F06">
      <w:pPr>
        <w:divId w:val="2119370824"/>
        <w:rPr>
          <w:rFonts w:eastAsia="Times New Roman"/>
        </w:rPr>
      </w:pPr>
      <w:r>
        <w:rPr>
          <w:rFonts w:ascii="Arial" w:eastAsia="Times New Roman" w:hAnsi="Arial" w:cs="Arial"/>
          <w:b/>
          <w:bCs/>
          <w:color w:val="000000"/>
          <w:sz w:val="20"/>
          <w:szCs w:val="20"/>
        </w:rPr>
        <w:t>RENEWABLE POWER GENERATION</w:t>
      </w:r>
    </w:p>
    <w:p w:rsidR="00000000" w:rsidRDefault="00131F06">
      <w:pPr>
        <w:divId w:val="998120399"/>
        <w:rPr>
          <w:rFonts w:eastAsia="Times New Roman"/>
        </w:rPr>
      </w:pPr>
      <w:r>
        <w:rPr>
          <w:rFonts w:ascii="Arial" w:eastAsia="Times New Roman" w:hAnsi="Arial" w:cs="Arial"/>
          <w:b/>
          <w:bCs/>
          <w:color w:val="000000"/>
          <w:sz w:val="2"/>
          <w:szCs w:val="2"/>
        </w:rPr>
        <w:t> </w:t>
      </w:r>
    </w:p>
    <w:p w:rsidR="00000000" w:rsidRDefault="00131F06">
      <w:pPr>
        <w:divId w:val="1443525961"/>
        <w:rPr>
          <w:rFonts w:eastAsia="Times New Roman"/>
        </w:rPr>
      </w:pPr>
      <w:r>
        <w:rPr>
          <w:rFonts w:ascii="Arial" w:eastAsia="Times New Roman" w:hAnsi="Arial" w:cs="Arial"/>
          <w:color w:val="000000"/>
          <w:sz w:val="2"/>
          <w:szCs w:val="2"/>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672149365"/>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672149365"/>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672149365"/>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672149365"/>
        </w:trPr>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divId w:val="67214936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ind w:hanging="180"/>
              <w:divId w:val="307321686"/>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105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91 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389</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362 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ind w:hanging="180"/>
        <w:divId w:val="975724549"/>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20"/>
          <w:szCs w:val="20"/>
        </w:rPr>
        <w:t> </w:t>
      </w:r>
      <w:r>
        <w:rPr>
          <w:rFonts w:ascii="Arial" w:eastAsia="Times New Roman" w:hAnsi="Arial" w:cs="Arial"/>
          <w:i/>
          <w:iCs/>
          <w:color w:val="000000"/>
          <w:sz w:val="16"/>
          <w:szCs w:val="16"/>
        </w:rPr>
        <w:t>Non</w:t>
      </w:r>
      <w:r>
        <w:rPr>
          <w:rFonts w:ascii="Arial" w:eastAsia="Times New Roman" w:hAnsi="Arial" w:cs="Arial"/>
          <w:i/>
          <w:iCs/>
          <w:color w:val="000000"/>
          <w:sz w:val="16"/>
          <w:szCs w:val="16"/>
        </w:rPr>
        <w:t xml:space="preserve">-GAAP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131F06">
      <w:pPr>
        <w:ind w:firstLine="180"/>
        <w:divId w:val="1155531522"/>
        <w:rPr>
          <w:rFonts w:eastAsia="Times New Roman"/>
        </w:rPr>
      </w:pPr>
    </w:p>
    <w:p w:rsidR="00000000" w:rsidRDefault="00131F06">
      <w:pPr>
        <w:divId w:val="1600524013"/>
        <w:rPr>
          <w:rFonts w:eastAsia="Times New Roman"/>
        </w:rPr>
      </w:pPr>
      <w:r>
        <w:rPr>
          <w:rFonts w:ascii="Arial" w:eastAsia="Times New Roman" w:hAnsi="Arial" w:cs="Arial"/>
          <w:b/>
          <w:bCs/>
          <w:color w:val="000000"/>
          <w:sz w:val="20"/>
          <w:szCs w:val="20"/>
        </w:rPr>
        <w:t>Three months ended September 30, 2022, compared with the three months ended September 30, 2021</w:t>
      </w:r>
    </w:p>
    <w:p w:rsidR="00000000" w:rsidRDefault="00131F06">
      <w:pPr>
        <w:divId w:val="645010497"/>
        <w:rPr>
          <w:rFonts w:eastAsia="Times New Roman"/>
        </w:rPr>
      </w:pPr>
    </w:p>
    <w:p w:rsidR="00000000" w:rsidRDefault="00131F06">
      <w:pPr>
        <w:divId w:val="177741589"/>
        <w:rPr>
          <w:rFonts w:eastAsia="Times New Roman"/>
        </w:rPr>
      </w:pPr>
      <w:r>
        <w:rPr>
          <w:rFonts w:ascii="Arial" w:eastAsia="Times New Roman" w:hAnsi="Arial" w:cs="Arial"/>
          <w:color w:val="000000"/>
          <w:sz w:val="20"/>
          <w:szCs w:val="20"/>
        </w:rPr>
        <w:t xml:space="preserve">EBITDA was positively impacted by $14 million primarily due to higher energy </w:t>
      </w:r>
      <w:r>
        <w:rPr>
          <w:rFonts w:ascii="Arial" w:eastAsia="Times New Roman" w:hAnsi="Arial" w:cs="Arial"/>
          <w:color w:val="000000"/>
          <w:sz w:val="20"/>
          <w:szCs w:val="20"/>
        </w:rPr>
        <w:t>pricing at European offshore wind facilities.</w:t>
      </w:r>
    </w:p>
    <w:p w:rsidR="00000000" w:rsidRDefault="00131F06">
      <w:pPr>
        <w:divId w:val="2119637622"/>
        <w:rPr>
          <w:rFonts w:eastAsia="Times New Roman"/>
        </w:rPr>
      </w:pPr>
    </w:p>
    <w:p w:rsidR="00000000" w:rsidRDefault="00131F06">
      <w:pPr>
        <w:divId w:val="778527144"/>
        <w:rPr>
          <w:rFonts w:eastAsia="Times New Roman"/>
        </w:rPr>
      </w:pPr>
      <w:r>
        <w:rPr>
          <w:rFonts w:ascii="Arial" w:eastAsia="Times New Roman" w:hAnsi="Arial" w:cs="Arial"/>
          <w:b/>
          <w:bCs/>
          <w:color w:val="000000"/>
          <w:sz w:val="20"/>
          <w:szCs w:val="20"/>
        </w:rPr>
        <w:t>Nine months ended September 30, 2022, compared with the nine months ended September 30, 2021</w:t>
      </w:r>
    </w:p>
    <w:p w:rsidR="00000000" w:rsidRDefault="00131F06">
      <w:pPr>
        <w:divId w:val="447894764"/>
        <w:rPr>
          <w:rFonts w:eastAsia="Times New Roman"/>
        </w:rPr>
      </w:pPr>
    </w:p>
    <w:p w:rsidR="00000000" w:rsidRDefault="00131F06">
      <w:pPr>
        <w:divId w:val="1904754834"/>
        <w:rPr>
          <w:rFonts w:eastAsia="Times New Roman"/>
        </w:rPr>
      </w:pPr>
      <w:r>
        <w:rPr>
          <w:rFonts w:ascii="Arial" w:eastAsia="Times New Roman" w:hAnsi="Arial" w:cs="Arial"/>
          <w:color w:val="000000"/>
          <w:sz w:val="20"/>
          <w:szCs w:val="20"/>
        </w:rPr>
        <w:t>EBITDA was positively impacted by $27 million primarily due to the following significant business factors:</w:t>
      </w:r>
    </w:p>
    <w:p w:rsidR="00000000" w:rsidRDefault="00131F06">
      <w:pPr>
        <w:divId w:val="831676873"/>
        <w:rPr>
          <w:rFonts w:eastAsia="Times New Roman"/>
        </w:rPr>
      </w:pPr>
    </w:p>
    <w:p w:rsidR="00000000" w:rsidRDefault="00131F06">
      <w:pPr>
        <w:ind w:hanging="180"/>
        <w:divId w:val="2066566619"/>
        <w:rPr>
          <w:rFonts w:eastAsia="Times New Roman"/>
        </w:rPr>
      </w:pPr>
      <w:r>
        <w:rPr>
          <w:rFonts w:ascii="Arial" w:eastAsia="Times New Roman" w:hAnsi="Arial" w:cs="Arial"/>
          <w:color w:val="000000"/>
          <w:sz w:val="20"/>
          <w:szCs w:val="20"/>
        </w:rPr>
        <w:t>•str</w:t>
      </w:r>
      <w:r>
        <w:rPr>
          <w:rFonts w:ascii="Arial" w:eastAsia="Times New Roman" w:hAnsi="Arial" w:cs="Arial"/>
          <w:color w:val="000000"/>
          <w:sz w:val="20"/>
          <w:szCs w:val="20"/>
        </w:rPr>
        <w:t xml:space="preserve">onger wind resources at Canadian and US onshore wind facilities; </w:t>
      </w:r>
    </w:p>
    <w:p w:rsidR="00000000" w:rsidRDefault="00131F06">
      <w:pPr>
        <w:ind w:hanging="180"/>
        <w:divId w:val="1522472157"/>
        <w:rPr>
          <w:rFonts w:eastAsia="Times New Roman"/>
        </w:rPr>
      </w:pPr>
      <w:r>
        <w:rPr>
          <w:rFonts w:ascii="Arial" w:eastAsia="Times New Roman" w:hAnsi="Arial" w:cs="Arial"/>
          <w:color w:val="000000"/>
          <w:sz w:val="20"/>
          <w:szCs w:val="20"/>
        </w:rPr>
        <w:t>•higher energy pricing at European offshore wind facilities; and</w:t>
      </w:r>
    </w:p>
    <w:p w:rsidR="00000000" w:rsidRDefault="00131F06">
      <w:pPr>
        <w:ind w:hanging="180"/>
        <w:divId w:val="196569303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in 2022 of the adverse effects from the major winter storm in Texas during February 2021; partially offset by</w:t>
      </w:r>
    </w:p>
    <w:p w:rsidR="00000000" w:rsidRDefault="00131F06">
      <w:pPr>
        <w:ind w:hanging="180"/>
        <w:divId w:val="1717656337"/>
        <w:rPr>
          <w:rFonts w:eastAsia="Times New Roman"/>
        </w:rPr>
      </w:pPr>
      <w:r>
        <w:rPr>
          <w:rFonts w:ascii="Arial" w:eastAsia="Times New Roman" w:hAnsi="Arial" w:cs="Arial"/>
          <w:color w:val="000000"/>
          <w:sz w:val="20"/>
          <w:szCs w:val="20"/>
        </w:rPr>
        <w:t>•the absence in 2022 of a promote fee received in the first quarter of 2021 associated with the closing of the sale of 49% of our inte</w:t>
      </w:r>
      <w:r>
        <w:rPr>
          <w:rFonts w:ascii="Arial" w:eastAsia="Times New Roman" w:hAnsi="Arial" w:cs="Arial"/>
          <w:color w:val="000000"/>
          <w:sz w:val="20"/>
          <w:szCs w:val="20"/>
        </w:rPr>
        <w:t>rest in three European offshore wind projects to Canada Pension Plan Investment Board.</w:t>
      </w:r>
    </w:p>
    <w:p w:rsidR="00000000" w:rsidRDefault="00131F06">
      <w:pPr>
        <w:divId w:val="1040589549"/>
        <w:rPr>
          <w:rFonts w:eastAsia="Times New Roman"/>
        </w:rPr>
      </w:pPr>
    </w:p>
    <w:p w:rsidR="00000000" w:rsidRDefault="00131F06">
      <w:pPr>
        <w:jc w:val="center"/>
        <w:divId w:val="1730181049"/>
        <w:rPr>
          <w:rFonts w:eastAsia="Times New Roman"/>
        </w:rPr>
      </w:pPr>
      <w:r>
        <w:rPr>
          <w:rFonts w:ascii="Arial" w:eastAsia="Times New Roman" w:hAnsi="Arial" w:cs="Arial"/>
          <w:color w:val="000000"/>
          <w:sz w:val="20"/>
          <w:szCs w:val="20"/>
        </w:rPr>
        <w:t>47</w:t>
      </w:r>
    </w:p>
    <w:p w:rsidR="00000000" w:rsidRDefault="00131F06">
      <w:pPr>
        <w:rPr>
          <w:rFonts w:eastAsia="Times New Roman"/>
        </w:rPr>
      </w:pPr>
      <w:r>
        <w:rPr>
          <w:rFonts w:eastAsia="Times New Roman"/>
        </w:rPr>
        <w:pict>
          <v:rect id="_x0000_i1072" style="width:0;height:1.5pt" o:hralign="center" o:hrstd="t" o:hr="t" fillcolor="#a0a0a0" stroked="f"/>
        </w:pict>
      </w:r>
    </w:p>
    <w:p w:rsidR="00000000" w:rsidRDefault="00131F06">
      <w:pPr>
        <w:jc w:val="center"/>
        <w:divId w:val="128714748"/>
        <w:rPr>
          <w:rFonts w:eastAsia="Times New Roman"/>
        </w:rPr>
      </w:pPr>
    </w:p>
    <w:p w:rsidR="00000000" w:rsidRDefault="00131F06">
      <w:pPr>
        <w:divId w:val="1652519290"/>
        <w:rPr>
          <w:rFonts w:eastAsia="Times New Roman"/>
        </w:rPr>
      </w:pPr>
      <w:r>
        <w:rPr>
          <w:rFonts w:ascii="Arial" w:eastAsia="Times New Roman" w:hAnsi="Arial" w:cs="Arial"/>
          <w:b/>
          <w:bCs/>
          <w:color w:val="000000"/>
          <w:sz w:val="20"/>
          <w:szCs w:val="20"/>
        </w:rPr>
        <w:t>ENERGY SERVICES</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1169365678"/>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169365678"/>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169365678"/>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1169365678"/>
        </w:trPr>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divId w:val="116936567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ind w:hanging="180"/>
              <w:divId w:val="217059566"/>
              <w:rPr>
                <w:rFonts w:eastAsia="Times New Roman"/>
              </w:rPr>
            </w:pPr>
            <w:r>
              <w:rPr>
                <w:rFonts w:ascii="Arial" w:eastAsia="Times New Roman" w:hAnsi="Arial" w:cs="Arial"/>
                <w:color w:val="000000"/>
                <w:sz w:val="20"/>
                <w:szCs w:val="20"/>
              </w:rPr>
              <w:t>Loss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(70)</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(204)</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(348)</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(379)</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ind w:hanging="180"/>
        <w:divId w:val="464856084"/>
        <w:rPr>
          <w:rFonts w:eastAsia="Times New Roman"/>
        </w:rPr>
      </w:pPr>
      <w:r>
        <w:rPr>
          <w:rFonts w:ascii="Arial" w:eastAsia="Times New Roman" w:hAnsi="Arial" w:cs="Arial"/>
          <w:i/>
          <w:iCs/>
          <w:color w:val="000000"/>
          <w:sz w:val="16"/>
          <w:szCs w:val="16"/>
        </w:rPr>
        <w:t>1Non-</w:t>
      </w:r>
      <w:r>
        <w:rPr>
          <w:rFonts w:ascii="Arial" w:eastAsia="Times New Roman" w:hAnsi="Arial" w:cs="Arial"/>
          <w:i/>
          <w:iCs/>
          <w:color w:val="000000"/>
          <w:sz w:val="16"/>
          <w:szCs w:val="16"/>
        </w:rPr>
        <w:t xml:space="preserve">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131F06">
      <w:pPr>
        <w:ind w:firstLine="180"/>
        <w:divId w:val="337117514"/>
        <w:rPr>
          <w:rFonts w:eastAsia="Times New Roman"/>
        </w:rPr>
      </w:pPr>
    </w:p>
    <w:p w:rsidR="00000000" w:rsidRDefault="00131F06">
      <w:pPr>
        <w:divId w:val="196551571"/>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131F06">
      <w:pPr>
        <w:divId w:val="1115517847"/>
        <w:rPr>
          <w:rFonts w:eastAsia="Times New Roman"/>
        </w:rPr>
      </w:pPr>
    </w:p>
    <w:p w:rsidR="00000000" w:rsidRDefault="00131F06">
      <w:pPr>
        <w:divId w:val="110783411"/>
        <w:rPr>
          <w:rFonts w:eastAsia="Times New Roman"/>
        </w:rPr>
      </w:pPr>
      <w:r>
        <w:rPr>
          <w:rFonts w:ascii="Arial" w:eastAsia="Times New Roman" w:hAnsi="Arial" w:cs="Arial"/>
          <w:b/>
          <w:bCs/>
          <w:color w:val="000000"/>
          <w:sz w:val="20"/>
          <w:szCs w:val="20"/>
        </w:rPr>
        <w:t xml:space="preserve">Three months ended September 30, 2022, compared with the three months ended September 30, </w:t>
      </w:r>
      <w:r>
        <w:rPr>
          <w:rFonts w:ascii="Arial" w:eastAsia="Times New Roman" w:hAnsi="Arial" w:cs="Arial"/>
          <w:b/>
          <w:bCs/>
          <w:color w:val="000000"/>
          <w:sz w:val="20"/>
          <w:szCs w:val="20"/>
        </w:rPr>
        <w:t>2021</w:t>
      </w:r>
    </w:p>
    <w:p w:rsidR="00000000" w:rsidRDefault="00131F06">
      <w:pPr>
        <w:divId w:val="1798523189"/>
        <w:rPr>
          <w:rFonts w:eastAsia="Times New Roman"/>
        </w:rPr>
      </w:pPr>
    </w:p>
    <w:p w:rsidR="00000000" w:rsidRDefault="00131F06">
      <w:pPr>
        <w:divId w:val="78406828"/>
        <w:rPr>
          <w:rFonts w:eastAsia="Times New Roman"/>
        </w:rPr>
      </w:pPr>
      <w:r>
        <w:rPr>
          <w:rFonts w:ascii="Arial" w:eastAsia="Times New Roman" w:hAnsi="Arial" w:cs="Arial"/>
          <w:color w:val="000000"/>
          <w:sz w:val="20"/>
          <w:szCs w:val="20"/>
        </w:rPr>
        <w:t>EBITDA was positively impacted by $150 million due to certain non-operating factors, primarily explained by non-cash, unrealized gains of $58 million in 2022, compared with unrealized losses of $88 million in 2021, reflecting the revaluation of deri</w:t>
      </w:r>
      <w:r>
        <w:rPr>
          <w:rFonts w:ascii="Arial" w:eastAsia="Times New Roman" w:hAnsi="Arial" w:cs="Arial"/>
          <w:color w:val="000000"/>
          <w:sz w:val="20"/>
          <w:szCs w:val="20"/>
        </w:rPr>
        <w:t>vatives used to manage the profitability of transportation and storage transactions, as well as to manage the exposure to movements in commodity prices.</w:t>
      </w:r>
    </w:p>
    <w:p w:rsidR="00000000" w:rsidRDefault="00131F06">
      <w:pPr>
        <w:divId w:val="1091660312"/>
        <w:rPr>
          <w:rFonts w:eastAsia="Times New Roman"/>
        </w:rPr>
      </w:pPr>
    </w:p>
    <w:p w:rsidR="00000000" w:rsidRDefault="00131F06">
      <w:pPr>
        <w:divId w:val="915626369"/>
        <w:rPr>
          <w:rFonts w:eastAsia="Times New Roman"/>
        </w:rPr>
      </w:pPr>
      <w:r>
        <w:rPr>
          <w:rFonts w:ascii="Arial" w:eastAsia="Times New Roman" w:hAnsi="Arial" w:cs="Arial"/>
          <w:color w:val="000000"/>
          <w:sz w:val="20"/>
          <w:szCs w:val="20"/>
        </w:rPr>
        <w:t>After taking into consideration the factor above, the remaining $16 million decrease is primarily exp</w:t>
      </w:r>
      <w:r>
        <w:rPr>
          <w:rFonts w:ascii="Arial" w:eastAsia="Times New Roman" w:hAnsi="Arial" w:cs="Arial"/>
          <w:color w:val="000000"/>
          <w:sz w:val="20"/>
          <w:szCs w:val="20"/>
        </w:rPr>
        <w:t>lained by more pronounced market structure backwardation and significant compression of location differentials in certain markets as compared to the same period of 2021.</w:t>
      </w:r>
    </w:p>
    <w:p w:rsidR="00000000" w:rsidRDefault="00131F06">
      <w:pPr>
        <w:divId w:val="1111625242"/>
        <w:rPr>
          <w:rFonts w:eastAsia="Times New Roman"/>
        </w:rPr>
      </w:pPr>
    </w:p>
    <w:p w:rsidR="00000000" w:rsidRDefault="00131F06">
      <w:pPr>
        <w:divId w:val="436296971"/>
        <w:rPr>
          <w:rFonts w:eastAsia="Times New Roman"/>
        </w:rPr>
      </w:pPr>
      <w:r>
        <w:rPr>
          <w:rFonts w:ascii="Arial" w:eastAsia="Times New Roman" w:hAnsi="Arial" w:cs="Arial"/>
          <w:b/>
          <w:bCs/>
          <w:color w:val="000000"/>
          <w:sz w:val="20"/>
          <w:szCs w:val="20"/>
        </w:rPr>
        <w:t xml:space="preserve">Nine months ended September 30, 2022, compared with the nine months ended September </w:t>
      </w:r>
      <w:r>
        <w:rPr>
          <w:rFonts w:ascii="Arial" w:eastAsia="Times New Roman" w:hAnsi="Arial" w:cs="Arial"/>
          <w:b/>
          <w:bCs/>
          <w:color w:val="000000"/>
          <w:sz w:val="20"/>
          <w:szCs w:val="20"/>
        </w:rPr>
        <w:t>30, 2021</w:t>
      </w:r>
    </w:p>
    <w:p w:rsidR="00000000" w:rsidRDefault="00131F06">
      <w:pPr>
        <w:divId w:val="359161123"/>
        <w:rPr>
          <w:rFonts w:eastAsia="Times New Roman"/>
        </w:rPr>
      </w:pPr>
    </w:p>
    <w:p w:rsidR="00000000" w:rsidRDefault="00131F06">
      <w:pPr>
        <w:divId w:val="686104978"/>
        <w:rPr>
          <w:rFonts w:eastAsia="Times New Roman"/>
        </w:rPr>
      </w:pPr>
      <w:r>
        <w:rPr>
          <w:rFonts w:ascii="Arial" w:eastAsia="Times New Roman" w:hAnsi="Arial" w:cs="Arial"/>
          <w:color w:val="000000"/>
          <w:sz w:val="20"/>
          <w:szCs w:val="20"/>
        </w:rPr>
        <w:t>EBITDA was positively impacted by $56 million due to certain non-operating factors, primarily explained by:</w:t>
      </w:r>
    </w:p>
    <w:p w:rsidR="00000000" w:rsidRDefault="00131F06">
      <w:pPr>
        <w:divId w:val="1701280685"/>
        <w:rPr>
          <w:rFonts w:eastAsia="Times New Roman"/>
        </w:rPr>
      </w:pPr>
    </w:p>
    <w:p w:rsidR="00000000" w:rsidRDefault="00131F06">
      <w:pPr>
        <w:ind w:hanging="180"/>
        <w:divId w:val="1236667099"/>
        <w:rPr>
          <w:rFonts w:eastAsia="Times New Roman"/>
        </w:rPr>
      </w:pPr>
      <w:r>
        <w:rPr>
          <w:rFonts w:ascii="Arial" w:eastAsia="Times New Roman" w:hAnsi="Arial" w:cs="Arial"/>
          <w:color w:val="000000"/>
          <w:sz w:val="20"/>
          <w:szCs w:val="20"/>
        </w:rPr>
        <w:t>•non-cash, unrealized gains of $22 million in 2022, compared with unrealized losses of $102 million in 2021, reflecting the revaluation</w:t>
      </w:r>
      <w:r>
        <w:rPr>
          <w:rFonts w:ascii="Arial" w:eastAsia="Times New Roman" w:hAnsi="Arial" w:cs="Arial"/>
          <w:color w:val="000000"/>
          <w:sz w:val="20"/>
          <w:szCs w:val="20"/>
        </w:rPr>
        <w:t xml:space="preserve"> of derivatives used to manage the profitability of transportation and storage transactions, as well as manage the exposure to movements in commodity prices; partially offset by</w:t>
      </w:r>
    </w:p>
    <w:p w:rsidR="00000000" w:rsidRDefault="00131F06">
      <w:pPr>
        <w:ind w:hanging="180"/>
        <w:divId w:val="289558605"/>
        <w:rPr>
          <w:rFonts w:eastAsia="Times New Roman"/>
        </w:rPr>
      </w:pPr>
      <w:r>
        <w:rPr>
          <w:rFonts w:ascii="Arial" w:eastAsia="Times New Roman" w:hAnsi="Arial" w:cs="Arial"/>
          <w:color w:val="000000"/>
          <w:sz w:val="20"/>
          <w:szCs w:val="20"/>
        </w:rPr>
        <w:t>•a net negative adjustment to crude oil and natural gas inventories of $67 mil</w:t>
      </w:r>
      <w:r>
        <w:rPr>
          <w:rFonts w:ascii="Arial" w:eastAsia="Times New Roman" w:hAnsi="Arial" w:cs="Arial"/>
          <w:color w:val="000000"/>
          <w:sz w:val="20"/>
          <w:szCs w:val="20"/>
        </w:rPr>
        <w:t>lion.</w:t>
      </w:r>
    </w:p>
    <w:p w:rsidR="00000000" w:rsidRDefault="00131F06">
      <w:pPr>
        <w:divId w:val="1134758389"/>
        <w:rPr>
          <w:rFonts w:eastAsia="Times New Roman"/>
        </w:rPr>
      </w:pPr>
    </w:p>
    <w:p w:rsidR="00000000" w:rsidRDefault="00131F06">
      <w:pPr>
        <w:divId w:val="1967078441"/>
        <w:rPr>
          <w:rFonts w:eastAsia="Times New Roman"/>
        </w:rPr>
      </w:pPr>
      <w:r>
        <w:rPr>
          <w:rFonts w:ascii="Arial" w:eastAsia="Times New Roman" w:hAnsi="Arial" w:cs="Arial"/>
          <w:color w:val="000000"/>
          <w:sz w:val="20"/>
          <w:szCs w:val="20"/>
        </w:rPr>
        <w:t>After taking into consideration the factors above, the remaining $25 million decrease is primarily explained by the following significant business factors:</w:t>
      </w:r>
    </w:p>
    <w:p w:rsidR="00000000" w:rsidRDefault="00131F06">
      <w:pPr>
        <w:divId w:val="266540914"/>
        <w:rPr>
          <w:rFonts w:eastAsia="Times New Roman"/>
        </w:rPr>
      </w:pPr>
    </w:p>
    <w:p w:rsidR="00000000" w:rsidRDefault="00131F06">
      <w:pPr>
        <w:ind w:hanging="180"/>
        <w:divId w:val="2089959368"/>
        <w:rPr>
          <w:rFonts w:eastAsia="Times New Roman"/>
        </w:rPr>
      </w:pPr>
      <w:r>
        <w:rPr>
          <w:rFonts w:ascii="Arial" w:eastAsia="Times New Roman" w:hAnsi="Arial" w:cs="Arial"/>
          <w:color w:val="000000"/>
          <w:sz w:val="20"/>
          <w:szCs w:val="20"/>
        </w:rPr>
        <w:t>•more pronounced market structure backwardation and significant compression of location di</w:t>
      </w:r>
      <w:r>
        <w:rPr>
          <w:rFonts w:ascii="Arial" w:eastAsia="Times New Roman" w:hAnsi="Arial" w:cs="Arial"/>
          <w:color w:val="000000"/>
          <w:sz w:val="20"/>
          <w:szCs w:val="20"/>
        </w:rPr>
        <w:t>fferentials in certain markets as compared to the same period of 2021; partially offset by</w:t>
      </w:r>
    </w:p>
    <w:p w:rsidR="00000000" w:rsidRDefault="00131F06">
      <w:pPr>
        <w:ind w:hanging="180"/>
        <w:divId w:val="1880435464"/>
        <w:rPr>
          <w:rFonts w:eastAsia="Times New Roman"/>
        </w:rPr>
      </w:pPr>
      <w:r>
        <w:rPr>
          <w:rFonts w:ascii="Arial" w:eastAsia="Times New Roman" w:hAnsi="Arial" w:cs="Arial"/>
          <w:color w:val="000000"/>
          <w:sz w:val="20"/>
          <w:szCs w:val="20"/>
        </w:rPr>
        <w:t>•the absence in 2022 of adverse impacts from the major winter storm experienced across the US Midwest during February 2021.</w:t>
      </w:r>
    </w:p>
    <w:p w:rsidR="00000000" w:rsidRDefault="00131F06">
      <w:pPr>
        <w:divId w:val="2005283200"/>
        <w:rPr>
          <w:rFonts w:eastAsia="Times New Roman"/>
        </w:rPr>
      </w:pPr>
    </w:p>
    <w:p w:rsidR="00000000" w:rsidRDefault="00131F06">
      <w:pPr>
        <w:jc w:val="center"/>
        <w:divId w:val="450129021"/>
        <w:rPr>
          <w:rFonts w:eastAsia="Times New Roman"/>
        </w:rPr>
      </w:pPr>
      <w:r>
        <w:rPr>
          <w:rFonts w:ascii="Arial" w:eastAsia="Times New Roman" w:hAnsi="Arial" w:cs="Arial"/>
          <w:color w:val="000000"/>
          <w:sz w:val="20"/>
          <w:szCs w:val="20"/>
        </w:rPr>
        <w:t>48</w:t>
      </w:r>
    </w:p>
    <w:p w:rsidR="00000000" w:rsidRDefault="00131F06">
      <w:pPr>
        <w:rPr>
          <w:rFonts w:eastAsia="Times New Roman"/>
        </w:rPr>
      </w:pPr>
      <w:r>
        <w:rPr>
          <w:rFonts w:eastAsia="Times New Roman"/>
        </w:rPr>
        <w:pict>
          <v:rect id="_x0000_i1073" style="width:0;height:1.5pt" o:hralign="center" o:hrstd="t" o:hr="t" fillcolor="#a0a0a0" stroked="f"/>
        </w:pict>
      </w:r>
    </w:p>
    <w:p w:rsidR="00000000" w:rsidRDefault="00131F06">
      <w:pPr>
        <w:jc w:val="center"/>
        <w:divId w:val="1011296105"/>
        <w:rPr>
          <w:rFonts w:eastAsia="Times New Roman"/>
        </w:rPr>
      </w:pPr>
    </w:p>
    <w:p w:rsidR="00000000" w:rsidRDefault="00131F06">
      <w:pPr>
        <w:divId w:val="90393652"/>
        <w:rPr>
          <w:rFonts w:eastAsia="Times New Roman"/>
        </w:rPr>
      </w:pPr>
      <w:r>
        <w:rPr>
          <w:rFonts w:ascii="Arial" w:eastAsia="Times New Roman" w:hAnsi="Arial" w:cs="Arial"/>
          <w:b/>
          <w:bCs/>
          <w:color w:val="000000"/>
          <w:sz w:val="20"/>
          <w:szCs w:val="20"/>
        </w:rPr>
        <w:t>ELIMINATIONS AND OTHER</w:t>
      </w:r>
    </w:p>
    <w:p w:rsidR="00000000" w:rsidRDefault="00131F06">
      <w:pPr>
        <w:divId w:val="1949196443"/>
        <w:rPr>
          <w:rFonts w:eastAsia="Times New Roman"/>
        </w:rPr>
      </w:pPr>
      <w:r>
        <w:rPr>
          <w:rFonts w:ascii="Arial" w:eastAsia="Times New Roman" w:hAnsi="Arial" w:cs="Arial"/>
          <w:color w:val="000000"/>
          <w:sz w:val="2"/>
          <w:szCs w:val="2"/>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394665601"/>
        </w:trPr>
        <w:tc>
          <w:tcPr>
            <w:tcW w:w="50" w:type="pct"/>
            <w:vAlign w:val="center"/>
            <w:hideMark/>
          </w:tcPr>
          <w:p w:rsidR="00000000" w:rsidRDefault="00131F06">
            <w:pPr>
              <w:rPr>
                <w:rFonts w:eastAsia="Times New Roman"/>
              </w:rPr>
            </w:pPr>
          </w:p>
        </w:tc>
        <w:tc>
          <w:tcPr>
            <w:tcW w:w="26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394665601"/>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394665601"/>
        </w:trPr>
        <w:tc>
          <w:tcPr>
            <w:tcW w:w="0" w:type="auto"/>
            <w:gridSpan w:val="3"/>
            <w:tcMar>
              <w:top w:w="0" w:type="dxa"/>
              <w:left w:w="20" w:type="dxa"/>
              <w:bottom w:w="0" w:type="dxa"/>
              <w:right w:w="20" w:type="dxa"/>
            </w:tcMar>
            <w:vAlign w:val="center"/>
            <w:hideMark/>
          </w:tcPr>
          <w:p w:rsidR="00000000" w:rsidRDefault="00131F06">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394665601"/>
        </w:trPr>
        <w:tc>
          <w:tcPr>
            <w:tcW w:w="0" w:type="auto"/>
            <w:gridSpan w:val="3"/>
            <w:tcBorders>
              <w:top w:val="single" w:sz="4" w:space="0" w:color="000000"/>
            </w:tcBorders>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39466560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ind w:hanging="180"/>
              <w:divId w:val="851382194"/>
              <w:rPr>
                <w:rFonts w:eastAsia="Times New Roman"/>
              </w:rPr>
            </w:pPr>
            <w:r>
              <w:rPr>
                <w:rFonts w:ascii="Arial" w:eastAsia="Times New Roman" w:hAnsi="Arial" w:cs="Arial"/>
                <w:color w:val="000000"/>
                <w:sz w:val="20"/>
                <w:szCs w:val="20"/>
              </w:rPr>
              <w:t>Earnings/(loss)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(935)</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(121)</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(1,284)</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191 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ind w:hanging="180"/>
        <w:divId w:val="1167398798"/>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20"/>
          <w:szCs w:val="20"/>
        </w:rPr>
        <w:t> </w:t>
      </w:r>
      <w:r>
        <w:rPr>
          <w:rFonts w:ascii="Arial" w:eastAsia="Times New Roman" w:hAnsi="Arial" w:cs="Arial"/>
          <w:i/>
          <w:iCs/>
          <w:color w:val="000000"/>
          <w:sz w:val="16"/>
          <w:szCs w:val="16"/>
        </w:rPr>
        <w:t>Non</w:t>
      </w:r>
      <w:r>
        <w:rPr>
          <w:rFonts w:ascii="Arial" w:eastAsia="Times New Roman" w:hAnsi="Arial" w:cs="Arial"/>
          <w:i/>
          <w:iCs/>
          <w:color w:val="000000"/>
          <w:sz w:val="16"/>
          <w:szCs w:val="16"/>
        </w:rPr>
        <w:t xml:space="preserve">-GAAP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131F06">
      <w:pPr>
        <w:ind w:firstLine="180"/>
        <w:divId w:val="919943687"/>
        <w:rPr>
          <w:rFonts w:eastAsia="Times New Roman"/>
        </w:rPr>
      </w:pPr>
    </w:p>
    <w:p w:rsidR="00000000" w:rsidRDefault="00131F06">
      <w:pPr>
        <w:divId w:val="934023949"/>
        <w:rPr>
          <w:rFonts w:eastAsia="Times New Roman"/>
        </w:rPr>
      </w:pPr>
      <w:r>
        <w:rPr>
          <w:rFonts w:ascii="Arial" w:eastAsia="Times New Roman" w:hAnsi="Arial" w:cs="Arial"/>
          <w:color w:val="000000"/>
          <w:sz w:val="20"/>
          <w:szCs w:val="20"/>
        </w:rPr>
        <w:t>Eliminations and Other includes operating and administrative costs and the impact of foreign exchange hedge settlements, which are not allocated to business segments. Elimina</w:t>
      </w:r>
      <w:r>
        <w:rPr>
          <w:rFonts w:ascii="Arial" w:eastAsia="Times New Roman" w:hAnsi="Arial" w:cs="Arial"/>
          <w:color w:val="000000"/>
          <w:sz w:val="20"/>
          <w:szCs w:val="20"/>
        </w:rPr>
        <w:t>tions and Other also includes the impact of new business development activities and corporate investments.</w:t>
      </w:r>
    </w:p>
    <w:p w:rsidR="00000000" w:rsidRDefault="00131F06">
      <w:pPr>
        <w:divId w:val="1781995597"/>
        <w:rPr>
          <w:rFonts w:eastAsia="Times New Roman"/>
        </w:rPr>
      </w:pPr>
    </w:p>
    <w:p w:rsidR="00000000" w:rsidRDefault="00131F06">
      <w:pPr>
        <w:divId w:val="1140223062"/>
        <w:rPr>
          <w:rFonts w:eastAsia="Times New Roman"/>
        </w:rPr>
      </w:pPr>
      <w:r>
        <w:rPr>
          <w:rFonts w:ascii="Arial" w:eastAsia="Times New Roman" w:hAnsi="Arial" w:cs="Arial"/>
          <w:b/>
          <w:bCs/>
          <w:color w:val="000000"/>
          <w:sz w:val="20"/>
          <w:szCs w:val="20"/>
        </w:rPr>
        <w:t>Three months ended September 30, 2022, compared with the three months ended September 30, 2021</w:t>
      </w:r>
    </w:p>
    <w:p w:rsidR="00000000" w:rsidRDefault="00131F06">
      <w:pPr>
        <w:divId w:val="1089155076"/>
        <w:rPr>
          <w:rFonts w:eastAsia="Times New Roman"/>
        </w:rPr>
      </w:pPr>
    </w:p>
    <w:p w:rsidR="00000000" w:rsidRDefault="00131F06">
      <w:pPr>
        <w:divId w:val="367220910"/>
        <w:rPr>
          <w:rFonts w:eastAsia="Times New Roman"/>
        </w:rPr>
      </w:pPr>
      <w:r>
        <w:rPr>
          <w:rFonts w:ascii="Arial" w:eastAsia="Times New Roman" w:hAnsi="Arial" w:cs="Arial"/>
          <w:color w:val="000000"/>
          <w:sz w:val="20"/>
          <w:szCs w:val="20"/>
        </w:rPr>
        <w:t>EBITDA was negatively impacted by $755 million due</w:t>
      </w:r>
      <w:r>
        <w:rPr>
          <w:rFonts w:ascii="Arial" w:eastAsia="Times New Roman" w:hAnsi="Arial" w:cs="Arial"/>
          <w:color w:val="000000"/>
          <w:sz w:val="20"/>
          <w:szCs w:val="20"/>
        </w:rPr>
        <w:t xml:space="preserve"> to certain infrequent or non-operating factors, primarily explained by:</w:t>
      </w:r>
    </w:p>
    <w:p w:rsidR="00000000" w:rsidRDefault="00131F06">
      <w:pPr>
        <w:divId w:val="851147942"/>
        <w:rPr>
          <w:rFonts w:eastAsia="Times New Roman"/>
        </w:rPr>
      </w:pPr>
    </w:p>
    <w:p w:rsidR="00000000" w:rsidRDefault="00131F06">
      <w:pPr>
        <w:ind w:hanging="180"/>
        <w:divId w:val="687369134"/>
        <w:rPr>
          <w:rFonts w:eastAsia="Times New Roman"/>
        </w:rPr>
      </w:pPr>
      <w:r>
        <w:rPr>
          <w:rFonts w:ascii="Arial" w:eastAsia="Times New Roman" w:hAnsi="Arial" w:cs="Arial"/>
          <w:color w:val="000000"/>
          <w:sz w:val="20"/>
          <w:szCs w:val="20"/>
        </w:rPr>
        <w:t xml:space="preserve">•non-cash, net unrealized losses of $1,046 million in 2022, compared with unrealized losses of $214 million in 2021, reflecting the change in the mark-to-market value of derivative </w:t>
      </w:r>
      <w:r>
        <w:rPr>
          <w:rFonts w:ascii="Arial" w:eastAsia="Times New Roman" w:hAnsi="Arial" w:cs="Arial"/>
          <w:color w:val="000000"/>
          <w:sz w:val="20"/>
          <w:szCs w:val="20"/>
        </w:rPr>
        <w:t>financial instruments used to manage foreign exchange risk; partially offset by</w:t>
      </w:r>
    </w:p>
    <w:p w:rsidR="00000000" w:rsidRDefault="00131F06">
      <w:pPr>
        <w:ind w:hanging="180"/>
        <w:divId w:val="656807983"/>
        <w:rPr>
          <w:rFonts w:eastAsia="Times New Roman"/>
        </w:rPr>
      </w:pPr>
      <w:r>
        <w:rPr>
          <w:rFonts w:ascii="Arial" w:eastAsia="Times New Roman" w:hAnsi="Arial" w:cs="Arial"/>
          <w:color w:val="000000"/>
          <w:sz w:val="20"/>
          <w:szCs w:val="20"/>
        </w:rPr>
        <w:t>•a net positive adjustment of $85 million due to the release of reserves associated with our enterprise insurance strategy.</w:t>
      </w:r>
    </w:p>
    <w:p w:rsidR="00000000" w:rsidRDefault="00131F06">
      <w:pPr>
        <w:divId w:val="1651861250"/>
        <w:rPr>
          <w:rFonts w:eastAsia="Times New Roman"/>
        </w:rPr>
      </w:pPr>
    </w:p>
    <w:p w:rsidR="00000000" w:rsidRDefault="00131F06">
      <w:pPr>
        <w:divId w:val="1545756628"/>
        <w:rPr>
          <w:rFonts w:eastAsia="Times New Roman"/>
        </w:rPr>
      </w:pPr>
      <w:r>
        <w:rPr>
          <w:rFonts w:ascii="Arial" w:eastAsia="Times New Roman" w:hAnsi="Arial" w:cs="Arial"/>
          <w:color w:val="000000"/>
          <w:sz w:val="20"/>
          <w:szCs w:val="20"/>
        </w:rPr>
        <w:t xml:space="preserve">After taking into consideration the non-operating </w:t>
      </w:r>
      <w:r>
        <w:rPr>
          <w:rFonts w:ascii="Arial" w:eastAsia="Times New Roman" w:hAnsi="Arial" w:cs="Arial"/>
          <w:color w:val="000000"/>
          <w:sz w:val="20"/>
          <w:szCs w:val="20"/>
        </w:rPr>
        <w:t>factors above, the remaining $59 million decrease is primarily explained by lower realized foreign exchange gains on hedge settlements in 2022, as well as the timing of certain operating and administrative cost recoveries from the business units.</w:t>
      </w:r>
    </w:p>
    <w:p w:rsidR="00000000" w:rsidRDefault="00131F06">
      <w:pPr>
        <w:divId w:val="1874657791"/>
        <w:rPr>
          <w:rFonts w:eastAsia="Times New Roman"/>
        </w:rPr>
      </w:pPr>
    </w:p>
    <w:p w:rsidR="00000000" w:rsidRDefault="00131F06">
      <w:pPr>
        <w:divId w:val="572085632"/>
        <w:rPr>
          <w:rFonts w:eastAsia="Times New Roman"/>
        </w:rPr>
      </w:pPr>
      <w:r>
        <w:rPr>
          <w:rFonts w:ascii="Arial" w:eastAsia="Times New Roman" w:hAnsi="Arial" w:cs="Arial"/>
          <w:b/>
          <w:bCs/>
          <w:color w:val="000000"/>
          <w:sz w:val="20"/>
          <w:szCs w:val="20"/>
        </w:rPr>
        <w:t>Nine mo</w:t>
      </w:r>
      <w:r>
        <w:rPr>
          <w:rFonts w:ascii="Arial" w:eastAsia="Times New Roman" w:hAnsi="Arial" w:cs="Arial"/>
          <w:b/>
          <w:bCs/>
          <w:color w:val="000000"/>
          <w:sz w:val="20"/>
          <w:szCs w:val="20"/>
        </w:rPr>
        <w:t>nths ended September 30, 2022, compared with the nine months ended September 30, 2021</w:t>
      </w:r>
    </w:p>
    <w:p w:rsidR="00000000" w:rsidRDefault="00131F06">
      <w:pPr>
        <w:divId w:val="549464504"/>
        <w:rPr>
          <w:rFonts w:eastAsia="Times New Roman"/>
        </w:rPr>
      </w:pPr>
    </w:p>
    <w:p w:rsidR="00000000" w:rsidRDefault="00131F06">
      <w:pPr>
        <w:divId w:val="2090686186"/>
        <w:rPr>
          <w:rFonts w:eastAsia="Times New Roman"/>
        </w:rPr>
      </w:pPr>
      <w:r>
        <w:rPr>
          <w:rFonts w:ascii="Arial" w:eastAsia="Times New Roman" w:hAnsi="Arial" w:cs="Arial"/>
          <w:color w:val="000000"/>
          <w:sz w:val="20"/>
          <w:szCs w:val="20"/>
        </w:rPr>
        <w:t>EBITDA was negatively impacted by $1,446 million due to certain infrequent or non-operating factors, primarily explained by:</w:t>
      </w:r>
    </w:p>
    <w:p w:rsidR="00000000" w:rsidRDefault="00131F06">
      <w:pPr>
        <w:divId w:val="1604455031"/>
        <w:rPr>
          <w:rFonts w:eastAsia="Times New Roman"/>
        </w:rPr>
      </w:pPr>
    </w:p>
    <w:p w:rsidR="00000000" w:rsidRDefault="00131F06">
      <w:pPr>
        <w:ind w:hanging="180"/>
        <w:divId w:val="1877810387"/>
        <w:rPr>
          <w:rFonts w:eastAsia="Times New Roman"/>
        </w:rPr>
      </w:pPr>
      <w:r>
        <w:rPr>
          <w:rFonts w:ascii="Arial" w:eastAsia="Times New Roman" w:hAnsi="Arial" w:cs="Arial"/>
          <w:color w:val="000000"/>
          <w:sz w:val="20"/>
          <w:szCs w:val="20"/>
        </w:rPr>
        <w:t>•non-cash, net unrealized losses of $1,393 million in 2022, compared with unrealized losses of $17 million in 2021, reflecting th</w:t>
      </w:r>
      <w:r>
        <w:rPr>
          <w:rFonts w:ascii="Arial" w:eastAsia="Times New Roman" w:hAnsi="Arial" w:cs="Arial"/>
          <w:color w:val="000000"/>
          <w:sz w:val="20"/>
          <w:szCs w:val="20"/>
        </w:rPr>
        <w:t>e change in the mark-to-market value of derivative financial instruments used to manage foreign exchange risk;</w:t>
      </w:r>
    </w:p>
    <w:p w:rsidR="00000000" w:rsidRDefault="00131F06">
      <w:pPr>
        <w:ind w:hanging="180"/>
        <w:divId w:val="1752383495"/>
        <w:rPr>
          <w:rFonts w:eastAsia="Times New Roman"/>
        </w:rPr>
      </w:pPr>
      <w:r>
        <w:rPr>
          <w:rFonts w:ascii="Arial" w:eastAsia="Times New Roman" w:hAnsi="Arial" w:cs="Arial"/>
          <w:color w:val="000000"/>
          <w:sz w:val="20"/>
          <w:szCs w:val="20"/>
        </w:rPr>
        <w:t>•an impairment of $44 million for lease assets due to office relocation plans in Houston; and</w:t>
      </w:r>
    </w:p>
    <w:p w:rsidR="00000000" w:rsidRDefault="00131F06">
      <w:pPr>
        <w:ind w:hanging="180"/>
        <w:divId w:val="1573544154"/>
        <w:rPr>
          <w:rFonts w:eastAsia="Times New Roman"/>
        </w:rPr>
      </w:pPr>
      <w:r>
        <w:rPr>
          <w:rFonts w:ascii="Arial" w:eastAsia="Times New Roman" w:hAnsi="Arial" w:cs="Arial"/>
          <w:color w:val="000000"/>
          <w:sz w:val="20"/>
          <w:szCs w:val="20"/>
        </w:rPr>
        <w:t>•a net negative expense of $15 million associated w</w:t>
      </w:r>
      <w:r>
        <w:rPr>
          <w:rFonts w:ascii="Arial" w:eastAsia="Times New Roman" w:hAnsi="Arial" w:cs="Arial"/>
          <w:color w:val="000000"/>
          <w:sz w:val="20"/>
          <w:szCs w:val="20"/>
        </w:rPr>
        <w:t>ith our enterprise insurance strategy.</w:t>
      </w:r>
    </w:p>
    <w:p w:rsidR="00000000" w:rsidRDefault="00131F06">
      <w:pPr>
        <w:divId w:val="717438891"/>
        <w:rPr>
          <w:rFonts w:eastAsia="Times New Roman"/>
        </w:rPr>
      </w:pPr>
    </w:p>
    <w:p w:rsidR="00000000" w:rsidRDefault="00131F06">
      <w:pPr>
        <w:divId w:val="495069385"/>
        <w:rPr>
          <w:rFonts w:eastAsia="Times New Roman"/>
        </w:rPr>
      </w:pPr>
      <w:r>
        <w:rPr>
          <w:rFonts w:ascii="Arial" w:eastAsia="Times New Roman" w:hAnsi="Arial" w:cs="Arial"/>
          <w:color w:val="000000"/>
          <w:sz w:val="20"/>
          <w:szCs w:val="20"/>
        </w:rPr>
        <w:t>After taking into consideration the non-operating factors above, the remaining $29 million decrease is primarily explained by the timing of certain operating and administrative cost recoveries from the business unit</w:t>
      </w:r>
      <w:r>
        <w:rPr>
          <w:rFonts w:ascii="Arial" w:eastAsia="Times New Roman" w:hAnsi="Arial" w:cs="Arial"/>
          <w:color w:val="000000"/>
          <w:sz w:val="20"/>
          <w:szCs w:val="20"/>
        </w:rPr>
        <w:t>s, partially offset by higher realized foreign exchange gains on hedge settlements in 2022.</w:t>
      </w:r>
    </w:p>
    <w:p w:rsidR="00000000" w:rsidRDefault="00131F06">
      <w:pPr>
        <w:divId w:val="1014722383"/>
        <w:rPr>
          <w:rFonts w:eastAsia="Times New Roman"/>
        </w:rPr>
      </w:pPr>
    </w:p>
    <w:p w:rsidR="00000000" w:rsidRDefault="00131F06">
      <w:pPr>
        <w:jc w:val="center"/>
        <w:divId w:val="1386030719"/>
        <w:rPr>
          <w:rFonts w:eastAsia="Times New Roman"/>
        </w:rPr>
      </w:pPr>
      <w:r>
        <w:rPr>
          <w:rFonts w:ascii="Arial" w:eastAsia="Times New Roman" w:hAnsi="Arial" w:cs="Arial"/>
          <w:color w:val="000000"/>
          <w:sz w:val="20"/>
          <w:szCs w:val="20"/>
        </w:rPr>
        <w:t>49</w:t>
      </w:r>
    </w:p>
    <w:p w:rsidR="00000000" w:rsidRDefault="00131F06">
      <w:pPr>
        <w:rPr>
          <w:rFonts w:eastAsia="Times New Roman"/>
        </w:rPr>
      </w:pPr>
      <w:r>
        <w:rPr>
          <w:rFonts w:eastAsia="Times New Roman"/>
        </w:rPr>
        <w:pict>
          <v:rect id="_x0000_i1074" style="width:0;height:1.5pt" o:hralign="center" o:hrstd="t" o:hr="t" fillcolor="#a0a0a0" stroked="f"/>
        </w:pict>
      </w:r>
    </w:p>
    <w:p w:rsidR="00000000" w:rsidRDefault="00131F06">
      <w:pPr>
        <w:jc w:val="center"/>
        <w:divId w:val="1510098172"/>
        <w:rPr>
          <w:rFonts w:eastAsia="Times New Roman"/>
        </w:rPr>
      </w:pPr>
    </w:p>
    <w:p w:rsidR="00000000" w:rsidRDefault="00131F06">
      <w:pPr>
        <w:divId w:val="306204728"/>
        <w:rPr>
          <w:rFonts w:eastAsia="Times New Roman"/>
        </w:rPr>
      </w:pPr>
      <w:r>
        <w:rPr>
          <w:rFonts w:ascii="Arial" w:eastAsia="Times New Roman" w:hAnsi="Arial" w:cs="Arial"/>
          <w:b/>
          <w:bCs/>
          <w:color w:val="000000"/>
          <w:sz w:val="26"/>
          <w:szCs w:val="26"/>
        </w:rPr>
        <w:t>GROWTH PROJECTS - COMMERCIALLY SECURED PROJECTS</w:t>
      </w:r>
    </w:p>
    <w:p w:rsidR="00000000" w:rsidRDefault="00131F06">
      <w:pPr>
        <w:divId w:val="631712545"/>
        <w:rPr>
          <w:rFonts w:eastAsia="Times New Roman"/>
        </w:rPr>
      </w:pPr>
      <w:r>
        <w:rPr>
          <w:rFonts w:ascii="Arial" w:eastAsia="Times New Roman" w:hAnsi="Arial" w:cs="Arial"/>
          <w:b/>
          <w:bCs/>
          <w:color w:val="000000"/>
          <w:sz w:val="20"/>
          <w:szCs w:val="20"/>
        </w:rPr>
        <w:t> </w:t>
      </w:r>
    </w:p>
    <w:p w:rsidR="00000000" w:rsidRDefault="00131F06">
      <w:pPr>
        <w:divId w:val="605815251"/>
        <w:rPr>
          <w:rFonts w:eastAsia="Times New Roman"/>
        </w:rPr>
      </w:pPr>
      <w:r>
        <w:rPr>
          <w:rFonts w:ascii="Arial" w:eastAsia="Times New Roman" w:hAnsi="Arial" w:cs="Arial"/>
          <w:color w:val="000000"/>
          <w:sz w:val="20"/>
          <w:szCs w:val="20"/>
        </w:rPr>
        <w:t>The following table summarizes the status of our significant commercially secured projects, organized by business segment:</w:t>
      </w:r>
    </w:p>
    <w:tbl>
      <w:tblPr>
        <w:tblW w:w="5000" w:type="pct"/>
        <w:tblCellMar>
          <w:top w:w="15" w:type="dxa"/>
          <w:left w:w="15" w:type="dxa"/>
          <w:bottom w:w="15" w:type="dxa"/>
          <w:right w:w="15" w:type="dxa"/>
        </w:tblCellMar>
        <w:tblLook w:val="04A0" w:firstRow="1" w:lastRow="0" w:firstColumn="1" w:lastColumn="0" w:noHBand="0" w:noVBand="1"/>
      </w:tblPr>
      <w:tblGrid>
        <w:gridCol w:w="68"/>
        <w:gridCol w:w="217"/>
        <w:gridCol w:w="36"/>
        <w:gridCol w:w="62"/>
        <w:gridCol w:w="1687"/>
        <w:gridCol w:w="37"/>
        <w:gridCol w:w="88"/>
        <w:gridCol w:w="978"/>
        <w:gridCol w:w="181"/>
        <w:gridCol w:w="63"/>
        <w:gridCol w:w="1181"/>
        <w:gridCol w:w="36"/>
        <w:gridCol w:w="69"/>
        <w:gridCol w:w="1457"/>
        <w:gridCol w:w="36"/>
        <w:gridCol w:w="76"/>
        <w:gridCol w:w="970"/>
        <w:gridCol w:w="36"/>
        <w:gridCol w:w="73"/>
        <w:gridCol w:w="919"/>
        <w:gridCol w:w="36"/>
      </w:tblGrid>
      <w:tr w:rsidR="00000000">
        <w:trPr>
          <w:divId w:val="490756051"/>
        </w:trPr>
        <w:tc>
          <w:tcPr>
            <w:tcW w:w="50" w:type="pct"/>
            <w:vAlign w:val="center"/>
            <w:hideMark/>
          </w:tcPr>
          <w:p w:rsidR="00000000" w:rsidRDefault="00131F06">
            <w:pPr>
              <w:rPr>
                <w:rFonts w:eastAsia="Times New Roman"/>
              </w:rPr>
            </w:pPr>
          </w:p>
        </w:tc>
        <w:tc>
          <w:tcPr>
            <w:tcW w:w="1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104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6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3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90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61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8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490756051"/>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Enbridge's Ownership Interest</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Estimated</w:t>
            </w:r>
            <w:r>
              <w:rPr>
                <w:rFonts w:ascii="Arial" w:eastAsia="Times New Roman" w:hAnsi="Arial" w:cs="Arial"/>
                <w:b/>
                <w:bCs/>
                <w:color w:val="000000"/>
                <w:sz w:val="20"/>
                <w:szCs w:val="20"/>
              </w:rPr>
              <w:br/>
              <w:t xml:space="preserve">Capital </w:t>
            </w:r>
          </w:p>
          <w:p w:rsidR="00000000" w:rsidRDefault="00131F06">
            <w:pPr>
              <w:spacing w:after="100"/>
              <w:jc w:val="right"/>
              <w:rPr>
                <w:rFonts w:eastAsia="Times New Roman"/>
              </w:rPr>
            </w:pPr>
            <w:r>
              <w:rPr>
                <w:rFonts w:ascii="Arial" w:eastAsia="Times New Roman" w:hAnsi="Arial" w:cs="Arial"/>
                <w:b/>
                <w:bCs/>
                <w:color w:val="000000"/>
                <w:sz w:val="20"/>
                <w:szCs w:val="20"/>
              </w:rPr>
              <w:t>Cos</w:t>
            </w:r>
            <w:r>
              <w:rPr>
                <w:rFonts w:ascii="Arial" w:eastAsia="Times New Roman" w:hAnsi="Arial" w:cs="Arial"/>
                <w:b/>
                <w:bCs/>
                <w:color w:val="000000"/>
                <w:sz w:val="20"/>
                <w:szCs w:val="20"/>
              </w:rPr>
              <w:t>t</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Expenditures</w:t>
            </w:r>
            <w:r>
              <w:rPr>
                <w:rFonts w:ascii="Arial" w:eastAsia="Times New Roman" w:hAnsi="Arial" w:cs="Arial"/>
                <w:b/>
                <w:bCs/>
                <w:color w:val="000000"/>
                <w:sz w:val="20"/>
                <w:szCs w:val="20"/>
              </w:rPr>
              <w:br/>
              <w:t>to Dat</w:t>
            </w:r>
            <w:r>
              <w:rPr>
                <w:rFonts w:ascii="Arial" w:eastAsia="Times New Roman" w:hAnsi="Arial" w:cs="Arial"/>
                <w:b/>
                <w:bCs/>
                <w:color w:val="000000"/>
                <w:sz w:val="20"/>
                <w:szCs w:val="20"/>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Statu</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Expected</w:t>
            </w:r>
            <w:r>
              <w:rPr>
                <w:rFonts w:ascii="Arial" w:eastAsia="Times New Roman" w:hAnsi="Arial" w:cs="Arial"/>
                <w:b/>
                <w:bCs/>
                <w:color w:val="000000"/>
                <w:sz w:val="20"/>
                <w:szCs w:val="20"/>
              </w:rPr>
              <w:br/>
              <w:t>In-Service</w:t>
            </w:r>
            <w:r>
              <w:rPr>
                <w:rFonts w:ascii="Arial" w:eastAsia="Times New Roman" w:hAnsi="Arial" w:cs="Arial"/>
                <w:b/>
                <w:bCs/>
                <w:color w:val="000000"/>
                <w:sz w:val="20"/>
                <w:szCs w:val="20"/>
              </w:rPr>
              <w:br/>
              <w:t>Date</w:t>
            </w:r>
          </w:p>
        </w:tc>
      </w:tr>
      <w:tr w:rsidR="00000000">
        <w:trPr>
          <w:divId w:val="490756051"/>
        </w:trPr>
        <w:tc>
          <w:tcPr>
            <w:tcW w:w="0" w:type="auto"/>
            <w:gridSpan w:val="9"/>
            <w:tcBorders>
              <w:top w:val="single" w:sz="4" w:space="0" w:color="000000"/>
            </w:tcBorders>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490756051"/>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490756051"/>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490756051"/>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490756051"/>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490756051"/>
        </w:trPr>
        <w:tc>
          <w:tcPr>
            <w:tcW w:w="0" w:type="auto"/>
            <w:gridSpan w:val="12"/>
            <w:tcMar>
              <w:top w:w="30" w:type="dxa"/>
              <w:left w:w="20" w:type="dxa"/>
              <w:bottom w:w="30" w:type="dxa"/>
              <w:right w:w="20" w:type="dxa"/>
            </w:tcMar>
            <w:hideMark/>
          </w:tcPr>
          <w:p w:rsidR="00000000" w:rsidRDefault="00131F06">
            <w:pPr>
              <w:spacing w:after="100"/>
              <w:rPr>
                <w:rFonts w:eastAsia="Times New Roman"/>
              </w:rPr>
            </w:pPr>
            <w:r>
              <w:rPr>
                <w:rFonts w:ascii="Arial" w:eastAsia="Times New Roman" w:hAnsi="Arial" w:cs="Arial"/>
                <w:b/>
                <w:bCs/>
                <w:color w:val="000000"/>
                <w:sz w:val="20"/>
                <w:szCs w:val="20"/>
              </w:rPr>
              <w:t>GAS TRANSMISSION AND MIDSTREAM</w:t>
            </w:r>
          </w:p>
        </w:tc>
        <w:tc>
          <w:tcPr>
            <w:tcW w:w="0" w:type="auto"/>
            <w:gridSpan w:val="3"/>
            <w:shd w:val="clear" w:color="auto" w:fill="FFFFFF"/>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Gulfstream Phase VI</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50 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Complete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In-service</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2.</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Vito Gas &amp; Oil</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US$0.3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US$0.2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4Q - 2022</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3.</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ind w:hanging="180"/>
              <w:divId w:val="166330534"/>
              <w:rPr>
                <w:rFonts w:eastAsia="Times New Roman"/>
              </w:rPr>
            </w:pPr>
            <w:r>
              <w:rPr>
                <w:rFonts w:ascii="Arial" w:eastAsia="Times New Roman" w:hAnsi="Arial" w:cs="Arial"/>
                <w:color w:val="000000"/>
                <w:sz w:val="18"/>
                <w:szCs w:val="18"/>
              </w:rPr>
              <w:t>Texas Eastern Venice Extension Projec</w:t>
            </w:r>
            <w:r>
              <w:rPr>
                <w:rFonts w:ascii="Arial" w:eastAsia="Times New Roman" w:hAnsi="Arial" w:cs="Arial"/>
                <w:color w:val="000000"/>
                <w:sz w:val="18"/>
                <w:szCs w:val="18"/>
              </w:rPr>
              <w:t>t</w:t>
            </w:r>
            <w:r>
              <w:rPr>
                <w:rFonts w:ascii="Arial" w:eastAsia="Times New Roman" w:hAnsi="Arial" w:cs="Arial"/>
                <w:color w:val="000000"/>
                <w:sz w:val="10"/>
                <w:szCs w:val="10"/>
              </w:rPr>
              <w:t>3</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US$0.4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2023 - 2024</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4.</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 xml:space="preserve">Texas Eastern Modernization </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US$0.4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2024 - 2025</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5.</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Appalachia to Market II</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2025</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6.</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T-North Expansion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$1.2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2026</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7.</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ind w:hanging="180"/>
              <w:divId w:val="1631981845"/>
              <w:rPr>
                <w:rFonts w:eastAsia="Times New Roman"/>
              </w:rPr>
            </w:pPr>
            <w:r>
              <w:rPr>
                <w:rFonts w:ascii="Arial" w:eastAsia="Times New Roman" w:hAnsi="Arial" w:cs="Arial"/>
                <w:color w:val="000000"/>
                <w:sz w:val="18"/>
                <w:szCs w:val="18"/>
              </w:rPr>
              <w:t>Woodfibre LN</w:t>
            </w:r>
            <w:r>
              <w:rPr>
                <w:rFonts w:ascii="Arial" w:eastAsia="Times New Roman" w:hAnsi="Arial" w:cs="Arial"/>
                <w:color w:val="000000"/>
                <w:sz w:val="18"/>
                <w:szCs w:val="18"/>
              </w:rPr>
              <w:t>G</w:t>
            </w:r>
            <w:r>
              <w:rPr>
                <w:rFonts w:ascii="Arial" w:eastAsia="Times New Roman" w:hAnsi="Arial" w:cs="Arial"/>
                <w:color w:val="000000"/>
                <w:sz w:val="10"/>
                <w:szCs w:val="10"/>
              </w:rPr>
              <w:t>4</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30 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US$1.5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2027</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8.</w:t>
            </w:r>
          </w:p>
        </w:tc>
        <w:tc>
          <w:tcPr>
            <w:tcW w:w="0" w:type="auto"/>
            <w:gridSpan w:val="3"/>
            <w:tcBorders>
              <w:top w:val="single" w:sz="4" w:space="0" w:color="000000"/>
              <w:bottom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T-South Expansion</w:t>
            </w:r>
          </w:p>
        </w:tc>
        <w:tc>
          <w:tcPr>
            <w:tcW w:w="0" w:type="auto"/>
            <w:gridSpan w:val="2"/>
            <w:tcBorders>
              <w:top w:val="single" w:sz="4" w:space="0" w:color="000000"/>
              <w:bottom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bottom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$3.6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2028</w:t>
            </w:r>
          </w:p>
        </w:tc>
      </w:tr>
      <w:tr w:rsidR="00000000">
        <w:trPr>
          <w:divId w:val="490756051"/>
        </w:trPr>
        <w:tc>
          <w:tcPr>
            <w:tcW w:w="0" w:type="auto"/>
            <w:gridSpan w:val="12"/>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20"/>
                <w:szCs w:val="20"/>
              </w:rPr>
              <w:t>GAS DISTRIBUTION AND STORAGE</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9.</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ind w:hanging="180"/>
              <w:divId w:val="1787115303"/>
              <w:rPr>
                <w:rFonts w:eastAsia="Times New Roman"/>
              </w:rPr>
            </w:pPr>
            <w:r>
              <w:rPr>
                <w:rFonts w:ascii="Arial" w:eastAsia="Times New Roman" w:hAnsi="Arial" w:cs="Arial"/>
                <w:color w:val="000000"/>
                <w:sz w:val="18"/>
                <w:szCs w:val="18"/>
              </w:rPr>
              <w:t>Storage Enhancement</w:t>
            </w:r>
            <w:r>
              <w:rPr>
                <w:rFonts w:ascii="Arial" w:eastAsia="Times New Roman" w:hAnsi="Arial" w:cs="Arial"/>
                <w:color w:val="000000"/>
                <w:sz w:val="18"/>
                <w:szCs w:val="18"/>
              </w:rPr>
              <w:t>s</w:t>
            </w:r>
            <w:r>
              <w:rPr>
                <w:rFonts w:ascii="Arial" w:eastAsia="Times New Roman" w:hAnsi="Arial" w:cs="Arial"/>
                <w:color w:val="000000"/>
                <w:sz w:val="10"/>
                <w:szCs w:val="10"/>
              </w:rPr>
              <w:t>5</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4Q - 2022</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10.</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System Enhancement Project</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4Q - 2022</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11.</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ind w:hanging="180"/>
              <w:divId w:val="1590505028"/>
              <w:rPr>
                <w:rFonts w:eastAsia="Times New Roman"/>
              </w:rPr>
            </w:pPr>
            <w:r>
              <w:rPr>
                <w:rFonts w:ascii="Arial" w:eastAsia="Times New Roman" w:hAnsi="Arial" w:cs="Arial"/>
                <w:color w:val="000000"/>
                <w:sz w:val="18"/>
                <w:szCs w:val="18"/>
              </w:rPr>
              <w:t>Natural Gas Expansion Progra</w:t>
            </w:r>
            <w:r>
              <w:rPr>
                <w:rFonts w:ascii="Arial" w:eastAsia="Times New Roman" w:hAnsi="Arial" w:cs="Arial"/>
                <w:color w:val="000000"/>
                <w:sz w:val="18"/>
                <w:szCs w:val="18"/>
              </w:rPr>
              <w:t>m</w:t>
            </w:r>
            <w:r>
              <w:rPr>
                <w:rFonts w:ascii="Arial" w:eastAsia="Times New Roman" w:hAnsi="Arial" w:cs="Arial"/>
                <w:color w:val="000000"/>
                <w:sz w:val="10"/>
                <w:szCs w:val="10"/>
              </w:rPr>
              <w:t>6</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2022 - 2027</w:t>
            </w: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12.</w:t>
            </w:r>
          </w:p>
        </w:tc>
        <w:tc>
          <w:tcPr>
            <w:tcW w:w="0" w:type="auto"/>
            <w:gridSpan w:val="3"/>
            <w:tcBorders>
              <w:top w:val="single" w:sz="4" w:space="0" w:color="000000"/>
              <w:bottom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Panhandle Regional Expansion</w:t>
            </w:r>
          </w:p>
        </w:tc>
        <w:tc>
          <w:tcPr>
            <w:tcW w:w="0" w:type="auto"/>
            <w:gridSpan w:val="2"/>
            <w:tcBorders>
              <w:top w:val="single" w:sz="4" w:space="0" w:color="000000"/>
              <w:bottom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bottom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$0.3 billion</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2023 - 2024</w:t>
            </w:r>
          </w:p>
        </w:tc>
      </w:tr>
      <w:tr w:rsidR="00000000">
        <w:trPr>
          <w:divId w:val="490756051"/>
        </w:trPr>
        <w:tc>
          <w:tcPr>
            <w:tcW w:w="0" w:type="auto"/>
            <w:gridSpan w:val="15"/>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20"/>
                <w:szCs w:val="20"/>
              </w:rPr>
              <w:t>RENEWABLE POWER GENERATION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13.</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East-West Tie Line</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25 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$0.2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$0.2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Complete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In-service</w:t>
            </w:r>
          </w:p>
        </w:tc>
      </w:tr>
      <w:tr w:rsidR="00000000">
        <w:trPr>
          <w:divId w:val="490756051"/>
          <w:trHeight w:val="440"/>
        </w:trPr>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14.</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ind w:hanging="180"/>
              <w:divId w:val="105660569"/>
              <w:rPr>
                <w:rFonts w:eastAsia="Times New Roman"/>
              </w:rPr>
            </w:pPr>
            <w:r>
              <w:rPr>
                <w:rFonts w:ascii="Arial" w:eastAsia="Times New Roman" w:hAnsi="Arial" w:cs="Arial"/>
                <w:color w:val="000000"/>
                <w:sz w:val="18"/>
                <w:szCs w:val="18"/>
              </w:rPr>
              <w:t>Saint-Nazaire France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7</w:t>
            </w:r>
          </w:p>
        </w:tc>
        <w:tc>
          <w:tcPr>
            <w:tcW w:w="0" w:type="auto"/>
            <w:gridSpan w:val="2"/>
            <w:vMerge w:val="restart"/>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25.5 </w:t>
            </w:r>
          </w:p>
        </w:tc>
        <w:tc>
          <w:tcPr>
            <w:tcW w:w="0" w:type="auto"/>
            <w:vMerge w:val="restart"/>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$0.9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$0.7 billion</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4Q - 2022</w:t>
            </w:r>
          </w:p>
        </w:tc>
      </w:tr>
      <w:tr w:rsidR="00000000">
        <w:trPr>
          <w:divId w:val="490756051"/>
          <w:trHeight w:val="240"/>
        </w:trPr>
        <w:tc>
          <w:tcPr>
            <w:tcW w:w="0" w:type="auto"/>
            <w:gridSpan w:val="3"/>
            <w:vMerge/>
            <w:tcBorders>
              <w:top w:val="single" w:sz="4" w:space="0" w:color="000000"/>
            </w:tcBorders>
            <w:vAlign w:val="center"/>
            <w:hideMark/>
          </w:tcPr>
          <w:p w:rsidR="00000000" w:rsidRDefault="00131F06">
            <w:pPr>
              <w:spacing w:after="100"/>
              <w:rPr>
                <w:rFonts w:eastAsia="Times New Roman"/>
              </w:rPr>
            </w:pPr>
          </w:p>
        </w:tc>
        <w:tc>
          <w:tcPr>
            <w:tcW w:w="0" w:type="auto"/>
            <w:gridSpan w:val="3"/>
            <w:vMerge/>
            <w:tcBorders>
              <w:top w:val="single" w:sz="4" w:space="0" w:color="000000"/>
            </w:tcBorders>
            <w:vAlign w:val="center"/>
            <w:hideMark/>
          </w:tcPr>
          <w:p w:rsidR="00000000" w:rsidRDefault="00131F06">
            <w:pPr>
              <w:spacing w:after="100"/>
              <w:rPr>
                <w:rFonts w:eastAsia="Times New Roman"/>
              </w:rPr>
            </w:pPr>
          </w:p>
        </w:tc>
        <w:tc>
          <w:tcPr>
            <w:tcW w:w="0" w:type="auto"/>
            <w:gridSpan w:val="2"/>
            <w:vMerge/>
            <w:tcBorders>
              <w:top w:val="single" w:sz="4" w:space="0" w:color="000000"/>
            </w:tcBorders>
            <w:vAlign w:val="center"/>
            <w:hideMark/>
          </w:tcPr>
          <w:p w:rsidR="00000000" w:rsidRDefault="00131F06">
            <w:pPr>
              <w:spacing w:after="100"/>
              <w:rPr>
                <w:rFonts w:eastAsia="Times New Roman"/>
              </w:rPr>
            </w:pPr>
          </w:p>
        </w:tc>
        <w:tc>
          <w:tcPr>
            <w:tcW w:w="0" w:type="auto"/>
            <w:vMerge/>
            <w:tcBorders>
              <w:top w:val="single" w:sz="4" w:space="0" w:color="000000"/>
            </w:tcBorders>
            <w:vAlign w:val="center"/>
            <w:hideMark/>
          </w:tcPr>
          <w:p w:rsidR="00000000" w:rsidRDefault="00131F0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(€0.6 billion)</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(€0.5 billion)</w:t>
            </w:r>
          </w:p>
        </w:tc>
        <w:tc>
          <w:tcPr>
            <w:tcW w:w="0" w:type="auto"/>
            <w:gridSpan w:val="3"/>
            <w:vMerge/>
            <w:tcBorders>
              <w:top w:val="single" w:sz="4" w:space="0" w:color="000000"/>
            </w:tcBorders>
            <w:vAlign w:val="center"/>
            <w:hideMark/>
          </w:tcPr>
          <w:p w:rsidR="00000000" w:rsidRDefault="00131F06">
            <w:pPr>
              <w:spacing w:after="100"/>
              <w:rPr>
                <w:rFonts w:eastAsia="Times New Roman"/>
              </w:rPr>
            </w:pPr>
          </w:p>
        </w:tc>
        <w:tc>
          <w:tcPr>
            <w:tcW w:w="0" w:type="auto"/>
            <w:gridSpan w:val="3"/>
            <w:vMerge/>
            <w:tcBorders>
              <w:top w:val="single" w:sz="4" w:space="0" w:color="000000"/>
            </w:tcBorders>
            <w:vAlign w:val="center"/>
            <w:hideMark/>
          </w:tcPr>
          <w:p w:rsidR="00000000" w:rsidRDefault="00131F06">
            <w:pPr>
              <w:spacing w:after="100"/>
              <w:rPr>
                <w:rFonts w:eastAsia="Times New Roman"/>
              </w:rPr>
            </w:pPr>
          </w:p>
        </w:tc>
      </w:tr>
      <w:tr w:rsidR="00000000">
        <w:trPr>
          <w:divId w:val="490756051"/>
          <w:trHeight w:val="240"/>
        </w:trPr>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15.</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ind w:hanging="180"/>
              <w:divId w:val="902107355"/>
              <w:rPr>
                <w:rFonts w:eastAsia="Times New Roman"/>
              </w:rPr>
            </w:pPr>
            <w:r>
              <w:rPr>
                <w:rFonts w:ascii="Arial" w:eastAsia="Times New Roman" w:hAnsi="Arial" w:cs="Arial"/>
                <w:color w:val="000000"/>
                <w:sz w:val="18"/>
                <w:szCs w:val="18"/>
              </w:rPr>
              <w:t>Fécamp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8</w:t>
            </w:r>
          </w:p>
        </w:tc>
        <w:tc>
          <w:tcPr>
            <w:tcW w:w="0" w:type="auto"/>
            <w:gridSpan w:val="2"/>
            <w:vMerge w:val="restart"/>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17.9 </w:t>
            </w:r>
          </w:p>
        </w:tc>
        <w:tc>
          <w:tcPr>
            <w:tcW w:w="0" w:type="auto"/>
            <w:vMerge w:val="restart"/>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$0.7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$0.3 billion</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2023</w:t>
            </w:r>
          </w:p>
        </w:tc>
      </w:tr>
      <w:tr w:rsidR="00000000">
        <w:trPr>
          <w:divId w:val="490756051"/>
          <w:trHeight w:val="240"/>
        </w:trPr>
        <w:tc>
          <w:tcPr>
            <w:tcW w:w="0" w:type="auto"/>
            <w:gridSpan w:val="3"/>
            <w:vMerge/>
            <w:tcBorders>
              <w:top w:val="single" w:sz="4" w:space="0" w:color="000000"/>
            </w:tcBorders>
            <w:vAlign w:val="center"/>
            <w:hideMark/>
          </w:tcPr>
          <w:p w:rsidR="00000000" w:rsidRDefault="00131F06">
            <w:pPr>
              <w:spacing w:after="100"/>
              <w:rPr>
                <w:rFonts w:eastAsia="Times New Roman"/>
              </w:rPr>
            </w:pPr>
          </w:p>
        </w:tc>
        <w:tc>
          <w:tcPr>
            <w:tcW w:w="0" w:type="auto"/>
            <w:gridSpan w:val="3"/>
            <w:vMerge/>
            <w:tcBorders>
              <w:top w:val="single" w:sz="4" w:space="0" w:color="000000"/>
            </w:tcBorders>
            <w:vAlign w:val="center"/>
            <w:hideMark/>
          </w:tcPr>
          <w:p w:rsidR="00000000" w:rsidRDefault="00131F06">
            <w:pPr>
              <w:spacing w:after="100"/>
              <w:rPr>
                <w:rFonts w:eastAsia="Times New Roman"/>
              </w:rPr>
            </w:pPr>
          </w:p>
        </w:tc>
        <w:tc>
          <w:tcPr>
            <w:tcW w:w="0" w:type="auto"/>
            <w:gridSpan w:val="2"/>
            <w:vMerge/>
            <w:tcBorders>
              <w:top w:val="single" w:sz="4" w:space="0" w:color="000000"/>
            </w:tcBorders>
            <w:vAlign w:val="center"/>
            <w:hideMark/>
          </w:tcPr>
          <w:p w:rsidR="00000000" w:rsidRDefault="00131F06">
            <w:pPr>
              <w:spacing w:after="100"/>
              <w:rPr>
                <w:rFonts w:eastAsia="Times New Roman"/>
              </w:rPr>
            </w:pPr>
          </w:p>
        </w:tc>
        <w:tc>
          <w:tcPr>
            <w:tcW w:w="0" w:type="auto"/>
            <w:vMerge/>
            <w:tcBorders>
              <w:top w:val="single" w:sz="4" w:space="0" w:color="000000"/>
            </w:tcBorders>
            <w:vAlign w:val="center"/>
            <w:hideMark/>
          </w:tcPr>
          <w:p w:rsidR="00000000" w:rsidRDefault="00131F0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(€0.5 billion)</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(€0.2 billion)</w:t>
            </w:r>
          </w:p>
        </w:tc>
        <w:tc>
          <w:tcPr>
            <w:tcW w:w="0" w:type="auto"/>
            <w:gridSpan w:val="3"/>
            <w:vMerge/>
            <w:tcBorders>
              <w:top w:val="single" w:sz="4" w:space="0" w:color="000000"/>
            </w:tcBorders>
            <w:vAlign w:val="center"/>
            <w:hideMark/>
          </w:tcPr>
          <w:p w:rsidR="00000000" w:rsidRDefault="00131F06">
            <w:pPr>
              <w:spacing w:after="100"/>
              <w:rPr>
                <w:rFonts w:eastAsia="Times New Roman"/>
              </w:rPr>
            </w:pPr>
          </w:p>
        </w:tc>
        <w:tc>
          <w:tcPr>
            <w:tcW w:w="0" w:type="auto"/>
            <w:gridSpan w:val="3"/>
            <w:vMerge/>
            <w:tcBorders>
              <w:top w:val="single" w:sz="4" w:space="0" w:color="000000"/>
            </w:tcBorders>
            <w:vAlign w:val="center"/>
            <w:hideMark/>
          </w:tcPr>
          <w:p w:rsidR="00000000" w:rsidRDefault="00131F06">
            <w:pPr>
              <w:spacing w:after="100"/>
              <w:rPr>
                <w:rFonts w:eastAsia="Times New Roman"/>
              </w:rPr>
            </w:pPr>
          </w:p>
        </w:tc>
      </w:tr>
      <w:tr w:rsidR="00000000">
        <w:trPr>
          <w:divId w:val="490756051"/>
          <w:trHeight w:val="480"/>
        </w:trPr>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16.</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ind w:hanging="180"/>
              <w:divId w:val="498155306"/>
              <w:rPr>
                <w:rFonts w:eastAsia="Times New Roman"/>
              </w:rPr>
            </w:pPr>
            <w:r>
              <w:rPr>
                <w:rFonts w:ascii="Arial" w:eastAsia="Times New Roman" w:hAnsi="Arial" w:cs="Arial"/>
                <w:color w:val="000000"/>
                <w:sz w:val="18"/>
                <w:szCs w:val="18"/>
              </w:rPr>
              <w:t>Provence Grand Large Floating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8</w:t>
            </w:r>
          </w:p>
        </w:tc>
        <w:tc>
          <w:tcPr>
            <w:tcW w:w="0" w:type="auto"/>
            <w:gridSpan w:val="2"/>
            <w:vMerge w:val="restart"/>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25 </w:t>
            </w:r>
          </w:p>
        </w:tc>
        <w:tc>
          <w:tcPr>
            <w:tcW w:w="0" w:type="auto"/>
            <w:vMerge w:val="restart"/>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$0.1 billion</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2023</w:t>
            </w:r>
          </w:p>
        </w:tc>
      </w:tr>
      <w:tr w:rsidR="00000000">
        <w:trPr>
          <w:divId w:val="490756051"/>
          <w:trHeight w:val="240"/>
        </w:trPr>
        <w:tc>
          <w:tcPr>
            <w:tcW w:w="0" w:type="auto"/>
            <w:gridSpan w:val="3"/>
            <w:vMerge/>
            <w:tcBorders>
              <w:top w:val="single" w:sz="4" w:space="0" w:color="000000"/>
            </w:tcBorders>
            <w:vAlign w:val="center"/>
            <w:hideMark/>
          </w:tcPr>
          <w:p w:rsidR="00000000" w:rsidRDefault="00131F06">
            <w:pPr>
              <w:spacing w:after="100"/>
              <w:rPr>
                <w:rFonts w:eastAsia="Times New Roman"/>
              </w:rPr>
            </w:pPr>
          </w:p>
        </w:tc>
        <w:tc>
          <w:tcPr>
            <w:tcW w:w="0" w:type="auto"/>
            <w:gridSpan w:val="3"/>
            <w:vMerge/>
            <w:tcBorders>
              <w:top w:val="single" w:sz="4" w:space="0" w:color="000000"/>
            </w:tcBorders>
            <w:vAlign w:val="center"/>
            <w:hideMark/>
          </w:tcPr>
          <w:p w:rsidR="00000000" w:rsidRDefault="00131F06">
            <w:pPr>
              <w:spacing w:after="100"/>
              <w:rPr>
                <w:rFonts w:eastAsia="Times New Roman"/>
              </w:rPr>
            </w:pPr>
          </w:p>
        </w:tc>
        <w:tc>
          <w:tcPr>
            <w:tcW w:w="0" w:type="auto"/>
            <w:gridSpan w:val="2"/>
            <w:vMerge/>
            <w:tcBorders>
              <w:top w:val="single" w:sz="4" w:space="0" w:color="000000"/>
            </w:tcBorders>
            <w:vAlign w:val="center"/>
            <w:hideMark/>
          </w:tcPr>
          <w:p w:rsidR="00000000" w:rsidRDefault="00131F06">
            <w:pPr>
              <w:spacing w:after="100"/>
              <w:rPr>
                <w:rFonts w:eastAsia="Times New Roman"/>
              </w:rPr>
            </w:pPr>
          </w:p>
        </w:tc>
        <w:tc>
          <w:tcPr>
            <w:tcW w:w="0" w:type="auto"/>
            <w:vMerge/>
            <w:tcBorders>
              <w:top w:val="single" w:sz="4" w:space="0" w:color="000000"/>
            </w:tcBorders>
            <w:vAlign w:val="center"/>
            <w:hideMark/>
          </w:tcPr>
          <w:p w:rsidR="00000000" w:rsidRDefault="00131F0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0.1 billion)</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(€0.1 billion)</w:t>
            </w:r>
          </w:p>
        </w:tc>
        <w:tc>
          <w:tcPr>
            <w:tcW w:w="0" w:type="auto"/>
            <w:gridSpan w:val="3"/>
            <w:vMerge/>
            <w:tcBorders>
              <w:top w:val="single" w:sz="4" w:space="0" w:color="000000"/>
            </w:tcBorders>
            <w:vAlign w:val="center"/>
            <w:hideMark/>
          </w:tcPr>
          <w:p w:rsidR="00000000" w:rsidRDefault="00131F06">
            <w:pPr>
              <w:spacing w:after="100"/>
              <w:rPr>
                <w:rFonts w:eastAsia="Times New Roman"/>
              </w:rPr>
            </w:pPr>
          </w:p>
        </w:tc>
        <w:tc>
          <w:tcPr>
            <w:tcW w:w="0" w:type="auto"/>
            <w:gridSpan w:val="3"/>
            <w:vMerge/>
            <w:tcBorders>
              <w:top w:val="single" w:sz="4" w:space="0" w:color="000000"/>
            </w:tcBorders>
            <w:vAlign w:val="center"/>
            <w:hideMark/>
          </w:tcPr>
          <w:p w:rsidR="00000000" w:rsidRDefault="00131F06">
            <w:pPr>
              <w:spacing w:after="100"/>
              <w:rPr>
                <w:rFonts w:eastAsia="Times New Roman"/>
              </w:rPr>
            </w:pPr>
          </w:p>
        </w:tc>
      </w:tr>
      <w:tr w:rsidR="00000000">
        <w:trPr>
          <w:divId w:val="49075605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17.</w:t>
            </w:r>
          </w:p>
        </w:tc>
        <w:tc>
          <w:tcPr>
            <w:tcW w:w="0" w:type="auto"/>
            <w:gridSpan w:val="3"/>
            <w:tcBorders>
              <w:top w:val="single" w:sz="4" w:space="0" w:color="000000"/>
            </w:tcBorders>
            <w:tcMar>
              <w:top w:w="30" w:type="dxa"/>
              <w:left w:w="200" w:type="dxa"/>
              <w:bottom w:w="30" w:type="dxa"/>
              <w:right w:w="20" w:type="dxa"/>
            </w:tcMar>
            <w:vAlign w:val="bottom"/>
            <w:hideMark/>
          </w:tcPr>
          <w:p w:rsidR="00000000" w:rsidRDefault="00131F06">
            <w:pPr>
              <w:spacing w:after="100"/>
              <w:ind w:hanging="180"/>
              <w:rPr>
                <w:rFonts w:eastAsia="Times New Roman"/>
              </w:rPr>
            </w:pPr>
            <w:r>
              <w:rPr>
                <w:rFonts w:ascii="Arial" w:eastAsia="Times New Roman" w:hAnsi="Arial" w:cs="Arial"/>
                <w:color w:val="000000"/>
                <w:sz w:val="18"/>
                <w:szCs w:val="18"/>
              </w:rPr>
              <w:t>Solar Self-Power Projects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US$0.2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2023 - 2024</w:t>
            </w:r>
          </w:p>
        </w:tc>
      </w:tr>
      <w:tr w:rsidR="00000000">
        <w:trPr>
          <w:divId w:val="490756051"/>
          <w:trHeight w:val="240"/>
        </w:trPr>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18</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131F06">
            <w:pPr>
              <w:spacing w:after="100"/>
              <w:ind w:hanging="180"/>
              <w:divId w:val="943151231"/>
              <w:rPr>
                <w:rFonts w:eastAsia="Times New Roman"/>
              </w:rPr>
            </w:pPr>
            <w:r>
              <w:rPr>
                <w:rFonts w:ascii="Arial" w:eastAsia="Times New Roman" w:hAnsi="Arial" w:cs="Arial"/>
                <w:color w:val="000000"/>
                <w:sz w:val="18"/>
                <w:szCs w:val="18"/>
              </w:rPr>
              <w:t>Calvados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7</w:t>
            </w:r>
          </w:p>
        </w:tc>
        <w:tc>
          <w:tcPr>
            <w:tcW w:w="0" w:type="auto"/>
            <w:gridSpan w:val="2"/>
            <w:vMerge w:val="restart"/>
            <w:tcBorders>
              <w:top w:val="single" w:sz="4" w:space="0" w:color="000000"/>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21.7 </w:t>
            </w:r>
          </w:p>
        </w:tc>
        <w:tc>
          <w:tcPr>
            <w:tcW w:w="0" w:type="auto"/>
            <w:vMerge w:val="restart"/>
            <w:tcBorders>
              <w:top w:val="single" w:sz="4" w:space="0" w:color="000000"/>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$0.9 billion</w:t>
            </w: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$0.3 billion</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2025</w:t>
            </w:r>
          </w:p>
        </w:tc>
      </w:tr>
      <w:tr w:rsidR="00000000">
        <w:trPr>
          <w:divId w:val="490756051"/>
          <w:trHeight w:val="240"/>
        </w:trPr>
        <w:tc>
          <w:tcPr>
            <w:tcW w:w="0" w:type="auto"/>
            <w:gridSpan w:val="3"/>
            <w:vMerge/>
            <w:tcBorders>
              <w:top w:val="single" w:sz="4" w:space="0" w:color="000000"/>
              <w:bottom w:val="single" w:sz="8" w:space="0" w:color="000000"/>
            </w:tcBorders>
            <w:vAlign w:val="center"/>
            <w:hideMark/>
          </w:tcPr>
          <w:p w:rsidR="00000000" w:rsidRDefault="00131F06">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131F06">
            <w:pPr>
              <w:spacing w:after="100"/>
              <w:rPr>
                <w:rFonts w:eastAsia="Times New Roman"/>
              </w:rPr>
            </w:pPr>
          </w:p>
        </w:tc>
        <w:tc>
          <w:tcPr>
            <w:tcW w:w="0" w:type="auto"/>
            <w:gridSpan w:val="2"/>
            <w:vMerge/>
            <w:tcBorders>
              <w:top w:val="single" w:sz="4" w:space="0" w:color="000000"/>
              <w:bottom w:val="single" w:sz="8" w:space="0" w:color="000000"/>
            </w:tcBorders>
            <w:vAlign w:val="center"/>
            <w:hideMark/>
          </w:tcPr>
          <w:p w:rsidR="00000000" w:rsidRDefault="00131F06">
            <w:pPr>
              <w:spacing w:after="100"/>
              <w:rPr>
                <w:rFonts w:eastAsia="Times New Roman"/>
              </w:rPr>
            </w:pPr>
          </w:p>
        </w:tc>
        <w:tc>
          <w:tcPr>
            <w:tcW w:w="0" w:type="auto"/>
            <w:vMerge/>
            <w:tcBorders>
              <w:top w:val="single" w:sz="4" w:space="0" w:color="000000"/>
              <w:bottom w:val="single" w:sz="8" w:space="0" w:color="000000"/>
            </w:tcBorders>
            <w:vAlign w:val="center"/>
            <w:hideMark/>
          </w:tcPr>
          <w:p w:rsidR="00000000" w:rsidRDefault="00131F06">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(€0.6 billion)</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(€0.2 billion)</w:t>
            </w:r>
          </w:p>
        </w:tc>
        <w:tc>
          <w:tcPr>
            <w:tcW w:w="0" w:type="auto"/>
            <w:gridSpan w:val="3"/>
            <w:vMerge/>
            <w:tcBorders>
              <w:top w:val="single" w:sz="4" w:space="0" w:color="000000"/>
              <w:bottom w:val="single" w:sz="8" w:space="0" w:color="000000"/>
            </w:tcBorders>
            <w:vAlign w:val="center"/>
            <w:hideMark/>
          </w:tcPr>
          <w:p w:rsidR="00000000" w:rsidRDefault="00131F06">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131F06">
            <w:pPr>
              <w:spacing w:after="100"/>
              <w:rPr>
                <w:rFonts w:eastAsia="Times New Roman"/>
              </w:rPr>
            </w:pPr>
          </w:p>
        </w:tc>
      </w:tr>
    </w:tbl>
    <w:p w:rsidR="00000000" w:rsidRDefault="00131F06">
      <w:pPr>
        <w:ind w:hanging="180"/>
        <w:divId w:val="164877776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These amounts are estimates and are subject to upward or downward adjustment based on various factors. Where appropriate, the amounts reflect our share of joint venture projects.</w:t>
      </w:r>
    </w:p>
    <w:p w:rsidR="00000000" w:rsidRDefault="00131F06">
      <w:pPr>
        <w:ind w:hanging="180"/>
        <w:divId w:val="147021672"/>
        <w:rPr>
          <w:rFonts w:eastAsia="Times New Roman"/>
        </w:rPr>
      </w:pPr>
      <w:r>
        <w:rPr>
          <w:rFonts w:ascii="Arial" w:eastAsia="Times New Roman" w:hAnsi="Arial" w:cs="Arial"/>
          <w:i/>
          <w:iCs/>
          <w:color w:val="000000"/>
          <w:sz w:val="16"/>
          <w:szCs w:val="16"/>
        </w:rPr>
        <w:t>2Expenditures to date and status of the project are determined as at Septembe</w:t>
      </w:r>
      <w:r>
        <w:rPr>
          <w:rFonts w:ascii="Arial" w:eastAsia="Times New Roman" w:hAnsi="Arial" w:cs="Arial"/>
          <w:i/>
          <w:iCs/>
          <w:color w:val="000000"/>
          <w:sz w:val="16"/>
          <w:szCs w:val="16"/>
        </w:rPr>
        <w:t>r 30, 2022.</w:t>
      </w:r>
    </w:p>
    <w:p w:rsidR="00000000" w:rsidRDefault="00131F06">
      <w:pPr>
        <w:ind w:hanging="180"/>
        <w:divId w:val="934820280"/>
        <w:rPr>
          <w:rFonts w:eastAsia="Times New Roman"/>
        </w:rPr>
      </w:pPr>
      <w:r>
        <w:rPr>
          <w:rFonts w:ascii="Arial" w:eastAsia="Times New Roman" w:hAnsi="Arial" w:cs="Arial"/>
          <w:i/>
          <w:iCs/>
          <w:color w:val="000000"/>
          <w:sz w:val="16"/>
          <w:szCs w:val="16"/>
        </w:rPr>
        <w:t>3This includes the Gator Express Project with an estimated capital cost of $31 million.</w:t>
      </w:r>
    </w:p>
    <w:p w:rsidR="00000000" w:rsidRDefault="00131F06">
      <w:pPr>
        <w:ind w:hanging="180"/>
        <w:divId w:val="1572620605"/>
        <w:rPr>
          <w:rFonts w:eastAsia="Times New Roman"/>
        </w:rPr>
      </w:pPr>
      <w:r>
        <w:rPr>
          <w:rFonts w:ascii="Arial" w:eastAsia="Times New Roman" w:hAnsi="Arial" w:cs="Arial"/>
          <w:i/>
          <w:iCs/>
          <w:color w:val="000000"/>
          <w:sz w:val="16"/>
          <w:szCs w:val="16"/>
        </w:rPr>
        <w:t>4Our equity contribution is US $0.9 billion, with the remainder of the project financed through non-recourse project level debt.</w:t>
      </w:r>
    </w:p>
    <w:p w:rsidR="00000000" w:rsidRDefault="00131F06">
      <w:pPr>
        <w:ind w:hanging="180"/>
        <w:divId w:val="1284728907"/>
        <w:rPr>
          <w:rFonts w:eastAsia="Times New Roman"/>
        </w:rPr>
      </w:pPr>
      <w:r>
        <w:rPr>
          <w:rFonts w:ascii="Arial" w:eastAsia="Times New Roman" w:hAnsi="Arial" w:cs="Arial"/>
          <w:i/>
          <w:iCs/>
          <w:color w:val="000000"/>
          <w:sz w:val="16"/>
          <w:szCs w:val="16"/>
        </w:rPr>
        <w:t>5The Storage Enhancements p</w:t>
      </w:r>
      <w:r>
        <w:rPr>
          <w:rFonts w:ascii="Arial" w:eastAsia="Times New Roman" w:hAnsi="Arial" w:cs="Arial"/>
          <w:i/>
          <w:iCs/>
          <w:color w:val="000000"/>
          <w:sz w:val="16"/>
          <w:szCs w:val="16"/>
        </w:rPr>
        <w:t>roject commenced service on October 4, 2022.</w:t>
      </w:r>
    </w:p>
    <w:p w:rsidR="00000000" w:rsidRDefault="00131F06">
      <w:pPr>
        <w:jc w:val="center"/>
        <w:divId w:val="702367355"/>
        <w:rPr>
          <w:rFonts w:eastAsia="Times New Roman"/>
        </w:rPr>
      </w:pPr>
      <w:r>
        <w:rPr>
          <w:rFonts w:ascii="Arial" w:eastAsia="Times New Roman" w:hAnsi="Arial" w:cs="Arial"/>
          <w:color w:val="000000"/>
          <w:sz w:val="20"/>
          <w:szCs w:val="20"/>
        </w:rPr>
        <w:t>50</w:t>
      </w:r>
    </w:p>
    <w:p w:rsidR="00000000" w:rsidRDefault="00131F06">
      <w:pPr>
        <w:rPr>
          <w:rFonts w:eastAsia="Times New Roman"/>
        </w:rPr>
      </w:pPr>
      <w:r>
        <w:rPr>
          <w:rFonts w:eastAsia="Times New Roman"/>
        </w:rPr>
        <w:pict>
          <v:rect id="_x0000_i1075" style="width:0;height:1.5pt" o:hralign="center" o:hrstd="t" o:hr="t" fillcolor="#a0a0a0" stroked="f"/>
        </w:pict>
      </w:r>
    </w:p>
    <w:p w:rsidR="00000000" w:rsidRDefault="00131F06">
      <w:pPr>
        <w:jc w:val="center"/>
        <w:divId w:val="1621112952"/>
        <w:rPr>
          <w:rFonts w:eastAsia="Times New Roman"/>
        </w:rPr>
      </w:pPr>
    </w:p>
    <w:p w:rsidR="00000000" w:rsidRDefault="00131F06">
      <w:pPr>
        <w:ind w:hanging="180"/>
        <w:divId w:val="1508977964"/>
        <w:rPr>
          <w:rFonts w:eastAsia="Times New Roman"/>
        </w:rPr>
      </w:pPr>
      <w:r>
        <w:rPr>
          <w:rFonts w:ascii="Arial" w:eastAsia="Times New Roman" w:hAnsi="Arial" w:cs="Arial"/>
          <w:i/>
          <w:iCs/>
          <w:color w:val="000000"/>
          <w:sz w:val="16"/>
          <w:szCs w:val="16"/>
        </w:rPr>
        <w:t>6Represents Phase 2 of the Natural Gas Expansion Program and the estimated capital cost is presented net of the maximum funding assistance we expect to receive from the G</w:t>
      </w:r>
      <w:r>
        <w:rPr>
          <w:rFonts w:ascii="Arial" w:eastAsia="Times New Roman" w:hAnsi="Arial" w:cs="Arial"/>
          <w:i/>
          <w:iCs/>
          <w:color w:val="000000"/>
          <w:sz w:val="16"/>
          <w:szCs w:val="16"/>
        </w:rPr>
        <w:t>overnment of Ontario. The expected in-service dates represent the expected completion dates of the leave to construct requirements.</w:t>
      </w:r>
    </w:p>
    <w:p w:rsidR="00000000" w:rsidRDefault="00131F06">
      <w:pPr>
        <w:ind w:hanging="180"/>
        <w:divId w:val="2087221536"/>
        <w:rPr>
          <w:rFonts w:eastAsia="Times New Roman"/>
        </w:rPr>
      </w:pPr>
      <w:r>
        <w:rPr>
          <w:rFonts w:ascii="Arial" w:eastAsia="Times New Roman" w:hAnsi="Arial" w:cs="Arial"/>
          <w:i/>
          <w:iCs/>
          <w:color w:val="000000"/>
          <w:sz w:val="16"/>
          <w:szCs w:val="16"/>
        </w:rPr>
        <w:t xml:space="preserve">7Our equity contribution is $0.2 billion for each project, with the remainder of each project financed through non-recourse </w:t>
      </w:r>
      <w:r>
        <w:rPr>
          <w:rFonts w:ascii="Arial" w:eastAsia="Times New Roman" w:hAnsi="Arial" w:cs="Arial"/>
          <w:i/>
          <w:iCs/>
          <w:color w:val="000000"/>
          <w:sz w:val="16"/>
          <w:szCs w:val="16"/>
        </w:rPr>
        <w:t>project level debt.</w:t>
      </w:r>
    </w:p>
    <w:p w:rsidR="00000000" w:rsidRDefault="00131F06">
      <w:pPr>
        <w:ind w:hanging="180"/>
        <w:divId w:val="1526751226"/>
        <w:rPr>
          <w:rFonts w:eastAsia="Times New Roman"/>
        </w:rPr>
      </w:pPr>
      <w:r>
        <w:rPr>
          <w:rFonts w:ascii="Arial" w:eastAsia="Times New Roman" w:hAnsi="Arial" w:cs="Arial"/>
          <w:i/>
          <w:iCs/>
          <w:color w:val="000000"/>
          <w:sz w:val="16"/>
          <w:szCs w:val="16"/>
        </w:rPr>
        <w:t>8Our equity contribution is $0.1 billion for each project, with the remainder of each project financed through non-recourse project level debt.</w:t>
      </w:r>
    </w:p>
    <w:p w:rsidR="00000000" w:rsidRDefault="00131F06">
      <w:pPr>
        <w:divId w:val="211305183"/>
        <w:rPr>
          <w:rFonts w:eastAsia="Times New Roman"/>
        </w:rPr>
      </w:pPr>
    </w:p>
    <w:p w:rsidR="00000000" w:rsidRDefault="00131F06">
      <w:pPr>
        <w:divId w:val="2093700956"/>
        <w:rPr>
          <w:rFonts w:eastAsia="Times New Roman"/>
        </w:rPr>
      </w:pPr>
      <w:r>
        <w:rPr>
          <w:rFonts w:ascii="Arial" w:eastAsia="Times New Roman" w:hAnsi="Arial" w:cs="Arial"/>
          <w:color w:val="000000"/>
          <w:sz w:val="20"/>
          <w:szCs w:val="20"/>
        </w:rPr>
        <w:t>A full description of each of our projects is provided in our annual report on Form 10-K f</w:t>
      </w:r>
      <w:r>
        <w:rPr>
          <w:rFonts w:ascii="Arial" w:eastAsia="Times New Roman" w:hAnsi="Arial" w:cs="Arial"/>
          <w:color w:val="000000"/>
          <w:sz w:val="20"/>
          <w:szCs w:val="20"/>
        </w:rPr>
        <w:t>or the year ended December 31, 2021. Significant updates that have occurred since the date of filing of our Form 10-K are discussed below.</w:t>
      </w:r>
    </w:p>
    <w:p w:rsidR="00000000" w:rsidRDefault="00131F06">
      <w:pPr>
        <w:divId w:val="30543994"/>
        <w:rPr>
          <w:rFonts w:eastAsia="Times New Roman"/>
        </w:rPr>
      </w:pPr>
    </w:p>
    <w:p w:rsidR="00000000" w:rsidRDefault="00131F06">
      <w:pPr>
        <w:divId w:val="439573513"/>
        <w:rPr>
          <w:rFonts w:eastAsia="Times New Roman"/>
        </w:rPr>
      </w:pPr>
      <w:r>
        <w:rPr>
          <w:rFonts w:ascii="Arial" w:eastAsia="Times New Roman" w:hAnsi="Arial" w:cs="Arial"/>
          <w:b/>
          <w:bCs/>
          <w:color w:val="000000"/>
          <w:sz w:val="20"/>
          <w:szCs w:val="20"/>
        </w:rPr>
        <w:t>GAS TRANSMISSION AND MIDSTREAM</w:t>
      </w:r>
    </w:p>
    <w:p w:rsidR="00000000" w:rsidRDefault="00131F06">
      <w:pPr>
        <w:divId w:val="1845245716"/>
        <w:rPr>
          <w:rFonts w:eastAsia="Times New Roman"/>
        </w:rPr>
      </w:pPr>
    </w:p>
    <w:p w:rsidR="00000000" w:rsidRDefault="00131F06">
      <w:pPr>
        <w:ind w:hanging="180"/>
        <w:divId w:val="582958842"/>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Texas Eastern Venice Extension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A reversal and expansion of Texas Eastern’s Line 40 from its existing New Roads compressor station to a new delivery point with the proposed Gator Express pipeline just south of Texas Eastern’s Larose compressor station. The project is expected to deliver </w:t>
      </w:r>
      <w:r>
        <w:rPr>
          <w:rFonts w:ascii="Arial" w:eastAsia="Times New Roman" w:hAnsi="Arial" w:cs="Arial"/>
          <w:color w:val="000000"/>
          <w:sz w:val="20"/>
          <w:szCs w:val="20"/>
        </w:rPr>
        <w:t>1.5 billion cubic feet per day (bcf/d) of natural gas to Venture Global Plaquemines LNG, LLC’s LNG export facility located in Plaquemines Parish, Louisiana and is underpinned by long-term take or pay contracts.</w:t>
      </w:r>
    </w:p>
    <w:p w:rsidR="00000000" w:rsidRDefault="00131F06">
      <w:pPr>
        <w:divId w:val="707491822"/>
        <w:rPr>
          <w:rFonts w:eastAsia="Times New Roman"/>
        </w:rPr>
      </w:pPr>
    </w:p>
    <w:p w:rsidR="00000000" w:rsidRDefault="00131F06">
      <w:pPr>
        <w:ind w:hanging="180"/>
        <w:divId w:val="455563351"/>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T-North Expansion </w:t>
      </w:r>
      <w:r>
        <w:rPr>
          <w:rFonts w:ascii="Arial" w:eastAsia="Times New Roman" w:hAnsi="Arial" w:cs="Arial"/>
          <w:color w:val="000000"/>
          <w:sz w:val="20"/>
          <w:szCs w:val="20"/>
        </w:rPr>
        <w:t>– An expansion of Westco</w:t>
      </w:r>
      <w:r>
        <w:rPr>
          <w:rFonts w:ascii="Arial" w:eastAsia="Times New Roman" w:hAnsi="Arial" w:cs="Arial"/>
          <w:color w:val="000000"/>
          <w:sz w:val="20"/>
          <w:szCs w:val="20"/>
        </w:rPr>
        <w:t>ast Energy Inc.'s (WEI) BC Pipeline in northern BC that includes pipeline looping, additional compressor units and other ancillary station modifications to support 535 million cubic feet per day (MMcf/d) of additional capacity. The project will be underpin</w:t>
      </w:r>
      <w:r>
        <w:rPr>
          <w:rFonts w:ascii="Arial" w:eastAsia="Times New Roman" w:hAnsi="Arial" w:cs="Arial"/>
          <w:color w:val="000000"/>
          <w:sz w:val="20"/>
          <w:szCs w:val="20"/>
        </w:rPr>
        <w:t>ned by a cost-of-service commercial model with a target in-service date of 2026.</w:t>
      </w:r>
    </w:p>
    <w:p w:rsidR="00000000" w:rsidRDefault="00131F06">
      <w:pPr>
        <w:divId w:val="853884557"/>
        <w:rPr>
          <w:rFonts w:eastAsia="Times New Roman"/>
        </w:rPr>
      </w:pPr>
    </w:p>
    <w:p w:rsidR="00000000" w:rsidRDefault="00131F06">
      <w:pPr>
        <w:ind w:hanging="180"/>
        <w:divId w:val="1165247697"/>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Woodfibre LNG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Construction of liquefaction and floating storage facilities in Squamish, BC, as well as an expansion of the BC Pipeline System. The project is expected to </w:t>
      </w:r>
      <w:r>
        <w:rPr>
          <w:rFonts w:ascii="Arial" w:eastAsia="Times New Roman" w:hAnsi="Arial" w:cs="Arial"/>
          <w:color w:val="000000"/>
          <w:sz w:val="20"/>
          <w:szCs w:val="20"/>
        </w:rPr>
        <w:t>be placed into service in 2027.</w:t>
      </w:r>
    </w:p>
    <w:p w:rsidR="00000000" w:rsidRDefault="00131F06">
      <w:pPr>
        <w:divId w:val="759181660"/>
        <w:rPr>
          <w:rFonts w:eastAsia="Times New Roman"/>
        </w:rPr>
      </w:pPr>
    </w:p>
    <w:p w:rsidR="00000000" w:rsidRDefault="00131F06">
      <w:pPr>
        <w:ind w:hanging="180"/>
        <w:divId w:val="635838670"/>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T-South Expansion </w:t>
      </w:r>
      <w:r>
        <w:rPr>
          <w:rFonts w:ascii="Arial" w:eastAsia="Times New Roman" w:hAnsi="Arial" w:cs="Arial"/>
          <w:color w:val="000000"/>
          <w:sz w:val="20"/>
          <w:szCs w:val="20"/>
        </w:rPr>
        <w:t>– An expansion of WEI's BC Pipeline's T-South section that includes pipeline looping, additional compressor units and other ancillary station modifications to support 300 MMcf/d of additional capacity. T</w:t>
      </w:r>
      <w:r>
        <w:rPr>
          <w:rFonts w:ascii="Arial" w:eastAsia="Times New Roman" w:hAnsi="Arial" w:cs="Arial"/>
          <w:color w:val="000000"/>
          <w:sz w:val="20"/>
          <w:szCs w:val="20"/>
        </w:rPr>
        <w:t>he project is expected to be placed in service in 2028 and will be underpinned by a cost-of-service commercial model.</w:t>
      </w:r>
    </w:p>
    <w:p w:rsidR="00000000" w:rsidRDefault="00131F06">
      <w:pPr>
        <w:divId w:val="465391240"/>
        <w:rPr>
          <w:rFonts w:eastAsia="Times New Roman"/>
        </w:rPr>
      </w:pPr>
    </w:p>
    <w:p w:rsidR="00000000" w:rsidRDefault="00131F06">
      <w:pPr>
        <w:divId w:val="1424761748"/>
        <w:rPr>
          <w:rFonts w:eastAsia="Times New Roman"/>
        </w:rPr>
      </w:pPr>
      <w:r>
        <w:rPr>
          <w:rFonts w:ascii="Arial" w:eastAsia="Times New Roman" w:hAnsi="Arial" w:cs="Arial"/>
          <w:b/>
          <w:bCs/>
          <w:color w:val="000000"/>
          <w:sz w:val="20"/>
          <w:szCs w:val="20"/>
        </w:rPr>
        <w:t xml:space="preserve">GAS DISTRIBUTION AND STORAGE </w:t>
      </w:r>
    </w:p>
    <w:p w:rsidR="00000000" w:rsidRDefault="00131F06">
      <w:pPr>
        <w:divId w:val="2073263938"/>
        <w:rPr>
          <w:rFonts w:eastAsia="Times New Roman"/>
        </w:rPr>
      </w:pPr>
    </w:p>
    <w:p w:rsidR="00000000" w:rsidRDefault="00131F06">
      <w:pPr>
        <w:ind w:hanging="180"/>
        <w:divId w:val="1122963588"/>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Panhandle Regional Expansion Project </w:t>
      </w:r>
      <w:r>
        <w:rPr>
          <w:rFonts w:ascii="Arial" w:eastAsia="Times New Roman" w:hAnsi="Arial" w:cs="Arial"/>
          <w:color w:val="000000"/>
          <w:sz w:val="20"/>
          <w:szCs w:val="20"/>
        </w:rPr>
        <w:t xml:space="preserve">– </w:t>
      </w:r>
      <w:r>
        <w:rPr>
          <w:rFonts w:ascii="Arial" w:eastAsia="Times New Roman" w:hAnsi="Arial" w:cs="Arial"/>
          <w:color w:val="000000"/>
          <w:sz w:val="20"/>
          <w:szCs w:val="20"/>
        </w:rPr>
        <w:t>Expansion of the Panhandle Transmission System, which supplies natural gas from the Dawn Hub to customers in Southern Ontario west of Dawn. The project consists of construction on Panhandle Loop and Leamington interconnect, and is expected to receive a ful</w:t>
      </w:r>
      <w:r>
        <w:rPr>
          <w:rFonts w:ascii="Arial" w:eastAsia="Times New Roman" w:hAnsi="Arial" w:cs="Arial"/>
          <w:color w:val="000000"/>
          <w:sz w:val="20"/>
          <w:szCs w:val="20"/>
        </w:rPr>
        <w:t>l cost-of-service regulated return upon OEB approval with target in-service dates of November 2023 and November 2024.</w:t>
      </w:r>
    </w:p>
    <w:p w:rsidR="00000000" w:rsidRDefault="00131F06">
      <w:pPr>
        <w:divId w:val="476146133"/>
        <w:rPr>
          <w:rFonts w:eastAsia="Times New Roman"/>
        </w:rPr>
      </w:pPr>
    </w:p>
    <w:p w:rsidR="00000000" w:rsidRDefault="00131F06">
      <w:pPr>
        <w:ind w:hanging="180"/>
        <w:divId w:val="763037851"/>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System Enhancement Project </w:t>
      </w:r>
      <w:r>
        <w:rPr>
          <w:rFonts w:ascii="Arial" w:eastAsia="Times New Roman" w:hAnsi="Arial" w:cs="Arial"/>
          <w:color w:val="000000"/>
          <w:sz w:val="20"/>
          <w:szCs w:val="20"/>
        </w:rPr>
        <w:t>– On May 3, 2022, the OEB issued a Decision and Order denying the leave to construct application for the St.</w:t>
      </w:r>
      <w:r>
        <w:rPr>
          <w:rFonts w:ascii="Arial" w:eastAsia="Times New Roman" w:hAnsi="Arial" w:cs="Arial"/>
          <w:color w:val="000000"/>
          <w:sz w:val="20"/>
          <w:szCs w:val="20"/>
        </w:rPr>
        <w:t xml:space="preserve"> Laurent project. Subsequent to this decision, Enbridge Gas has continued to assess the condition of the line through integrity work, ensuring the ongoing safety and reliability of the line. As a result, the project has been excluded from the </w:t>
      </w:r>
      <w:r>
        <w:rPr>
          <w:rFonts w:ascii="Arial" w:eastAsia="Times New Roman" w:hAnsi="Arial" w:cs="Arial"/>
          <w:i/>
          <w:iCs/>
          <w:color w:val="000000"/>
          <w:sz w:val="20"/>
          <w:szCs w:val="20"/>
        </w:rPr>
        <w:t>Growth Projec</w:t>
      </w:r>
      <w:r>
        <w:rPr>
          <w:rFonts w:ascii="Arial" w:eastAsia="Times New Roman" w:hAnsi="Arial" w:cs="Arial"/>
          <w:i/>
          <w:iCs/>
          <w:color w:val="000000"/>
          <w:sz w:val="20"/>
          <w:szCs w:val="20"/>
        </w:rPr>
        <w:t>ts</w:t>
      </w:r>
      <w:r>
        <w:rPr>
          <w:rFonts w:ascii="Arial" w:eastAsia="Times New Roman" w:hAnsi="Arial" w:cs="Arial"/>
          <w:color w:val="000000"/>
          <w:sz w:val="20"/>
          <w:szCs w:val="20"/>
        </w:rPr>
        <w:t xml:space="preserve"> table.</w:t>
      </w:r>
    </w:p>
    <w:p w:rsidR="00000000" w:rsidRDefault="00131F06">
      <w:pPr>
        <w:divId w:val="473722424"/>
        <w:rPr>
          <w:rFonts w:eastAsia="Times New Roman"/>
        </w:rPr>
      </w:pPr>
    </w:p>
    <w:p w:rsidR="00000000" w:rsidRDefault="00131F06">
      <w:pPr>
        <w:divId w:val="25984616"/>
        <w:rPr>
          <w:rFonts w:eastAsia="Times New Roman"/>
        </w:rPr>
      </w:pPr>
      <w:r>
        <w:rPr>
          <w:rFonts w:ascii="Arial" w:eastAsia="Times New Roman" w:hAnsi="Arial" w:cs="Arial"/>
          <w:b/>
          <w:bCs/>
          <w:color w:val="000000"/>
          <w:sz w:val="20"/>
          <w:szCs w:val="20"/>
        </w:rPr>
        <w:t>RENEWABLE POWER GENERATION</w:t>
      </w:r>
    </w:p>
    <w:p w:rsidR="00000000" w:rsidRDefault="00131F06">
      <w:pPr>
        <w:divId w:val="103112898"/>
        <w:rPr>
          <w:rFonts w:eastAsia="Times New Roman"/>
        </w:rPr>
      </w:pPr>
    </w:p>
    <w:p w:rsidR="00000000" w:rsidRDefault="00131F06">
      <w:pPr>
        <w:ind w:hanging="180"/>
        <w:divId w:val="117189272"/>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Calvados Offshore Wind Project</w:t>
      </w:r>
      <w:r>
        <w:rPr>
          <w:rFonts w:ascii="Arial" w:eastAsia="Times New Roman" w:hAnsi="Arial" w:cs="Arial"/>
          <w:color w:val="000000"/>
          <w:sz w:val="20"/>
          <w:szCs w:val="20"/>
        </w:rPr>
        <w:t xml:space="preserve"> –</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The Calvados Offshore Wind Project has experienced modest schedule pressures. The revised expected in-service date is 2025.</w:t>
      </w:r>
    </w:p>
    <w:p w:rsidR="00000000" w:rsidRDefault="00131F06">
      <w:pPr>
        <w:divId w:val="241959904"/>
        <w:rPr>
          <w:rFonts w:eastAsia="Times New Roman"/>
        </w:rPr>
      </w:pPr>
    </w:p>
    <w:p w:rsidR="00000000" w:rsidRDefault="00131F06">
      <w:pPr>
        <w:ind w:hanging="180"/>
        <w:divId w:val="731199999"/>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Solar Self-Power Projects</w:t>
      </w:r>
      <w:r>
        <w:rPr>
          <w:rFonts w:ascii="Arial" w:eastAsia="Times New Roman" w:hAnsi="Arial" w:cs="Arial"/>
          <w:color w:val="000000"/>
          <w:sz w:val="20"/>
          <w:szCs w:val="20"/>
        </w:rPr>
        <w:t xml:space="preserve"> – The Solar Self-Power Proje</w:t>
      </w:r>
      <w:r>
        <w:rPr>
          <w:rFonts w:ascii="Arial" w:eastAsia="Times New Roman" w:hAnsi="Arial" w:cs="Arial"/>
          <w:color w:val="000000"/>
          <w:sz w:val="20"/>
          <w:szCs w:val="20"/>
        </w:rPr>
        <w:t>cts have experienced modest schedule pressures. The revised expected in-service date is 2023-2024.</w:t>
      </w:r>
    </w:p>
    <w:p w:rsidR="00000000" w:rsidRDefault="00131F06">
      <w:pPr>
        <w:divId w:val="2093578409"/>
        <w:rPr>
          <w:rFonts w:eastAsia="Times New Roman"/>
        </w:rPr>
      </w:pPr>
    </w:p>
    <w:p w:rsidR="00000000" w:rsidRDefault="00131F06">
      <w:pPr>
        <w:jc w:val="center"/>
        <w:divId w:val="178857436"/>
        <w:rPr>
          <w:rFonts w:eastAsia="Times New Roman"/>
        </w:rPr>
      </w:pPr>
      <w:r>
        <w:rPr>
          <w:rFonts w:ascii="Arial" w:eastAsia="Times New Roman" w:hAnsi="Arial" w:cs="Arial"/>
          <w:color w:val="000000"/>
          <w:sz w:val="20"/>
          <w:szCs w:val="20"/>
        </w:rPr>
        <w:t>51</w:t>
      </w:r>
    </w:p>
    <w:p w:rsidR="00000000" w:rsidRDefault="00131F06">
      <w:pPr>
        <w:rPr>
          <w:rFonts w:eastAsia="Times New Roman"/>
        </w:rPr>
      </w:pPr>
      <w:r>
        <w:rPr>
          <w:rFonts w:eastAsia="Times New Roman"/>
        </w:rPr>
        <w:pict>
          <v:rect id="_x0000_i1076" style="width:0;height:1.5pt" o:hralign="center" o:hrstd="t" o:hr="t" fillcolor="#a0a0a0" stroked="f"/>
        </w:pict>
      </w:r>
    </w:p>
    <w:p w:rsidR="00000000" w:rsidRDefault="00131F06">
      <w:pPr>
        <w:jc w:val="center"/>
        <w:divId w:val="1248347089"/>
        <w:rPr>
          <w:rFonts w:eastAsia="Times New Roman"/>
        </w:rPr>
      </w:pPr>
    </w:p>
    <w:p w:rsidR="00000000" w:rsidRDefault="00131F06">
      <w:pPr>
        <w:divId w:val="1017270989"/>
        <w:rPr>
          <w:rFonts w:eastAsia="Times New Roman"/>
        </w:rPr>
      </w:pPr>
      <w:r>
        <w:rPr>
          <w:rFonts w:ascii="Arial" w:eastAsia="Times New Roman" w:hAnsi="Arial" w:cs="Arial"/>
          <w:b/>
          <w:bCs/>
          <w:color w:val="000000"/>
          <w:sz w:val="26"/>
          <w:szCs w:val="26"/>
        </w:rPr>
        <w:t>OTHER ANNOUNCED PROJECTS UNDER DEVELOPMENT</w:t>
      </w:r>
    </w:p>
    <w:p w:rsidR="00000000" w:rsidRDefault="00131F06">
      <w:pPr>
        <w:divId w:val="784230952"/>
        <w:rPr>
          <w:rFonts w:eastAsia="Times New Roman"/>
        </w:rPr>
      </w:pPr>
      <w:r>
        <w:rPr>
          <w:rFonts w:ascii="Arial" w:eastAsia="Times New Roman" w:hAnsi="Arial" w:cs="Arial"/>
          <w:color w:val="000000"/>
          <w:sz w:val="20"/>
          <w:szCs w:val="20"/>
        </w:rPr>
        <w:t> </w:t>
      </w:r>
    </w:p>
    <w:p w:rsidR="00000000" w:rsidRDefault="00131F06">
      <w:pPr>
        <w:divId w:val="692536898"/>
        <w:rPr>
          <w:rFonts w:eastAsia="Times New Roman"/>
        </w:rPr>
      </w:pPr>
      <w:r>
        <w:rPr>
          <w:rFonts w:ascii="Arial" w:eastAsia="Times New Roman" w:hAnsi="Arial" w:cs="Arial"/>
          <w:color w:val="000000"/>
          <w:sz w:val="20"/>
          <w:szCs w:val="20"/>
        </w:rPr>
        <w:t xml:space="preserve">The following projects have been announced by us during the quarter, </w:t>
      </w:r>
      <w:r>
        <w:rPr>
          <w:rFonts w:ascii="Arial" w:eastAsia="Times New Roman" w:hAnsi="Arial" w:cs="Arial"/>
          <w:color w:val="000000"/>
          <w:sz w:val="20"/>
          <w:szCs w:val="20"/>
        </w:rPr>
        <w:t>but have not yet met our criteria to be classified as commercially secured:</w:t>
      </w:r>
    </w:p>
    <w:p w:rsidR="00000000" w:rsidRDefault="00131F06">
      <w:pPr>
        <w:divId w:val="1732577135"/>
        <w:rPr>
          <w:rFonts w:eastAsia="Times New Roman"/>
        </w:rPr>
      </w:pPr>
    </w:p>
    <w:p w:rsidR="00000000" w:rsidRDefault="00131F06">
      <w:pPr>
        <w:divId w:val="1021862364"/>
        <w:rPr>
          <w:rFonts w:eastAsia="Times New Roman"/>
        </w:rPr>
      </w:pPr>
      <w:r>
        <w:rPr>
          <w:rFonts w:ascii="Arial" w:eastAsia="Times New Roman" w:hAnsi="Arial" w:cs="Arial"/>
          <w:b/>
          <w:bCs/>
          <w:color w:val="000000"/>
          <w:sz w:val="20"/>
          <w:szCs w:val="20"/>
        </w:rPr>
        <w:t>GAS TRANSMISSION AND MIDSTREAM</w:t>
      </w:r>
    </w:p>
    <w:p w:rsidR="00000000" w:rsidRDefault="00131F06">
      <w:pPr>
        <w:divId w:val="1539128466"/>
        <w:rPr>
          <w:rFonts w:eastAsia="Times New Roman"/>
        </w:rPr>
      </w:pPr>
    </w:p>
    <w:p w:rsidR="00000000" w:rsidRDefault="00131F06">
      <w:pPr>
        <w:ind w:hanging="180"/>
        <w:divId w:val="1477718490"/>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Valley Crossing Expansion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On January 10, 2022, we executed a precedent agreement with Texas LNG Brownsville LLC (Texas LNG) under which, via an expansion of our Valley Crossing Pipeline, we will provide 0.72 bcf/d firm transportation capacity to Texas LNG’s proposed LNG liquefactio</w:t>
      </w:r>
      <w:r>
        <w:rPr>
          <w:rFonts w:ascii="Arial" w:eastAsia="Times New Roman" w:hAnsi="Arial" w:cs="Arial"/>
          <w:color w:val="000000"/>
          <w:sz w:val="20"/>
          <w:szCs w:val="20"/>
        </w:rPr>
        <w:t>n and export facility in the Port of Brownsville, Texas for a term of at least 20 years. Expansion of the pipeline will be subject to Texas LNG’s export facility reaching a final investment decision.</w:t>
      </w:r>
    </w:p>
    <w:p w:rsidR="00000000" w:rsidRDefault="00131F06">
      <w:pPr>
        <w:divId w:val="207256553"/>
        <w:rPr>
          <w:rFonts w:eastAsia="Times New Roman"/>
        </w:rPr>
      </w:pPr>
    </w:p>
    <w:p w:rsidR="00000000" w:rsidRDefault="00131F06">
      <w:pPr>
        <w:divId w:val="1207259999"/>
        <w:rPr>
          <w:rFonts w:eastAsia="Times New Roman"/>
        </w:rPr>
      </w:pPr>
      <w:r>
        <w:rPr>
          <w:rFonts w:ascii="Arial" w:eastAsia="Times New Roman" w:hAnsi="Arial" w:cs="Arial"/>
          <w:color w:val="000000"/>
          <w:sz w:val="20"/>
          <w:szCs w:val="20"/>
        </w:rPr>
        <w:t xml:space="preserve">We also have a portfolio of additional projects under </w:t>
      </w:r>
      <w:r>
        <w:rPr>
          <w:rFonts w:ascii="Arial" w:eastAsia="Times New Roman" w:hAnsi="Arial" w:cs="Arial"/>
          <w:color w:val="000000"/>
          <w:sz w:val="20"/>
          <w:szCs w:val="20"/>
        </w:rPr>
        <w:t>development that have not yet progressed to the point of securement.</w:t>
      </w:r>
    </w:p>
    <w:p w:rsidR="00000000" w:rsidRDefault="00131F06">
      <w:pPr>
        <w:divId w:val="2066561607"/>
        <w:rPr>
          <w:rFonts w:eastAsia="Times New Roman"/>
        </w:rPr>
      </w:pPr>
    </w:p>
    <w:p w:rsidR="00000000" w:rsidRDefault="00131F06">
      <w:pPr>
        <w:divId w:val="1312364649"/>
        <w:rPr>
          <w:rFonts w:eastAsia="Times New Roman"/>
        </w:rPr>
      </w:pPr>
      <w:r>
        <w:rPr>
          <w:rFonts w:ascii="Arial" w:eastAsia="Times New Roman" w:hAnsi="Arial" w:cs="Arial"/>
          <w:b/>
          <w:bCs/>
          <w:color w:val="000000"/>
          <w:sz w:val="26"/>
          <w:szCs w:val="26"/>
        </w:rPr>
        <w:t xml:space="preserve">LIQUIDITY AND CAPITAL RESOURCES </w:t>
      </w:r>
    </w:p>
    <w:p w:rsidR="00000000" w:rsidRDefault="00131F06">
      <w:pPr>
        <w:divId w:val="1898274854"/>
        <w:rPr>
          <w:rFonts w:eastAsia="Times New Roman"/>
        </w:rPr>
      </w:pPr>
      <w:r>
        <w:rPr>
          <w:rFonts w:ascii="Arial" w:eastAsia="Times New Roman" w:hAnsi="Arial" w:cs="Arial"/>
          <w:color w:val="000000"/>
          <w:sz w:val="20"/>
          <w:szCs w:val="20"/>
        </w:rPr>
        <w:t> </w:t>
      </w:r>
    </w:p>
    <w:p w:rsidR="00000000" w:rsidRDefault="00131F06">
      <w:pPr>
        <w:divId w:val="872036628"/>
        <w:rPr>
          <w:rFonts w:eastAsia="Times New Roman"/>
        </w:rPr>
      </w:pPr>
      <w:r>
        <w:rPr>
          <w:rFonts w:ascii="Arial" w:eastAsia="Times New Roman" w:hAnsi="Arial" w:cs="Arial"/>
          <w:color w:val="000000"/>
          <w:sz w:val="20"/>
          <w:szCs w:val="20"/>
        </w:rPr>
        <w:t xml:space="preserve">The maintenance of financial strength and flexibility is fundamental to our growth strategy, particularly in light of the significant number and size </w:t>
      </w:r>
      <w:r>
        <w:rPr>
          <w:rFonts w:ascii="Arial" w:eastAsia="Times New Roman" w:hAnsi="Arial" w:cs="Arial"/>
          <w:color w:val="000000"/>
          <w:sz w:val="20"/>
          <w:szCs w:val="20"/>
        </w:rPr>
        <w:t>of capital projects currently secured or under development. Access to timely funding from capital markets could be limited by factors outside our control, including but not limited to financial market volatility resulting from economic and political events</w:t>
      </w:r>
      <w:r>
        <w:rPr>
          <w:rFonts w:ascii="Arial" w:eastAsia="Times New Roman" w:hAnsi="Arial" w:cs="Arial"/>
          <w:color w:val="000000"/>
          <w:sz w:val="20"/>
          <w:szCs w:val="20"/>
        </w:rPr>
        <w:t xml:space="preserve"> both inside and outside North America. To mitigate such risks, we actively manage financial plans and strategies to help ensure we maintain sufficient liquidity to meet routine operating and future capital requirements. </w:t>
      </w:r>
    </w:p>
    <w:p w:rsidR="00000000" w:rsidRDefault="00131F06">
      <w:pPr>
        <w:divId w:val="1121147098"/>
        <w:rPr>
          <w:rFonts w:eastAsia="Times New Roman"/>
        </w:rPr>
      </w:pPr>
    </w:p>
    <w:p w:rsidR="00000000" w:rsidRDefault="00131F06">
      <w:pPr>
        <w:divId w:val="1317491707"/>
        <w:rPr>
          <w:rFonts w:eastAsia="Times New Roman"/>
        </w:rPr>
      </w:pPr>
      <w:r>
        <w:rPr>
          <w:rFonts w:ascii="Arial" w:eastAsia="Times New Roman" w:hAnsi="Arial" w:cs="Arial"/>
          <w:color w:val="000000"/>
          <w:sz w:val="20"/>
          <w:szCs w:val="20"/>
        </w:rPr>
        <w:t>In the near term, we generally e</w:t>
      </w:r>
      <w:r>
        <w:rPr>
          <w:rFonts w:ascii="Arial" w:eastAsia="Times New Roman" w:hAnsi="Arial" w:cs="Arial"/>
          <w:color w:val="000000"/>
          <w:sz w:val="20"/>
          <w:szCs w:val="20"/>
        </w:rPr>
        <w:t>xpect to utilize cash from operations together with commercial paper issuance and/or credit facility draws and the proceeds of capital market offerings to fund liabilities as they become due, finance capital expenditures, fund debt retirements, share redem</w:t>
      </w:r>
      <w:r>
        <w:rPr>
          <w:rFonts w:ascii="Arial" w:eastAsia="Times New Roman" w:hAnsi="Arial" w:cs="Arial"/>
          <w:color w:val="000000"/>
          <w:sz w:val="20"/>
          <w:szCs w:val="20"/>
        </w:rPr>
        <w:t>ptions, execute share repurchases under our normal course issuer bid (NCIB) and pay common and preference share dividends. We target to maintain sufficient liquidity through securement of committed credit facilities with a diversified group of banks and fi</w:t>
      </w:r>
      <w:r>
        <w:rPr>
          <w:rFonts w:ascii="Arial" w:eastAsia="Times New Roman" w:hAnsi="Arial" w:cs="Arial"/>
          <w:color w:val="000000"/>
          <w:sz w:val="20"/>
          <w:szCs w:val="20"/>
        </w:rPr>
        <w:t>nancial institutions to enable us to fund all anticipated requirements for approximately one year without accessing the capital markets.</w:t>
      </w:r>
    </w:p>
    <w:p w:rsidR="00000000" w:rsidRDefault="00131F06">
      <w:pPr>
        <w:divId w:val="1835753934"/>
        <w:rPr>
          <w:rFonts w:eastAsia="Times New Roman"/>
        </w:rPr>
      </w:pPr>
    </w:p>
    <w:p w:rsidR="00000000" w:rsidRDefault="00131F06">
      <w:pPr>
        <w:divId w:val="994459346"/>
        <w:rPr>
          <w:rFonts w:eastAsia="Times New Roman"/>
        </w:rPr>
      </w:pPr>
      <w:r>
        <w:rPr>
          <w:rFonts w:ascii="Arial" w:eastAsia="Times New Roman" w:hAnsi="Arial" w:cs="Arial"/>
          <w:color w:val="000000"/>
          <w:sz w:val="20"/>
          <w:szCs w:val="20"/>
        </w:rPr>
        <w:t>We have signed capital obligation contracts for the purchase of services, pipe and other materials totaling approxima</w:t>
      </w:r>
      <w:r>
        <w:rPr>
          <w:rFonts w:ascii="Arial" w:eastAsia="Times New Roman" w:hAnsi="Arial" w:cs="Arial"/>
          <w:color w:val="000000"/>
          <w:sz w:val="20"/>
          <w:szCs w:val="20"/>
        </w:rPr>
        <w:t>tely $1.1 billion, which are expected to be paid over the next five years.</w:t>
      </w:r>
    </w:p>
    <w:p w:rsidR="00000000" w:rsidRDefault="00131F06">
      <w:pPr>
        <w:divId w:val="315956749"/>
        <w:rPr>
          <w:rFonts w:eastAsia="Times New Roman"/>
        </w:rPr>
      </w:pPr>
      <w:r>
        <w:rPr>
          <w:rFonts w:ascii="Arial" w:eastAsia="Times New Roman" w:hAnsi="Arial" w:cs="Arial"/>
          <w:color w:val="000000"/>
          <w:sz w:val="20"/>
          <w:szCs w:val="20"/>
        </w:rPr>
        <w:t> </w:t>
      </w:r>
    </w:p>
    <w:p w:rsidR="00000000" w:rsidRDefault="00131F06">
      <w:pPr>
        <w:divId w:val="1464998796"/>
        <w:rPr>
          <w:rFonts w:eastAsia="Times New Roman"/>
        </w:rPr>
      </w:pPr>
      <w:r>
        <w:rPr>
          <w:rFonts w:ascii="Arial" w:eastAsia="Times New Roman" w:hAnsi="Arial" w:cs="Arial"/>
          <w:color w:val="000000"/>
          <w:sz w:val="20"/>
          <w:szCs w:val="20"/>
        </w:rPr>
        <w:t>Our financing plan is regularly updated to reflect evolving capital requirements and financial market conditions and identifies a variety of potential sources of debt and equity f</w:t>
      </w:r>
      <w:r>
        <w:rPr>
          <w:rFonts w:ascii="Arial" w:eastAsia="Times New Roman" w:hAnsi="Arial" w:cs="Arial"/>
          <w:color w:val="000000"/>
          <w:sz w:val="20"/>
          <w:szCs w:val="20"/>
        </w:rPr>
        <w:t>unding alternatives. Our current financing plan does not include any issuances of additional common equity.</w:t>
      </w:r>
    </w:p>
    <w:p w:rsidR="00000000" w:rsidRDefault="00131F06">
      <w:pPr>
        <w:divId w:val="1703360024"/>
        <w:rPr>
          <w:rFonts w:eastAsia="Times New Roman"/>
        </w:rPr>
      </w:pPr>
    </w:p>
    <w:p w:rsidR="00000000" w:rsidRDefault="00131F06">
      <w:pPr>
        <w:divId w:val="1398242119"/>
        <w:rPr>
          <w:rFonts w:eastAsia="Times New Roman"/>
        </w:rPr>
      </w:pPr>
      <w:r>
        <w:rPr>
          <w:rFonts w:ascii="Arial" w:eastAsia="Times New Roman" w:hAnsi="Arial" w:cs="Arial"/>
          <w:b/>
          <w:bCs/>
          <w:color w:val="000000"/>
          <w:sz w:val="20"/>
          <w:szCs w:val="20"/>
        </w:rPr>
        <w:t>CAPITAL MARKET ACCESS</w:t>
      </w:r>
    </w:p>
    <w:p w:rsidR="00000000" w:rsidRDefault="00131F06">
      <w:pPr>
        <w:divId w:val="94521429"/>
        <w:rPr>
          <w:rFonts w:eastAsia="Times New Roman"/>
        </w:rPr>
      </w:pPr>
      <w:r>
        <w:rPr>
          <w:rFonts w:ascii="Arial" w:eastAsia="Times New Roman" w:hAnsi="Arial" w:cs="Arial"/>
          <w:color w:val="000000"/>
          <w:sz w:val="20"/>
          <w:szCs w:val="20"/>
        </w:rPr>
        <w:t>We ensure ready access to capital markets, subject to market conditions, through maintenance of shelf prospectuses that allo</w:t>
      </w:r>
      <w:r>
        <w:rPr>
          <w:rFonts w:ascii="Arial" w:eastAsia="Times New Roman" w:hAnsi="Arial" w:cs="Arial"/>
          <w:color w:val="000000"/>
          <w:sz w:val="20"/>
          <w:szCs w:val="20"/>
        </w:rPr>
        <w:t>w for issuance of long-term debt, equity and other forms of long-term capital when market conditions are attractive.</w:t>
      </w:r>
    </w:p>
    <w:p w:rsidR="00000000" w:rsidRDefault="00131F06">
      <w:pPr>
        <w:divId w:val="55133479"/>
        <w:rPr>
          <w:rFonts w:eastAsia="Times New Roman"/>
        </w:rPr>
      </w:pPr>
    </w:p>
    <w:p w:rsidR="00000000" w:rsidRDefault="00131F06">
      <w:pPr>
        <w:jc w:val="center"/>
        <w:divId w:val="265119572"/>
        <w:rPr>
          <w:rFonts w:eastAsia="Times New Roman"/>
        </w:rPr>
      </w:pPr>
      <w:r>
        <w:rPr>
          <w:rFonts w:ascii="Arial" w:eastAsia="Times New Roman" w:hAnsi="Arial" w:cs="Arial"/>
          <w:color w:val="000000"/>
          <w:sz w:val="20"/>
          <w:szCs w:val="20"/>
        </w:rPr>
        <w:t>52</w:t>
      </w:r>
    </w:p>
    <w:p w:rsidR="00000000" w:rsidRDefault="00131F06">
      <w:pPr>
        <w:rPr>
          <w:rFonts w:eastAsia="Times New Roman"/>
        </w:rPr>
      </w:pPr>
      <w:r>
        <w:rPr>
          <w:rFonts w:eastAsia="Times New Roman"/>
        </w:rPr>
        <w:pict>
          <v:rect id="_x0000_i1077" style="width:0;height:1.5pt" o:hralign="center" o:hrstd="t" o:hr="t" fillcolor="#a0a0a0" stroked="f"/>
        </w:pict>
      </w:r>
    </w:p>
    <w:p w:rsidR="00000000" w:rsidRDefault="00131F06">
      <w:pPr>
        <w:jc w:val="center"/>
        <w:divId w:val="826285872"/>
        <w:rPr>
          <w:rFonts w:eastAsia="Times New Roman"/>
        </w:rPr>
      </w:pPr>
    </w:p>
    <w:p w:rsidR="00000000" w:rsidRDefault="00131F06">
      <w:pPr>
        <w:divId w:val="107433821"/>
        <w:rPr>
          <w:rFonts w:eastAsia="Times New Roman"/>
        </w:rPr>
      </w:pPr>
      <w:r>
        <w:rPr>
          <w:rFonts w:ascii="Arial" w:eastAsia="Times New Roman" w:hAnsi="Arial" w:cs="Arial"/>
          <w:b/>
          <w:bCs/>
          <w:color w:val="000000"/>
          <w:sz w:val="20"/>
          <w:szCs w:val="20"/>
        </w:rPr>
        <w:t>Credit Facilities and Liquidity</w:t>
      </w:r>
    </w:p>
    <w:p w:rsidR="00000000" w:rsidRDefault="00131F06">
      <w:pPr>
        <w:divId w:val="1196962521"/>
        <w:rPr>
          <w:rFonts w:eastAsia="Times New Roman"/>
        </w:rPr>
      </w:pPr>
      <w:r>
        <w:rPr>
          <w:rFonts w:ascii="Arial" w:eastAsia="Times New Roman" w:hAnsi="Arial" w:cs="Arial"/>
          <w:color w:val="000000"/>
          <w:sz w:val="20"/>
          <w:szCs w:val="20"/>
        </w:rPr>
        <w:t>To ensure ongoing liquidity and to mitigate the risk of capital market disruption, we maintain ready access to funds through committed bank credit facilities and actively manage our bank funding sources to optimize pricing and other terms. The following ta</w:t>
      </w:r>
      <w:r>
        <w:rPr>
          <w:rFonts w:ascii="Arial" w:eastAsia="Times New Roman" w:hAnsi="Arial" w:cs="Arial"/>
          <w:color w:val="000000"/>
          <w:sz w:val="20"/>
          <w:szCs w:val="20"/>
        </w:rPr>
        <w:t>ble provides details of our committed credit facilities as at September 30, 2022:</w:t>
      </w:r>
    </w:p>
    <w:tbl>
      <w:tblPr>
        <w:tblW w:w="4991" w:type="pct"/>
        <w:tblCellMar>
          <w:top w:w="15" w:type="dxa"/>
          <w:left w:w="15" w:type="dxa"/>
          <w:bottom w:w="15" w:type="dxa"/>
          <w:right w:w="15" w:type="dxa"/>
        </w:tblCellMar>
        <w:tblLook w:val="04A0" w:firstRow="1" w:lastRow="0" w:firstColumn="1" w:lastColumn="0" w:noHBand="0" w:noVBand="1"/>
      </w:tblPr>
      <w:tblGrid>
        <w:gridCol w:w="69"/>
        <w:gridCol w:w="4088"/>
        <w:gridCol w:w="38"/>
        <w:gridCol w:w="69"/>
        <w:gridCol w:w="1119"/>
        <w:gridCol w:w="36"/>
        <w:gridCol w:w="71"/>
        <w:gridCol w:w="850"/>
        <w:gridCol w:w="36"/>
        <w:gridCol w:w="69"/>
        <w:gridCol w:w="852"/>
        <w:gridCol w:w="36"/>
        <w:gridCol w:w="74"/>
        <w:gridCol w:w="848"/>
        <w:gridCol w:w="36"/>
      </w:tblGrid>
      <w:tr w:rsidR="00000000">
        <w:trPr>
          <w:divId w:val="253632884"/>
        </w:trPr>
        <w:tc>
          <w:tcPr>
            <w:tcW w:w="50" w:type="pct"/>
            <w:vAlign w:val="center"/>
            <w:hideMark/>
          </w:tcPr>
          <w:p w:rsidR="00000000" w:rsidRDefault="00131F06">
            <w:pPr>
              <w:rPr>
                <w:rFonts w:eastAsia="Times New Roman"/>
              </w:rPr>
            </w:pPr>
          </w:p>
        </w:tc>
        <w:tc>
          <w:tcPr>
            <w:tcW w:w="247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68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2"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23"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253632884"/>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Available</w:t>
            </w:r>
          </w:p>
        </w:tc>
      </w:tr>
      <w:tr w:rsidR="00000000">
        <w:trPr>
          <w:divId w:val="2536328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r>
      <w:tr w:rsidR="00000000">
        <w:trPr>
          <w:divId w:val="253632884"/>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 xml:space="preserve"> 2023-2027 </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10,949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9,451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1,498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53632884"/>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 xml:space="preserve"> 2024-2027 </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8,245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3,909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4,336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53632884"/>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858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1,142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53632884"/>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1,885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25363288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23,194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16,103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7,091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756901471"/>
        <w:rPr>
          <w:rFonts w:eastAsia="Times New Roman"/>
        </w:rPr>
      </w:pPr>
      <w:r>
        <w:rPr>
          <w:rFonts w:ascii="Arial" w:eastAsia="Times New Roman" w:hAnsi="Arial" w:cs="Arial"/>
          <w:color w:val="000000"/>
          <w:sz w:val="2"/>
          <w:szCs w:val="2"/>
        </w:rPr>
        <w:t> </w:t>
      </w:r>
    </w:p>
    <w:p w:rsidR="00000000" w:rsidRDefault="00131F06">
      <w:pPr>
        <w:ind w:hanging="180"/>
        <w:divId w:val="1431587558"/>
        <w:rPr>
          <w:rFonts w:eastAsia="Times New Roman"/>
        </w:rPr>
      </w:pPr>
      <w:r>
        <w:rPr>
          <w:rFonts w:ascii="Arial" w:eastAsia="Times New Roman" w:hAnsi="Arial" w:cs="Arial"/>
          <w:i/>
          <w:iCs/>
          <w:color w:val="000000"/>
          <w:sz w:val="16"/>
          <w:szCs w:val="16"/>
        </w:rPr>
        <w:t>1Maturity date is inclusive of the one-year term out option for certain credit facilities.</w:t>
      </w:r>
    </w:p>
    <w:p w:rsidR="00000000" w:rsidRDefault="00131F06">
      <w:pPr>
        <w:ind w:hanging="180"/>
        <w:divId w:val="79720192"/>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Includes facility draws and commercial paper issuances that are back-stopped by credit facilities.</w:t>
      </w:r>
    </w:p>
    <w:p w:rsidR="00000000" w:rsidRDefault="00131F06">
      <w:pPr>
        <w:divId w:val="2100758341"/>
        <w:rPr>
          <w:rFonts w:eastAsia="Times New Roman"/>
        </w:rPr>
      </w:pPr>
    </w:p>
    <w:p w:rsidR="00000000" w:rsidRDefault="00131F06">
      <w:pPr>
        <w:divId w:val="1735004596"/>
        <w:rPr>
          <w:rFonts w:eastAsia="Times New Roman"/>
        </w:rPr>
      </w:pPr>
      <w:r>
        <w:rPr>
          <w:rFonts w:ascii="Arial" w:eastAsia="Times New Roman" w:hAnsi="Arial" w:cs="Arial"/>
          <w:color w:val="000000"/>
          <w:sz w:val="20"/>
          <w:szCs w:val="20"/>
        </w:rPr>
        <w:t>On February </w:t>
      </w:r>
      <w:r>
        <w:rPr>
          <w:rFonts w:ascii="Arial" w:eastAsia="Times New Roman" w:hAnsi="Arial" w:cs="Arial"/>
          <w:color w:val="000000"/>
          <w:sz w:val="20"/>
          <w:szCs w:val="20"/>
        </w:rPr>
        <w:t>10, 2022, we renewed our three year $1.0 billion sustainability-linked credit facility, extending the maturity date out to July 2025.</w:t>
      </w:r>
    </w:p>
    <w:p w:rsidR="00000000" w:rsidRDefault="00131F06">
      <w:pPr>
        <w:divId w:val="867335335"/>
        <w:rPr>
          <w:rFonts w:eastAsia="Times New Roman"/>
        </w:rPr>
      </w:pPr>
    </w:p>
    <w:p w:rsidR="00000000" w:rsidRDefault="00131F06">
      <w:pPr>
        <w:divId w:val="975258732"/>
        <w:rPr>
          <w:rFonts w:eastAsia="Times New Roman"/>
        </w:rPr>
      </w:pPr>
      <w:r>
        <w:rPr>
          <w:rFonts w:ascii="Arial" w:eastAsia="Times New Roman" w:hAnsi="Arial" w:cs="Arial"/>
          <w:color w:val="000000"/>
          <w:sz w:val="20"/>
          <w:szCs w:val="20"/>
        </w:rPr>
        <w:t>On May 17, 2022, we entered into a three year term loan with a syndicate of Japanese banks for approximately $806 millio</w:t>
      </w:r>
      <w:r>
        <w:rPr>
          <w:rFonts w:ascii="Arial" w:eastAsia="Times New Roman" w:hAnsi="Arial" w:cs="Arial"/>
          <w:color w:val="000000"/>
          <w:sz w:val="20"/>
          <w:szCs w:val="20"/>
        </w:rPr>
        <w:t>n (¥84.8 billion), which will mature in May 2025 and replaces the approximately $499 million (¥52.5 billion) term loan that matured in May 2022. Additionally, on May 24, 2022, we entered into a 364-day term loan for approximately $1.9 billion, which will m</w:t>
      </w:r>
      <w:r>
        <w:rPr>
          <w:rFonts w:ascii="Arial" w:eastAsia="Times New Roman" w:hAnsi="Arial" w:cs="Arial"/>
          <w:color w:val="000000"/>
          <w:sz w:val="20"/>
          <w:szCs w:val="20"/>
        </w:rPr>
        <w:t>ature in May 2023.</w:t>
      </w:r>
    </w:p>
    <w:p w:rsidR="00000000" w:rsidRDefault="00131F06">
      <w:pPr>
        <w:divId w:val="96145116"/>
        <w:rPr>
          <w:rFonts w:eastAsia="Times New Roman"/>
        </w:rPr>
      </w:pPr>
    </w:p>
    <w:p w:rsidR="00000000" w:rsidRDefault="00131F06">
      <w:pPr>
        <w:divId w:val="328102074"/>
        <w:rPr>
          <w:rFonts w:eastAsia="Times New Roman"/>
        </w:rPr>
      </w:pPr>
      <w:r>
        <w:rPr>
          <w:rFonts w:ascii="Arial" w:eastAsia="Times New Roman" w:hAnsi="Arial" w:cs="Arial"/>
          <w:color w:val="000000"/>
          <w:sz w:val="20"/>
          <w:szCs w:val="20"/>
        </w:rPr>
        <w:t xml:space="preserve">On June 23, 2022, we renewed approximately $5.5 billion of our 364-day extendible credit facilities to </w:t>
      </w:r>
      <w:r>
        <w:rPr>
          <w:rFonts w:ascii="Arial" w:eastAsia="Times New Roman" w:hAnsi="Arial" w:cs="Arial"/>
          <w:color w:val="000000"/>
          <w:sz w:val="20"/>
          <w:szCs w:val="20"/>
        </w:rPr>
        <w:t>July 2024, which includes a one-year term out provision from July 2023.</w:t>
      </w:r>
    </w:p>
    <w:p w:rsidR="00000000" w:rsidRDefault="00131F06">
      <w:pPr>
        <w:divId w:val="786779596"/>
        <w:rPr>
          <w:rFonts w:eastAsia="Times New Roman"/>
        </w:rPr>
      </w:pPr>
    </w:p>
    <w:p w:rsidR="00000000" w:rsidRDefault="00131F06">
      <w:pPr>
        <w:divId w:val="504708810"/>
        <w:rPr>
          <w:rFonts w:eastAsia="Times New Roman"/>
        </w:rPr>
      </w:pPr>
      <w:r>
        <w:rPr>
          <w:rFonts w:ascii="Arial" w:eastAsia="Times New Roman" w:hAnsi="Arial" w:cs="Arial"/>
          <w:color w:val="000000"/>
          <w:sz w:val="20"/>
          <w:szCs w:val="20"/>
        </w:rPr>
        <w:t>In July and August 2022, we renewed $12.7 billion of our credit facilities, extending the maturity dates of our 364-day credit facilities to July 2024, inclusive of a one-year term o</w:t>
      </w:r>
      <w:r>
        <w:rPr>
          <w:rFonts w:ascii="Arial" w:eastAsia="Times New Roman" w:hAnsi="Arial" w:cs="Arial"/>
          <w:color w:val="000000"/>
          <w:sz w:val="20"/>
          <w:szCs w:val="20"/>
        </w:rPr>
        <w:t>ut provision from July 2023, and our five year facilities out to July 2027. As a part of the renewals, we increased our credit facilities by approximately $641 million.</w:t>
      </w:r>
    </w:p>
    <w:p w:rsidR="00000000" w:rsidRDefault="00131F06">
      <w:pPr>
        <w:divId w:val="1725905516"/>
        <w:rPr>
          <w:rFonts w:eastAsia="Times New Roman"/>
        </w:rPr>
      </w:pPr>
    </w:p>
    <w:p w:rsidR="00000000" w:rsidRDefault="00131F06">
      <w:pPr>
        <w:divId w:val="1838154819"/>
        <w:rPr>
          <w:rFonts w:eastAsia="Times New Roman"/>
        </w:rPr>
      </w:pPr>
      <w:r>
        <w:rPr>
          <w:rFonts w:ascii="Arial" w:eastAsia="Times New Roman" w:hAnsi="Arial" w:cs="Arial"/>
          <w:color w:val="000000"/>
          <w:sz w:val="20"/>
          <w:szCs w:val="20"/>
        </w:rPr>
        <w:t xml:space="preserve">In addition to the committed credit facilities noted above, we maintain $1.3 billion </w:t>
      </w:r>
      <w:r>
        <w:rPr>
          <w:rFonts w:ascii="Arial" w:eastAsia="Times New Roman" w:hAnsi="Arial" w:cs="Arial"/>
          <w:color w:val="000000"/>
          <w:sz w:val="20"/>
          <w:szCs w:val="20"/>
        </w:rPr>
        <w:t>of uncommitted demand letter of credit facilities, of which $780 million was unutilized as at September 30, 2022. As at December 31, 2021, we had $1.3 billion of uncommitted demand letter of credit facilities, of which $854 million was unutilized.</w:t>
      </w:r>
    </w:p>
    <w:p w:rsidR="00000000" w:rsidRDefault="00131F06">
      <w:pPr>
        <w:divId w:val="82117052"/>
        <w:rPr>
          <w:rFonts w:eastAsia="Times New Roman"/>
        </w:rPr>
      </w:pPr>
    </w:p>
    <w:p w:rsidR="00000000" w:rsidRDefault="00131F06">
      <w:pPr>
        <w:divId w:val="386801296"/>
        <w:rPr>
          <w:rFonts w:eastAsia="Times New Roman"/>
        </w:rPr>
      </w:pPr>
      <w:r>
        <w:rPr>
          <w:rFonts w:ascii="Arial" w:eastAsia="Times New Roman" w:hAnsi="Arial" w:cs="Arial"/>
          <w:color w:val="000000"/>
          <w:sz w:val="20"/>
          <w:szCs w:val="20"/>
        </w:rPr>
        <w:t xml:space="preserve">As at </w:t>
      </w:r>
      <w:r>
        <w:rPr>
          <w:rFonts w:ascii="Arial" w:eastAsia="Times New Roman" w:hAnsi="Arial" w:cs="Arial"/>
          <w:color w:val="000000"/>
          <w:sz w:val="20"/>
          <w:szCs w:val="20"/>
        </w:rPr>
        <w:t>September 30, 2022, our net available liquidity totaled $8.1 billion (December 31, 2021 - $6.5 billion), consisting of available credit facilities of $7.1 billion (December 31, 2021 - $6.2 billion) and was inclusive of unrestricted cash and cash equivalent</w:t>
      </w:r>
      <w:r>
        <w:rPr>
          <w:rFonts w:ascii="Arial" w:eastAsia="Times New Roman" w:hAnsi="Arial" w:cs="Arial"/>
          <w:color w:val="000000"/>
          <w:sz w:val="20"/>
          <w:szCs w:val="20"/>
        </w:rPr>
        <w:t>s of $1.0 billion (December 31, 2021 - $286 million) as reported in the Consolidated Statements of Financial Position.</w:t>
      </w:r>
    </w:p>
    <w:p w:rsidR="00000000" w:rsidRDefault="00131F06">
      <w:pPr>
        <w:divId w:val="24405113"/>
        <w:rPr>
          <w:rFonts w:eastAsia="Times New Roman"/>
        </w:rPr>
      </w:pPr>
    </w:p>
    <w:p w:rsidR="00000000" w:rsidRDefault="00131F06">
      <w:pPr>
        <w:divId w:val="236090344"/>
        <w:rPr>
          <w:rFonts w:eastAsia="Times New Roman"/>
        </w:rPr>
      </w:pPr>
      <w:r>
        <w:rPr>
          <w:rFonts w:ascii="Arial" w:eastAsia="Times New Roman" w:hAnsi="Arial" w:cs="Arial"/>
          <w:color w:val="000000"/>
          <w:sz w:val="20"/>
          <w:szCs w:val="20"/>
        </w:rPr>
        <w:t xml:space="preserve">Our credit facility agreements and term debt indentures include standard events of default and covenant provisions whereby accelerated </w:t>
      </w:r>
      <w:r>
        <w:rPr>
          <w:rFonts w:ascii="Arial" w:eastAsia="Times New Roman" w:hAnsi="Arial" w:cs="Arial"/>
          <w:color w:val="000000"/>
          <w:sz w:val="20"/>
          <w:szCs w:val="20"/>
        </w:rPr>
        <w:t>repayment and/or termination of the agreements may result if we are to default on payment or violate certain covenants. As at September 30, 2022, we are in compliance with all covenant provisions.</w:t>
      </w:r>
    </w:p>
    <w:p w:rsidR="00000000" w:rsidRDefault="00131F06">
      <w:pPr>
        <w:divId w:val="641161059"/>
        <w:rPr>
          <w:rFonts w:eastAsia="Times New Roman"/>
        </w:rPr>
      </w:pPr>
    </w:p>
    <w:p w:rsidR="00000000" w:rsidRDefault="00131F06">
      <w:pPr>
        <w:jc w:val="center"/>
        <w:divId w:val="502430109"/>
        <w:rPr>
          <w:rFonts w:eastAsia="Times New Roman"/>
        </w:rPr>
      </w:pPr>
      <w:r>
        <w:rPr>
          <w:rFonts w:ascii="Arial" w:eastAsia="Times New Roman" w:hAnsi="Arial" w:cs="Arial"/>
          <w:color w:val="000000"/>
          <w:sz w:val="20"/>
          <w:szCs w:val="20"/>
        </w:rPr>
        <w:t>53</w:t>
      </w:r>
    </w:p>
    <w:p w:rsidR="00000000" w:rsidRDefault="00131F06">
      <w:pPr>
        <w:rPr>
          <w:rFonts w:eastAsia="Times New Roman"/>
        </w:rPr>
      </w:pPr>
      <w:r>
        <w:rPr>
          <w:rFonts w:eastAsia="Times New Roman"/>
        </w:rPr>
        <w:pict>
          <v:rect id="_x0000_i1078" style="width:0;height:1.5pt" o:hralign="center" o:hrstd="t" o:hr="t" fillcolor="#a0a0a0" stroked="f"/>
        </w:pict>
      </w:r>
    </w:p>
    <w:p w:rsidR="00000000" w:rsidRDefault="00131F06">
      <w:pPr>
        <w:jc w:val="center"/>
        <w:divId w:val="275332341"/>
        <w:rPr>
          <w:rFonts w:eastAsia="Times New Roman"/>
        </w:rPr>
      </w:pPr>
    </w:p>
    <w:p w:rsidR="00000000" w:rsidRDefault="00131F06">
      <w:pPr>
        <w:divId w:val="278951508"/>
        <w:rPr>
          <w:rFonts w:eastAsia="Times New Roman"/>
        </w:rPr>
      </w:pPr>
      <w:r>
        <w:rPr>
          <w:rFonts w:ascii="Arial" w:eastAsia="Times New Roman" w:hAnsi="Arial" w:cs="Arial"/>
          <w:b/>
          <w:bCs/>
          <w:color w:val="000000"/>
          <w:sz w:val="20"/>
          <w:szCs w:val="20"/>
        </w:rPr>
        <w:t>LONG-TERM DEBT I</w:t>
      </w:r>
      <w:r>
        <w:rPr>
          <w:rFonts w:ascii="Arial" w:eastAsia="Times New Roman" w:hAnsi="Arial" w:cs="Arial"/>
          <w:b/>
          <w:bCs/>
          <w:color w:val="000000"/>
          <w:sz w:val="20"/>
          <w:szCs w:val="20"/>
        </w:rPr>
        <w:t>SSUANCES</w:t>
      </w:r>
    </w:p>
    <w:p w:rsidR="00000000" w:rsidRDefault="00131F06">
      <w:pPr>
        <w:divId w:val="382144388"/>
        <w:rPr>
          <w:rFonts w:eastAsia="Times New Roman"/>
        </w:rPr>
      </w:pPr>
      <w:r>
        <w:rPr>
          <w:rFonts w:ascii="Arial" w:eastAsia="Times New Roman" w:hAnsi="Arial" w:cs="Arial"/>
          <w:color w:val="000000"/>
          <w:sz w:val="20"/>
          <w:szCs w:val="20"/>
        </w:rPr>
        <w:t>During the nine months ended September 30, 2022, we completed the following long-term debt issuances totaling $1.4 billion and US$2.6 billion: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58"/>
        <w:gridCol w:w="36"/>
        <w:gridCol w:w="58"/>
        <w:gridCol w:w="1188"/>
        <w:gridCol w:w="39"/>
        <w:gridCol w:w="87"/>
        <w:gridCol w:w="456"/>
        <w:gridCol w:w="181"/>
        <w:gridCol w:w="45"/>
        <w:gridCol w:w="4318"/>
        <w:gridCol w:w="36"/>
        <w:gridCol w:w="57"/>
        <w:gridCol w:w="937"/>
        <w:gridCol w:w="36"/>
      </w:tblGrid>
      <w:tr w:rsidR="00000000">
        <w:trPr>
          <w:divId w:val="860780511"/>
        </w:trPr>
        <w:tc>
          <w:tcPr>
            <w:tcW w:w="50" w:type="pct"/>
            <w:vAlign w:val="center"/>
            <w:hideMark/>
          </w:tcPr>
          <w:p w:rsidR="00000000" w:rsidRDefault="00131F06">
            <w:pPr>
              <w:rPr>
                <w:rFonts w:eastAsia="Times New Roman"/>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6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6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9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860780511"/>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Principal Amount</w:t>
            </w:r>
          </w:p>
        </w:tc>
      </w:tr>
      <w:tr w:rsidR="00000000">
        <w:trPr>
          <w:divId w:val="860780511"/>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860780511"/>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860780511"/>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January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5.00%</w:t>
            </w:r>
          </w:p>
        </w:tc>
        <w:tc>
          <w:tcPr>
            <w:tcW w:w="0" w:type="auto"/>
            <w:gridSpan w:val="3"/>
            <w:tcMar>
              <w:top w:w="30" w:type="dxa"/>
              <w:left w:w="20" w:type="dxa"/>
              <w:bottom w:w="30" w:type="dxa"/>
              <w:right w:w="20" w:type="dxa"/>
            </w:tcMar>
            <w:vAlign w:val="center"/>
            <w:hideMark/>
          </w:tcPr>
          <w:p w:rsidR="00000000" w:rsidRDefault="00131F06">
            <w:pPr>
              <w:spacing w:after="100"/>
              <w:divId w:val="1393771107"/>
              <w:rPr>
                <w:rFonts w:eastAsia="Times New Roman"/>
              </w:rPr>
            </w:pPr>
            <w:r>
              <w:rPr>
                <w:rFonts w:ascii="Arial" w:eastAsia="Times New Roman" w:hAnsi="Arial" w:cs="Arial"/>
                <w:color w:val="000000"/>
                <w:sz w:val="18"/>
                <w:szCs w:val="18"/>
              </w:rPr>
              <w:t>fixed-to-fixed subordinated notes due January 208</w:t>
            </w:r>
            <w:r>
              <w:rPr>
                <w:rFonts w:ascii="Arial" w:eastAsia="Times New Roman" w:hAnsi="Arial" w:cs="Arial"/>
                <w:color w:val="000000"/>
                <w:sz w:val="18"/>
                <w:szCs w:val="18"/>
              </w:rPr>
              <w:t>2</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$750</w:t>
            </w:r>
          </w:p>
        </w:tc>
      </w:tr>
      <w:tr w:rsidR="00000000">
        <w:trPr>
          <w:divId w:val="860780511"/>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131F06">
            <w:pPr>
              <w:spacing w:after="100"/>
              <w:divId w:val="1769737979"/>
              <w:rPr>
                <w:rFonts w:eastAsia="Times New Roman"/>
              </w:rPr>
            </w:pPr>
            <w:r>
              <w:rPr>
                <w:rFonts w:ascii="Arial" w:eastAsia="Times New Roman" w:hAnsi="Arial" w:cs="Arial"/>
                <w:color w:val="000000"/>
                <w:sz w:val="18"/>
                <w:szCs w:val="18"/>
              </w:rPr>
              <w:t>Floating rate senior notes due February 202</w:t>
            </w:r>
            <w:r>
              <w:rPr>
                <w:rFonts w:ascii="Arial" w:eastAsia="Times New Roman" w:hAnsi="Arial" w:cs="Arial"/>
                <w:color w:val="000000"/>
                <w:sz w:val="18"/>
                <w:szCs w:val="18"/>
              </w:rPr>
              <w:t>4</w:t>
            </w:r>
            <w:r>
              <w:rPr>
                <w:rFonts w:ascii="Arial" w:eastAsia="Times New Roman" w:hAnsi="Arial" w:cs="Arial"/>
                <w:color w:val="000000"/>
                <w:sz w:val="12"/>
                <w:szCs w:val="12"/>
              </w:rPr>
              <w:t>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US$600</w:t>
            </w:r>
          </w:p>
        </w:tc>
      </w:tr>
      <w:tr w:rsidR="00000000">
        <w:trPr>
          <w:divId w:val="860780511"/>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2.15%</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 due February 2024</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US$400</w:t>
            </w:r>
          </w:p>
        </w:tc>
      </w:tr>
      <w:tr w:rsidR="00000000">
        <w:trPr>
          <w:divId w:val="860780511"/>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2.50%</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 due February 2025</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US$500</w:t>
            </w:r>
          </w:p>
        </w:tc>
      </w:tr>
      <w:tr w:rsidR="00000000">
        <w:trPr>
          <w:divId w:val="860780511"/>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September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7.38%</w:t>
            </w:r>
          </w:p>
        </w:tc>
        <w:tc>
          <w:tcPr>
            <w:tcW w:w="0" w:type="auto"/>
            <w:gridSpan w:val="3"/>
            <w:tcMar>
              <w:top w:w="30" w:type="dxa"/>
              <w:left w:w="20" w:type="dxa"/>
              <w:bottom w:w="30" w:type="dxa"/>
              <w:right w:w="20" w:type="dxa"/>
            </w:tcMar>
            <w:vAlign w:val="center"/>
            <w:hideMark/>
          </w:tcPr>
          <w:p w:rsidR="00000000" w:rsidRDefault="00131F06">
            <w:pPr>
              <w:spacing w:after="100"/>
              <w:divId w:val="1295677765"/>
              <w:rPr>
                <w:rFonts w:eastAsia="Times New Roman"/>
              </w:rPr>
            </w:pPr>
            <w:r>
              <w:rPr>
                <w:rFonts w:ascii="Arial" w:eastAsia="Times New Roman" w:hAnsi="Arial" w:cs="Arial"/>
                <w:color w:val="000000"/>
                <w:sz w:val="18"/>
                <w:szCs w:val="18"/>
              </w:rPr>
              <w:t>fixed-to-fixed subordinated notes due January 208</w:t>
            </w:r>
            <w:r>
              <w:rPr>
                <w:rFonts w:ascii="Arial" w:eastAsia="Times New Roman" w:hAnsi="Arial" w:cs="Arial"/>
                <w:color w:val="000000"/>
                <w:sz w:val="18"/>
                <w:szCs w:val="18"/>
              </w:rPr>
              <w:t>3</w:t>
            </w:r>
            <w:r>
              <w:rPr>
                <w:rFonts w:ascii="Arial" w:eastAsia="Times New Roman" w:hAnsi="Arial" w:cs="Arial"/>
                <w:color w:val="000000"/>
                <w:sz w:val="12"/>
                <w:szCs w:val="12"/>
              </w:rPr>
              <w:t>3</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US$500</w:t>
            </w:r>
          </w:p>
        </w:tc>
      </w:tr>
      <w:tr w:rsidR="00000000">
        <w:trPr>
          <w:divId w:val="860780511"/>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September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7.63%</w:t>
            </w:r>
          </w:p>
        </w:tc>
        <w:tc>
          <w:tcPr>
            <w:tcW w:w="0" w:type="auto"/>
            <w:gridSpan w:val="3"/>
            <w:tcMar>
              <w:top w:w="30" w:type="dxa"/>
              <w:left w:w="20" w:type="dxa"/>
              <w:bottom w:w="30" w:type="dxa"/>
              <w:right w:w="20" w:type="dxa"/>
            </w:tcMar>
            <w:vAlign w:val="center"/>
            <w:hideMark/>
          </w:tcPr>
          <w:p w:rsidR="00000000" w:rsidRDefault="00131F06">
            <w:pPr>
              <w:spacing w:after="100"/>
              <w:divId w:val="32003102"/>
              <w:rPr>
                <w:rFonts w:eastAsia="Times New Roman"/>
              </w:rPr>
            </w:pPr>
            <w:r>
              <w:rPr>
                <w:rFonts w:ascii="Arial" w:eastAsia="Times New Roman" w:hAnsi="Arial" w:cs="Arial"/>
                <w:color w:val="000000"/>
                <w:sz w:val="18"/>
                <w:szCs w:val="18"/>
              </w:rPr>
              <w:t>fixed-to-fixed subordinated notes due January 208</w:t>
            </w:r>
            <w:r>
              <w:rPr>
                <w:rFonts w:ascii="Arial" w:eastAsia="Times New Roman" w:hAnsi="Arial" w:cs="Arial"/>
                <w:color w:val="000000"/>
                <w:sz w:val="18"/>
                <w:szCs w:val="18"/>
              </w:rPr>
              <w:t>3</w:t>
            </w:r>
            <w:r>
              <w:rPr>
                <w:rFonts w:ascii="Arial" w:eastAsia="Times New Roman" w:hAnsi="Arial" w:cs="Arial"/>
                <w:color w:val="000000"/>
                <w:sz w:val="12"/>
                <w:szCs w:val="12"/>
              </w:rPr>
              <w:t>4</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US$600</w:t>
            </w:r>
          </w:p>
        </w:tc>
      </w:tr>
      <w:tr w:rsidR="00000000">
        <w:trPr>
          <w:divId w:val="860780511"/>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860780511"/>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August 2022</w:t>
            </w: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4.15 </w:t>
            </w:r>
          </w:p>
        </w:tc>
        <w:tc>
          <w:tcPr>
            <w:tcW w:w="0" w:type="auto"/>
            <w:tcMar>
              <w:top w:w="30" w:type="dxa"/>
              <w:left w:w="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medium-term notes due August 2032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$325</w:t>
            </w:r>
          </w:p>
        </w:tc>
      </w:tr>
      <w:tr w:rsidR="00000000">
        <w:trPr>
          <w:divId w:val="860780511"/>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August 2022</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4.55 </w:t>
            </w:r>
          </w:p>
        </w:tc>
        <w:tc>
          <w:tcPr>
            <w:tcW w:w="0" w:type="auto"/>
            <w:tcBorders>
              <w:bottom w:val="single" w:sz="8" w:space="0" w:color="000000"/>
            </w:tcBorders>
            <w:tcMar>
              <w:top w:w="30" w:type="dxa"/>
              <w:left w:w="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medium-term notes due August 2052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$325</w:t>
            </w:r>
          </w:p>
        </w:tc>
      </w:tr>
      <w:tr w:rsidR="00000000">
        <w:trPr>
          <w:divId w:val="860780511"/>
        </w:trPr>
        <w:tc>
          <w:tcPr>
            <w:tcW w:w="0" w:type="auto"/>
            <w:gridSpan w:val="3"/>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860780511"/>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860780511"/>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860780511"/>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860780511"/>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bl>
    <w:p w:rsidR="00000000" w:rsidRDefault="00131F06">
      <w:pPr>
        <w:ind w:hanging="180"/>
        <w:divId w:val="166018867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For the initial 10 years, the notes carry a fixed interest rate. At year 10, the interest rate will be reset to equal to the Five-Year Government of Canada bond yield plus a margin of 3.54%. Subsequent to year 10, every five years, the Five Year Government</w:t>
      </w:r>
      <w:r>
        <w:rPr>
          <w:rFonts w:ascii="Arial" w:eastAsia="Times New Roman" w:hAnsi="Arial" w:cs="Arial"/>
          <w:i/>
          <w:iCs/>
          <w:color w:val="000000"/>
          <w:sz w:val="16"/>
          <w:szCs w:val="16"/>
        </w:rPr>
        <w:t xml:space="preserve"> of Canada bond yield is reset. At year 30, the interest rate will be reset to equal to the Five-Year Government of Canada bond yield plus a margin of 4.29%. </w:t>
      </w:r>
    </w:p>
    <w:p w:rsidR="00000000" w:rsidRDefault="00131F06">
      <w:pPr>
        <w:ind w:hanging="180"/>
        <w:divId w:val="1678382900"/>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Notes carry an interest rate set to equal the Secured Overnight Financing Rate plus a margin of 63 basis points.</w:t>
      </w:r>
    </w:p>
    <w:p w:rsidR="00000000" w:rsidRDefault="00131F06">
      <w:pPr>
        <w:ind w:hanging="180"/>
        <w:divId w:val="956720387"/>
        <w:rPr>
          <w:rFonts w:eastAsia="Times New Roman"/>
        </w:rPr>
      </w:pPr>
      <w:r>
        <w:rPr>
          <w:rFonts w:ascii="Arial" w:eastAsia="Times New Roman" w:hAnsi="Arial" w:cs="Arial"/>
          <w:i/>
          <w:iCs/>
          <w:color w:val="000000"/>
          <w:sz w:val="16"/>
          <w:szCs w:val="16"/>
        </w:rPr>
        <w:t>3For the initial five years, the notes carry a fixed interest rate. At year five the interest rate will be set to equal to the Five-Year US Tre</w:t>
      </w:r>
      <w:r>
        <w:rPr>
          <w:rFonts w:ascii="Arial" w:eastAsia="Times New Roman" w:hAnsi="Arial" w:cs="Arial"/>
          <w:i/>
          <w:iCs/>
          <w:color w:val="000000"/>
          <w:sz w:val="16"/>
          <w:szCs w:val="16"/>
        </w:rPr>
        <w:t>asury rate plus a margin of 3.71%. At year 10, the interest rate will be reset to equal the Five-Year US Treasury rate plus a margin of 3.96%. Subsequent to year 10, every five years, the Five Year US Treasury rate is reset. At year 25, the interest rate w</w:t>
      </w:r>
      <w:r>
        <w:rPr>
          <w:rFonts w:ascii="Arial" w:eastAsia="Times New Roman" w:hAnsi="Arial" w:cs="Arial"/>
          <w:i/>
          <w:iCs/>
          <w:color w:val="000000"/>
          <w:sz w:val="16"/>
          <w:szCs w:val="16"/>
        </w:rPr>
        <w:t>ill be reset to equal to the Five-Year US Treasury rate plus a margin of 4.71%.</w:t>
      </w:r>
    </w:p>
    <w:p w:rsidR="00000000" w:rsidRDefault="00131F06">
      <w:pPr>
        <w:ind w:hanging="180"/>
        <w:divId w:val="1526215723"/>
        <w:rPr>
          <w:rFonts w:eastAsia="Times New Roman"/>
        </w:rPr>
      </w:pPr>
      <w:r>
        <w:rPr>
          <w:rFonts w:ascii="Arial" w:eastAsia="Times New Roman" w:hAnsi="Arial" w:cs="Arial"/>
          <w:i/>
          <w:iCs/>
          <w:color w:val="000000"/>
          <w:sz w:val="16"/>
          <w:szCs w:val="16"/>
        </w:rPr>
        <w:t>4</w:t>
      </w:r>
      <w:r>
        <w:rPr>
          <w:rFonts w:ascii="Arial" w:eastAsia="Times New Roman" w:hAnsi="Arial" w:cs="Arial"/>
          <w:i/>
          <w:iCs/>
          <w:color w:val="000000"/>
          <w:sz w:val="16"/>
          <w:szCs w:val="16"/>
        </w:rPr>
        <w:t xml:space="preserve">For the initial 10 years, the notes carry a fixed interest rate. At year 10, the interest rate will be reset to equal to the Five-Year US Treasury rate plus a margin of 4.42%. Subsequent to year 10, every five years, the Five-Year US Treasury rate will be </w:t>
      </w:r>
      <w:r>
        <w:rPr>
          <w:rFonts w:ascii="Arial" w:eastAsia="Times New Roman" w:hAnsi="Arial" w:cs="Arial"/>
          <w:i/>
          <w:iCs/>
          <w:color w:val="000000"/>
          <w:sz w:val="16"/>
          <w:szCs w:val="16"/>
        </w:rPr>
        <w:t>reset. At year 30, the interest rate will be reset to equal to the Five-Year US Treasury rate plus a margin of 5.17%.</w:t>
      </w:r>
    </w:p>
    <w:p w:rsidR="00000000" w:rsidRDefault="00131F06">
      <w:pPr>
        <w:ind w:hanging="180"/>
        <w:divId w:val="2052262517"/>
        <w:rPr>
          <w:rFonts w:eastAsia="Times New Roman"/>
        </w:rPr>
      </w:pPr>
    </w:p>
    <w:p w:rsidR="00000000" w:rsidRDefault="00131F06">
      <w:pPr>
        <w:ind w:firstLine="540"/>
        <w:divId w:val="1017267521"/>
        <w:rPr>
          <w:rFonts w:eastAsia="Times New Roman"/>
        </w:rPr>
      </w:pPr>
      <w:r>
        <w:rPr>
          <w:rFonts w:ascii="Arial" w:eastAsia="Times New Roman" w:hAnsi="Arial" w:cs="Arial"/>
          <w:b/>
          <w:bCs/>
          <w:color w:val="000000"/>
          <w:sz w:val="20"/>
          <w:szCs w:val="20"/>
        </w:rPr>
        <w:t>LONG-TERM DEBT REPAYMENTS</w:t>
      </w:r>
    </w:p>
    <w:p w:rsidR="00000000" w:rsidRDefault="00131F06">
      <w:pPr>
        <w:divId w:val="2085176239"/>
        <w:rPr>
          <w:rFonts w:eastAsia="Times New Roman"/>
        </w:rPr>
      </w:pPr>
      <w:r>
        <w:rPr>
          <w:rFonts w:ascii="Arial" w:eastAsia="Times New Roman" w:hAnsi="Arial" w:cs="Arial"/>
          <w:color w:val="000000"/>
          <w:sz w:val="20"/>
          <w:szCs w:val="20"/>
        </w:rPr>
        <w:t>During the nine months ended September 30, 2022, we completed the following long-term debt repayments totaling</w:t>
      </w:r>
      <w:r>
        <w:rPr>
          <w:rFonts w:ascii="Arial" w:eastAsia="Times New Roman" w:hAnsi="Arial" w:cs="Arial"/>
          <w:color w:val="000000"/>
          <w:sz w:val="20"/>
          <w:szCs w:val="20"/>
        </w:rPr>
        <w:t xml:space="preserve"> US$1.5 billion and $0.3 billion: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6"/>
        <w:gridCol w:w="87"/>
        <w:gridCol w:w="456"/>
        <w:gridCol w:w="36"/>
        <w:gridCol w:w="63"/>
        <w:gridCol w:w="4336"/>
        <w:gridCol w:w="37"/>
        <w:gridCol w:w="64"/>
        <w:gridCol w:w="968"/>
        <w:gridCol w:w="36"/>
      </w:tblGrid>
      <w:tr w:rsidR="00000000">
        <w:trPr>
          <w:divId w:val="1985314287"/>
        </w:trPr>
        <w:tc>
          <w:tcPr>
            <w:tcW w:w="50" w:type="pct"/>
            <w:vAlign w:val="center"/>
            <w:hideMark/>
          </w:tcPr>
          <w:p w:rsidR="00000000" w:rsidRDefault="00131F06">
            <w:pPr>
              <w:rPr>
                <w:rFonts w:eastAsia="Times New Roman"/>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6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621"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9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985314287"/>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985314287"/>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1985314287"/>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985314287"/>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131F06">
            <w:pPr>
              <w:spacing w:after="100"/>
              <w:divId w:val="930427727"/>
              <w:rPr>
                <w:rFonts w:eastAsia="Times New Roman"/>
              </w:rPr>
            </w:pPr>
            <w:r>
              <w:rPr>
                <w:rFonts w:ascii="Arial" w:eastAsia="Times New Roman" w:hAnsi="Arial" w:cs="Arial"/>
                <w:color w:val="000000"/>
                <w:sz w:val="18"/>
                <w:szCs w:val="18"/>
              </w:rPr>
              <w:t>Floating rate note</w:t>
            </w:r>
            <w:r>
              <w:rPr>
                <w:rFonts w:ascii="Arial" w:eastAsia="Times New Roman" w:hAnsi="Arial" w:cs="Arial"/>
                <w:color w:val="000000"/>
                <w:sz w:val="18"/>
                <w:szCs w:val="18"/>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US$750</w:t>
            </w:r>
          </w:p>
        </w:tc>
      </w:tr>
      <w:tr w:rsidR="00000000">
        <w:trPr>
          <w:divId w:val="1985314287"/>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$200</w:t>
            </w:r>
          </w:p>
        </w:tc>
      </w:tr>
      <w:tr w:rsidR="00000000">
        <w:trPr>
          <w:divId w:val="1985314287"/>
        </w:trPr>
        <w:tc>
          <w:tcPr>
            <w:tcW w:w="0" w:type="auto"/>
            <w:gridSpan w:val="3"/>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July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2.90%</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 due July 2022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US$700</w:t>
            </w:r>
          </w:p>
        </w:tc>
      </w:tr>
      <w:tr w:rsidR="00000000">
        <w:trPr>
          <w:divId w:val="1985314287"/>
        </w:trPr>
        <w:tc>
          <w:tcPr>
            <w:tcW w:w="0" w:type="auto"/>
            <w:gridSpan w:val="3"/>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1985314287"/>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1985314287"/>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985314287"/>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April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$125</w:t>
            </w:r>
          </w:p>
        </w:tc>
      </w:tr>
      <w:tr w:rsidR="00000000">
        <w:trPr>
          <w:divId w:val="1985314287"/>
        </w:trPr>
        <w:tc>
          <w:tcPr>
            <w:tcW w:w="0" w:type="auto"/>
            <w:gridSpan w:val="12"/>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Pipelines (Southern Lights) L.L.C.</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1985314287"/>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June 2022</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3.98%</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US$34</w:t>
            </w:r>
          </w:p>
        </w:tc>
      </w:tr>
      <w:tr w:rsidR="00000000">
        <w:trPr>
          <w:divId w:val="1985314287"/>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Enbridge Southern Lights LP</w:t>
            </w: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1985314287"/>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June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4.01%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8"/>
                <w:szCs w:val="18"/>
              </w:rPr>
              <w:t>senior notes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18"/>
                <w:szCs w:val="18"/>
              </w:rPr>
              <w:t>$9</w:t>
            </w:r>
          </w:p>
        </w:tc>
      </w:tr>
      <w:tr w:rsidR="00000000">
        <w:trPr>
          <w:divId w:val="1985314287"/>
        </w:trPr>
        <w:tc>
          <w:tcPr>
            <w:tcW w:w="0" w:type="auto"/>
            <w:gridSpan w:val="3"/>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1985314287"/>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bl>
    <w:p w:rsidR="00000000" w:rsidRDefault="00131F06">
      <w:pPr>
        <w:ind w:hanging="180"/>
        <w:divId w:val="204717101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carried an interest rate set to equal the three-month London Interbank Offered Rate plus a margin of 50 basis points.</w:t>
      </w:r>
    </w:p>
    <w:p w:rsidR="00000000" w:rsidRDefault="00131F06">
      <w:pPr>
        <w:divId w:val="109326213"/>
        <w:rPr>
          <w:rFonts w:eastAsia="Times New Roman"/>
        </w:rPr>
      </w:pPr>
    </w:p>
    <w:p w:rsidR="00000000" w:rsidRDefault="00131F06">
      <w:pPr>
        <w:divId w:val="475072464"/>
        <w:rPr>
          <w:rFonts w:eastAsia="Times New Roman"/>
        </w:rPr>
      </w:pPr>
      <w:r>
        <w:rPr>
          <w:rFonts w:ascii="Arial" w:eastAsia="Times New Roman" w:hAnsi="Arial" w:cs="Arial"/>
          <w:color w:val="000000"/>
          <w:sz w:val="20"/>
          <w:szCs w:val="20"/>
        </w:rPr>
        <w:t>Strong internal cash flow, ready access to liquidity from diversified sources and a stable business model have enabled us to manage our credit profile. We actively monitor and manage key financial metrics with the objective of sustaining investment grade c</w:t>
      </w:r>
      <w:r>
        <w:rPr>
          <w:rFonts w:ascii="Arial" w:eastAsia="Times New Roman" w:hAnsi="Arial" w:cs="Arial"/>
          <w:color w:val="000000"/>
          <w:sz w:val="20"/>
          <w:szCs w:val="20"/>
        </w:rPr>
        <w:t>redit ratings from the major credit rating agencies and ongoing access to bank funding and term debt capital on attractive terms. Key measures of financial strength that are closely managed include the ability to service debt obligations from operating cas</w:t>
      </w:r>
      <w:r>
        <w:rPr>
          <w:rFonts w:ascii="Arial" w:eastAsia="Times New Roman" w:hAnsi="Arial" w:cs="Arial"/>
          <w:color w:val="000000"/>
          <w:sz w:val="20"/>
          <w:szCs w:val="20"/>
        </w:rPr>
        <w:t>h flow and the ratio of debt to EBITDA.</w:t>
      </w:r>
    </w:p>
    <w:p w:rsidR="00000000" w:rsidRDefault="00131F06">
      <w:pPr>
        <w:divId w:val="1035228854"/>
        <w:rPr>
          <w:rFonts w:eastAsia="Times New Roman"/>
        </w:rPr>
      </w:pPr>
    </w:p>
    <w:p w:rsidR="00000000" w:rsidRDefault="00131F06">
      <w:pPr>
        <w:jc w:val="center"/>
        <w:divId w:val="763647006"/>
        <w:rPr>
          <w:rFonts w:eastAsia="Times New Roman"/>
        </w:rPr>
      </w:pPr>
      <w:r>
        <w:rPr>
          <w:rFonts w:ascii="Arial" w:eastAsia="Times New Roman" w:hAnsi="Arial" w:cs="Arial"/>
          <w:color w:val="000000"/>
          <w:sz w:val="20"/>
          <w:szCs w:val="20"/>
        </w:rPr>
        <w:t>54</w:t>
      </w:r>
    </w:p>
    <w:p w:rsidR="00000000" w:rsidRDefault="00131F06">
      <w:pPr>
        <w:rPr>
          <w:rFonts w:eastAsia="Times New Roman"/>
        </w:rPr>
      </w:pPr>
      <w:r>
        <w:rPr>
          <w:rFonts w:eastAsia="Times New Roman"/>
        </w:rPr>
        <w:pict>
          <v:rect id="_x0000_i1079" style="width:0;height:1.5pt" o:hralign="center" o:hrstd="t" o:hr="t" fillcolor="#a0a0a0" stroked="f"/>
        </w:pict>
      </w:r>
    </w:p>
    <w:p w:rsidR="00000000" w:rsidRDefault="00131F06">
      <w:pPr>
        <w:jc w:val="center"/>
        <w:divId w:val="1623733558"/>
        <w:rPr>
          <w:rFonts w:eastAsia="Times New Roman"/>
        </w:rPr>
      </w:pPr>
    </w:p>
    <w:p w:rsidR="00000000" w:rsidRDefault="00131F06">
      <w:pPr>
        <w:divId w:val="1626353713"/>
        <w:rPr>
          <w:rFonts w:eastAsia="Times New Roman"/>
        </w:rPr>
      </w:pPr>
      <w:r>
        <w:rPr>
          <w:rFonts w:ascii="Arial" w:eastAsia="Times New Roman" w:hAnsi="Arial" w:cs="Arial"/>
          <w:color w:val="000000"/>
          <w:sz w:val="20"/>
          <w:szCs w:val="20"/>
        </w:rPr>
        <w:t>There are no material restrictions on our cash. Total restricted cash of $36 million, as reported on the Consolidated Statements of Financial Position, primarily includes c</w:t>
      </w:r>
      <w:r>
        <w:rPr>
          <w:rFonts w:ascii="Arial" w:eastAsia="Times New Roman" w:hAnsi="Arial" w:cs="Arial"/>
          <w:color w:val="000000"/>
          <w:sz w:val="20"/>
          <w:szCs w:val="20"/>
        </w:rPr>
        <w:t>ash collateral, future pipeline abandonment costs collected and held in trust, amounts received in respect of specific shipper commitments and capital projects. Cash and cash equivalents held by certain subsidiaries may not be readily accessible for altern</w:t>
      </w:r>
      <w:r>
        <w:rPr>
          <w:rFonts w:ascii="Arial" w:eastAsia="Times New Roman" w:hAnsi="Arial" w:cs="Arial"/>
          <w:color w:val="000000"/>
          <w:sz w:val="20"/>
          <w:szCs w:val="20"/>
        </w:rPr>
        <w:t>ative uses by us.</w:t>
      </w:r>
    </w:p>
    <w:p w:rsidR="00000000" w:rsidRDefault="00131F06">
      <w:pPr>
        <w:divId w:val="1319309951"/>
        <w:rPr>
          <w:rFonts w:eastAsia="Times New Roman"/>
        </w:rPr>
      </w:pPr>
    </w:p>
    <w:p w:rsidR="00000000" w:rsidRDefault="00131F06">
      <w:pPr>
        <w:divId w:val="461271604"/>
        <w:rPr>
          <w:rFonts w:eastAsia="Times New Roman"/>
        </w:rPr>
      </w:pPr>
      <w:r>
        <w:rPr>
          <w:rFonts w:ascii="Arial" w:eastAsia="Times New Roman" w:hAnsi="Arial" w:cs="Arial"/>
          <w:color w:val="000000"/>
          <w:sz w:val="20"/>
          <w:szCs w:val="20"/>
        </w:rPr>
        <w:t>Excluding current maturities of long-term debt, as at September 30, 2022 and December 31, 2021, we had negative working capital position of $0.7 billion and $3.1 billion. In both periods, the major contributing factor to the negative wo</w:t>
      </w:r>
      <w:r>
        <w:rPr>
          <w:rFonts w:ascii="Arial" w:eastAsia="Times New Roman" w:hAnsi="Arial" w:cs="Arial"/>
          <w:color w:val="000000"/>
          <w:sz w:val="20"/>
          <w:szCs w:val="20"/>
        </w:rPr>
        <w:t>rking capital position was the ongoing funding of our growth capital program. We maintain significant liquidity in the form of committed credit facilities and other sources as previously discussed, which enable the funding of liabilities as they become due</w:t>
      </w:r>
      <w:r>
        <w:rPr>
          <w:rFonts w:ascii="Arial" w:eastAsia="Times New Roman" w:hAnsi="Arial" w:cs="Arial"/>
          <w:color w:val="000000"/>
          <w:sz w:val="20"/>
          <w:szCs w:val="20"/>
        </w:rPr>
        <w:t xml:space="preserve">. </w:t>
      </w:r>
    </w:p>
    <w:p w:rsidR="00000000" w:rsidRDefault="00131F06">
      <w:pPr>
        <w:divId w:val="1756200636"/>
        <w:rPr>
          <w:rFonts w:eastAsia="Times New Roman"/>
        </w:rPr>
      </w:pPr>
    </w:p>
    <w:p w:rsidR="00000000" w:rsidRDefault="00131F06">
      <w:pPr>
        <w:divId w:val="387148644"/>
        <w:rPr>
          <w:rFonts w:eastAsia="Times New Roman"/>
        </w:rPr>
      </w:pPr>
      <w:r>
        <w:rPr>
          <w:rFonts w:ascii="Arial" w:eastAsia="Times New Roman" w:hAnsi="Arial" w:cs="Arial"/>
          <w:b/>
          <w:bCs/>
          <w:color w:val="000000"/>
          <w:sz w:val="26"/>
          <w:szCs w:val="26"/>
        </w:rPr>
        <w:t>SOURCES AND USES OF CASH</w:t>
      </w:r>
    </w:p>
    <w:p w:rsidR="00000000" w:rsidRDefault="00131F06">
      <w:pPr>
        <w:divId w:val="147522420"/>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58"/>
        <w:gridCol w:w="5613"/>
        <w:gridCol w:w="38"/>
        <w:gridCol w:w="36"/>
        <w:gridCol w:w="36"/>
        <w:gridCol w:w="907"/>
        <w:gridCol w:w="60"/>
        <w:gridCol w:w="712"/>
        <w:gridCol w:w="36"/>
        <w:gridCol w:w="60"/>
        <w:gridCol w:w="714"/>
        <w:gridCol w:w="36"/>
      </w:tblGrid>
      <w:tr w:rsidR="00000000">
        <w:trPr>
          <w:divId w:val="1950043405"/>
        </w:trPr>
        <w:tc>
          <w:tcPr>
            <w:tcW w:w="50" w:type="pct"/>
            <w:vAlign w:val="center"/>
            <w:hideMark/>
          </w:tcPr>
          <w:p w:rsidR="00000000" w:rsidRDefault="00131F06">
            <w:pPr>
              <w:rPr>
                <w:rFonts w:eastAsia="Times New Roman"/>
              </w:rPr>
            </w:pPr>
          </w:p>
        </w:tc>
        <w:tc>
          <w:tcPr>
            <w:tcW w:w="383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49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1950043405"/>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131F06">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r>
      <w:tr w:rsidR="00000000">
        <w:trPr>
          <w:divId w:val="1950043405"/>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2021</w:t>
            </w:r>
          </w:p>
        </w:tc>
      </w:tr>
      <w:tr w:rsidR="00000000">
        <w:trPr>
          <w:divId w:val="195004340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
                <w:szCs w:val="2"/>
              </w:rPr>
              <w:t> </w:t>
            </w:r>
          </w:p>
        </w:tc>
      </w:tr>
      <w:tr w:rsidR="00000000">
        <w:trPr>
          <w:divId w:val="1950043405"/>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Operating activities</w:t>
            </w:r>
          </w:p>
        </w:tc>
        <w:tc>
          <w:tcPr>
            <w:tcW w:w="0" w:type="auto"/>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7,617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7,366 </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950043405"/>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Investing activities</w:t>
            </w:r>
          </w:p>
        </w:tc>
        <w:tc>
          <w:tcPr>
            <w:tcW w:w="0" w:type="auto"/>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(3,158)</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(5,907)</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950043405"/>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Financing activities</w:t>
            </w:r>
          </w:p>
        </w:tc>
        <w:tc>
          <w:tcPr>
            <w:tcW w:w="0" w:type="auto"/>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(3,785)</w:t>
            </w:r>
          </w:p>
        </w:tc>
        <w:tc>
          <w:tcPr>
            <w:tcW w:w="0" w:type="auto"/>
            <w:shd w:val="clear" w:color="auto" w:fill="D9D9D9"/>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(1,422)</w:t>
            </w:r>
          </w:p>
        </w:tc>
        <w:tc>
          <w:tcPr>
            <w:tcW w:w="0" w:type="auto"/>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divId w:val="1950043405"/>
        </w:trPr>
        <w:tc>
          <w:tcPr>
            <w:tcW w:w="0" w:type="auto"/>
            <w:gridSpan w:val="3"/>
            <w:tcMar>
              <w:top w:w="30" w:type="dxa"/>
              <w:left w:w="20" w:type="dxa"/>
              <w:bottom w:w="30" w:type="dxa"/>
              <w:right w:w="20" w:type="dxa"/>
            </w:tcMar>
            <w:vAlign w:val="center"/>
            <w:hideMark/>
          </w:tcPr>
          <w:p w:rsidR="00000000" w:rsidRDefault="00131F06">
            <w:pPr>
              <w:spacing w:after="100"/>
              <w:ind w:hanging="180"/>
              <w:divId w:val="317618675"/>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vAlign w:val="center"/>
            <w:hideMark/>
          </w:tcPr>
          <w:p w:rsidR="00000000" w:rsidRDefault="00131F06">
            <w:pPr>
              <w:spacing w:after="100"/>
              <w:ind w:hanging="18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195004340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Net change in cash and cash equivalents and restricted cash</w:t>
            </w:r>
          </w:p>
        </w:tc>
        <w:tc>
          <w:tcPr>
            <w:tcW w:w="0" w:type="auto"/>
            <w:vAlign w:val="center"/>
            <w:hideMark/>
          </w:tcPr>
          <w:p w:rsidR="00000000" w:rsidRDefault="00131F06">
            <w:pPr>
              <w:spacing w:after="100"/>
              <w:rPr>
                <w:rFonts w:eastAsia="Times New Roman"/>
              </w:rPr>
            </w:pPr>
          </w:p>
        </w:tc>
        <w:tc>
          <w:tcPr>
            <w:tcW w:w="0" w:type="auto"/>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2"/>
            <w:tcBorders>
              <w:top w:val="single" w:sz="4" w:space="0" w:color="000000"/>
              <w:bottom w:val="single" w:sz="8" w:space="0" w:color="000000"/>
            </w:tcBorders>
            <w:shd w:val="clear" w:color="auto" w:fill="DDDDDD"/>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737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DDDDD"/>
            <w:tcMar>
              <w:top w:w="30" w:type="dxa"/>
              <w:left w:w="0" w:type="dxa"/>
              <w:bottom w:w="30" w:type="dxa"/>
              <w:right w:w="20" w:type="dxa"/>
            </w:tcMar>
            <w:vAlign w:val="center"/>
            <w:hideMark/>
          </w:tcPr>
          <w:p w:rsidR="00000000" w:rsidRDefault="00131F06">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25 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2064284927"/>
        <w:rPr>
          <w:rFonts w:eastAsia="Times New Roman"/>
        </w:rPr>
      </w:pPr>
    </w:p>
    <w:p w:rsidR="00000000" w:rsidRDefault="00131F06">
      <w:pPr>
        <w:divId w:val="2018464086"/>
        <w:rPr>
          <w:rFonts w:eastAsia="Times New Roman"/>
        </w:rPr>
      </w:pPr>
      <w:r>
        <w:rPr>
          <w:rFonts w:ascii="Arial" w:eastAsia="Times New Roman" w:hAnsi="Arial" w:cs="Arial"/>
          <w:color w:val="000000"/>
          <w:sz w:val="20"/>
          <w:szCs w:val="20"/>
        </w:rPr>
        <w:t>Significant sources and uses of cash for the nine months ended September 30, 2022 and 2021 are summarized below:</w:t>
      </w:r>
    </w:p>
    <w:p w:rsidR="00000000" w:rsidRDefault="00131F06">
      <w:pPr>
        <w:divId w:val="1629119269"/>
        <w:rPr>
          <w:rFonts w:eastAsia="Times New Roman"/>
        </w:rPr>
      </w:pPr>
    </w:p>
    <w:p w:rsidR="00000000" w:rsidRDefault="00131F06">
      <w:pPr>
        <w:divId w:val="521018993"/>
        <w:rPr>
          <w:rFonts w:eastAsia="Times New Roman"/>
        </w:rPr>
      </w:pPr>
      <w:r>
        <w:rPr>
          <w:rFonts w:ascii="Arial" w:eastAsia="Times New Roman" w:hAnsi="Arial" w:cs="Arial"/>
          <w:b/>
          <w:bCs/>
          <w:color w:val="000000"/>
          <w:sz w:val="20"/>
          <w:szCs w:val="20"/>
        </w:rPr>
        <w:t>Operating Activities</w:t>
      </w:r>
    </w:p>
    <w:p w:rsidR="00000000" w:rsidRDefault="00131F06">
      <w:pPr>
        <w:divId w:val="2007054117"/>
        <w:rPr>
          <w:rFonts w:eastAsia="Times New Roman"/>
        </w:rPr>
      </w:pPr>
      <w:r>
        <w:rPr>
          <w:rFonts w:ascii="Arial" w:eastAsia="Times New Roman" w:hAnsi="Arial" w:cs="Arial"/>
          <w:color w:val="000000"/>
          <w:sz w:val="2"/>
          <w:szCs w:val="2"/>
        </w:rPr>
        <w:t> </w:t>
      </w:r>
    </w:p>
    <w:p w:rsidR="00000000" w:rsidRDefault="00131F06">
      <w:pPr>
        <w:divId w:val="699091884"/>
        <w:rPr>
          <w:rFonts w:eastAsia="Times New Roman"/>
        </w:rPr>
      </w:pPr>
      <w:r>
        <w:rPr>
          <w:rFonts w:ascii="Arial" w:eastAsia="Times New Roman" w:hAnsi="Arial" w:cs="Arial"/>
          <w:color w:val="000000"/>
          <w:sz w:val="20"/>
          <w:szCs w:val="20"/>
        </w:rPr>
        <w:t>Typically, the primary factors impacting cash flow from operating activities period-over-period include changes in our</w:t>
      </w:r>
      <w:r>
        <w:rPr>
          <w:rFonts w:ascii="Arial" w:eastAsia="Times New Roman" w:hAnsi="Arial" w:cs="Arial"/>
          <w:color w:val="000000"/>
          <w:sz w:val="20"/>
          <w:szCs w:val="20"/>
        </w:rPr>
        <w:t xml:space="preserve"> operating assets and liabilities in the normal course due to various factors, including the impact of fluctuations in commodity prices and activity levels on working capital within our business segments, the timing of tax payments, as well as timing of ca</w:t>
      </w:r>
      <w:r>
        <w:rPr>
          <w:rFonts w:ascii="Arial" w:eastAsia="Times New Roman" w:hAnsi="Arial" w:cs="Arial"/>
          <w:color w:val="000000"/>
          <w:sz w:val="20"/>
          <w:szCs w:val="20"/>
        </w:rPr>
        <w:t xml:space="preserve">sh receipts and payments generally. Cash provided by operating activities is also impacted by changes in earnings and certain infrequent or other non-operating factors, as discussed under </w:t>
      </w:r>
      <w:r>
        <w:rPr>
          <w:rFonts w:ascii="Arial" w:eastAsia="Times New Roman" w:hAnsi="Arial" w:cs="Arial"/>
          <w:i/>
          <w:iCs/>
          <w:color w:val="000000"/>
          <w:sz w:val="20"/>
          <w:szCs w:val="20"/>
        </w:rPr>
        <w:t>Results of Operations.</w:t>
      </w:r>
    </w:p>
    <w:p w:rsidR="00000000" w:rsidRDefault="00131F06">
      <w:pPr>
        <w:divId w:val="640840370"/>
        <w:rPr>
          <w:rFonts w:eastAsia="Times New Roman"/>
        </w:rPr>
      </w:pPr>
    </w:p>
    <w:p w:rsidR="00000000" w:rsidRDefault="00131F06">
      <w:pPr>
        <w:divId w:val="1399783919"/>
        <w:rPr>
          <w:rFonts w:eastAsia="Times New Roman"/>
        </w:rPr>
      </w:pPr>
      <w:r>
        <w:rPr>
          <w:rFonts w:ascii="Arial" w:eastAsia="Times New Roman" w:hAnsi="Arial" w:cs="Arial"/>
          <w:b/>
          <w:bCs/>
          <w:color w:val="000000"/>
          <w:sz w:val="20"/>
          <w:szCs w:val="20"/>
        </w:rPr>
        <w:t>Investing Activities</w:t>
      </w:r>
    </w:p>
    <w:p w:rsidR="00000000" w:rsidRDefault="00131F06">
      <w:pPr>
        <w:divId w:val="1217278410"/>
        <w:rPr>
          <w:rFonts w:eastAsia="Times New Roman"/>
        </w:rPr>
      </w:pPr>
      <w:r>
        <w:rPr>
          <w:rFonts w:ascii="Arial" w:eastAsia="Times New Roman" w:hAnsi="Arial" w:cs="Arial"/>
          <w:color w:val="000000"/>
          <w:sz w:val="20"/>
          <w:szCs w:val="20"/>
        </w:rPr>
        <w:t xml:space="preserve">Cash used in investing activities primarily relates to capital expenditures to execute our capital program, which is further described in </w:t>
      </w:r>
      <w:r>
        <w:rPr>
          <w:rFonts w:ascii="Arial" w:eastAsia="Times New Roman" w:hAnsi="Arial" w:cs="Arial"/>
          <w:i/>
          <w:iCs/>
          <w:color w:val="000000"/>
          <w:sz w:val="20"/>
          <w:szCs w:val="20"/>
        </w:rPr>
        <w:t>Growth Projects - Commercially Secured Projects</w:t>
      </w:r>
      <w:r>
        <w:rPr>
          <w:rFonts w:ascii="Arial" w:eastAsia="Times New Roman" w:hAnsi="Arial" w:cs="Arial"/>
          <w:color w:val="000000"/>
          <w:sz w:val="20"/>
          <w:szCs w:val="20"/>
        </w:rPr>
        <w:t>. The timing of project approval, construction and in-service dates imp</w:t>
      </w:r>
      <w:r>
        <w:rPr>
          <w:rFonts w:ascii="Arial" w:eastAsia="Times New Roman" w:hAnsi="Arial" w:cs="Arial"/>
          <w:color w:val="000000"/>
          <w:sz w:val="20"/>
          <w:szCs w:val="20"/>
        </w:rPr>
        <w:t>acts the timing of cash requirements. Factors impacting the decrease in cash used in investing activities period-over-period primarily include:</w:t>
      </w:r>
    </w:p>
    <w:p w:rsidR="00000000" w:rsidRDefault="00131F06">
      <w:pPr>
        <w:divId w:val="767386863"/>
        <w:rPr>
          <w:rFonts w:eastAsia="Times New Roman"/>
        </w:rPr>
      </w:pPr>
    </w:p>
    <w:p w:rsidR="00000000" w:rsidRDefault="00131F06">
      <w:pPr>
        <w:ind w:hanging="180"/>
        <w:divId w:val="1474133962"/>
        <w:rPr>
          <w:rFonts w:eastAsia="Times New Roman"/>
        </w:rPr>
      </w:pPr>
      <w:r>
        <w:rPr>
          <w:rFonts w:ascii="Arial" w:eastAsia="Times New Roman" w:hAnsi="Arial" w:cs="Arial"/>
          <w:color w:val="000000"/>
          <w:sz w:val="20"/>
          <w:szCs w:val="20"/>
        </w:rPr>
        <w:t>•lower capital expenditures due to the US L3R Program that was placed into service in the fourth quarter of 20</w:t>
      </w:r>
      <w:r>
        <w:rPr>
          <w:rFonts w:ascii="Arial" w:eastAsia="Times New Roman" w:hAnsi="Arial" w:cs="Arial"/>
          <w:color w:val="000000"/>
          <w:sz w:val="20"/>
          <w:szCs w:val="20"/>
        </w:rPr>
        <w:t>21; and</w:t>
      </w:r>
    </w:p>
    <w:p w:rsidR="00000000" w:rsidRDefault="00131F06">
      <w:pPr>
        <w:ind w:hanging="180"/>
        <w:divId w:val="103043181"/>
        <w:rPr>
          <w:rFonts w:eastAsia="Times New Roman"/>
        </w:rPr>
      </w:pPr>
      <w:r>
        <w:rPr>
          <w:rFonts w:ascii="Arial" w:eastAsia="Times New Roman" w:hAnsi="Arial" w:cs="Arial"/>
          <w:color w:val="000000"/>
          <w:sz w:val="20"/>
          <w:szCs w:val="20"/>
        </w:rPr>
        <w:t>•proceeds from the completion of a joint venture merger transaction for DCP Midstream LLC in August 2022.</w:t>
      </w:r>
    </w:p>
    <w:p w:rsidR="00000000" w:rsidRDefault="00131F06">
      <w:pPr>
        <w:divId w:val="303895591"/>
        <w:rPr>
          <w:rFonts w:eastAsia="Times New Roman"/>
        </w:rPr>
      </w:pPr>
    </w:p>
    <w:p w:rsidR="00000000" w:rsidRDefault="00131F06">
      <w:pPr>
        <w:divId w:val="474372011"/>
        <w:rPr>
          <w:rFonts w:eastAsia="Times New Roman"/>
        </w:rPr>
      </w:pPr>
      <w:r>
        <w:rPr>
          <w:rFonts w:ascii="Arial" w:eastAsia="Times New Roman" w:hAnsi="Arial" w:cs="Arial"/>
          <w:color w:val="000000"/>
          <w:sz w:val="20"/>
          <w:szCs w:val="20"/>
        </w:rPr>
        <w:t>The factors above were partially offset by:</w:t>
      </w:r>
    </w:p>
    <w:p w:rsidR="00000000" w:rsidRDefault="00131F06">
      <w:pPr>
        <w:divId w:val="1471629092"/>
        <w:rPr>
          <w:rFonts w:eastAsia="Times New Roman"/>
        </w:rPr>
      </w:pPr>
    </w:p>
    <w:p w:rsidR="00000000" w:rsidRDefault="00131F06">
      <w:pPr>
        <w:ind w:hanging="180"/>
        <w:divId w:val="1468011924"/>
        <w:rPr>
          <w:rFonts w:eastAsia="Times New Roman"/>
        </w:rPr>
      </w:pPr>
      <w:r>
        <w:rPr>
          <w:rFonts w:ascii="Arial" w:eastAsia="Times New Roman" w:hAnsi="Arial" w:cs="Arial"/>
          <w:color w:val="000000"/>
          <w:sz w:val="20"/>
          <w:szCs w:val="20"/>
        </w:rPr>
        <w:t>•increased contributions made to our equity investment in Bakken Pipeline System due to debt s</w:t>
      </w:r>
      <w:r>
        <w:rPr>
          <w:rFonts w:ascii="Arial" w:eastAsia="Times New Roman" w:hAnsi="Arial" w:cs="Arial"/>
          <w:color w:val="000000"/>
          <w:sz w:val="20"/>
          <w:szCs w:val="20"/>
        </w:rPr>
        <w:t>ervicing requirements;</w:t>
      </w:r>
    </w:p>
    <w:p w:rsidR="00000000" w:rsidRDefault="00131F06">
      <w:pPr>
        <w:ind w:hanging="180"/>
        <w:divId w:val="1810590955"/>
        <w:rPr>
          <w:rFonts w:eastAsia="Times New Roman"/>
        </w:rPr>
      </w:pPr>
      <w:r>
        <w:rPr>
          <w:rFonts w:ascii="Arial" w:eastAsia="Times New Roman" w:hAnsi="Arial" w:cs="Arial"/>
          <w:color w:val="000000"/>
          <w:sz w:val="20"/>
          <w:szCs w:val="20"/>
        </w:rPr>
        <w:t>•our acquisition of TGE in September 2022; and</w:t>
      </w:r>
    </w:p>
    <w:p w:rsidR="00000000" w:rsidRDefault="00131F06">
      <w:pPr>
        <w:ind w:hanging="180"/>
        <w:divId w:val="226231977"/>
        <w:rPr>
          <w:rFonts w:eastAsia="Times New Roman"/>
        </w:rPr>
      </w:pPr>
      <w:r>
        <w:rPr>
          <w:rFonts w:ascii="Arial" w:eastAsia="Times New Roman" w:hAnsi="Arial" w:cs="Arial"/>
          <w:color w:val="000000"/>
          <w:sz w:val="20"/>
          <w:szCs w:val="20"/>
        </w:rPr>
        <w:t>•increased investments held by our wholly-owned captive insurance subsidiaries.</w:t>
      </w:r>
    </w:p>
    <w:p w:rsidR="00000000" w:rsidRDefault="00131F06">
      <w:pPr>
        <w:divId w:val="330523989"/>
        <w:rPr>
          <w:rFonts w:eastAsia="Times New Roman"/>
        </w:rPr>
      </w:pPr>
    </w:p>
    <w:p w:rsidR="00000000" w:rsidRDefault="00131F06">
      <w:pPr>
        <w:jc w:val="center"/>
        <w:divId w:val="638923401"/>
        <w:rPr>
          <w:rFonts w:eastAsia="Times New Roman"/>
        </w:rPr>
      </w:pPr>
      <w:r>
        <w:rPr>
          <w:rFonts w:ascii="Arial" w:eastAsia="Times New Roman" w:hAnsi="Arial" w:cs="Arial"/>
          <w:color w:val="000000"/>
          <w:sz w:val="20"/>
          <w:szCs w:val="20"/>
        </w:rPr>
        <w:t>55</w:t>
      </w:r>
    </w:p>
    <w:p w:rsidR="00000000" w:rsidRDefault="00131F06">
      <w:pPr>
        <w:rPr>
          <w:rFonts w:eastAsia="Times New Roman"/>
        </w:rPr>
      </w:pPr>
      <w:r>
        <w:rPr>
          <w:rFonts w:eastAsia="Times New Roman"/>
        </w:rPr>
        <w:pict>
          <v:rect id="_x0000_i1080" style="width:0;height:1.5pt" o:hralign="center" o:hrstd="t" o:hr="t" fillcolor="#a0a0a0" stroked="f"/>
        </w:pict>
      </w:r>
    </w:p>
    <w:p w:rsidR="00000000" w:rsidRDefault="00131F06">
      <w:pPr>
        <w:jc w:val="center"/>
        <w:divId w:val="1051542933"/>
        <w:rPr>
          <w:rFonts w:eastAsia="Times New Roman"/>
        </w:rPr>
      </w:pPr>
    </w:p>
    <w:p w:rsidR="00000000" w:rsidRDefault="00131F06">
      <w:pPr>
        <w:divId w:val="227305905"/>
        <w:rPr>
          <w:rFonts w:eastAsia="Times New Roman"/>
        </w:rPr>
      </w:pPr>
      <w:r>
        <w:rPr>
          <w:rFonts w:ascii="Arial" w:eastAsia="Times New Roman" w:hAnsi="Arial" w:cs="Arial"/>
          <w:b/>
          <w:bCs/>
          <w:color w:val="000000"/>
          <w:sz w:val="20"/>
          <w:szCs w:val="20"/>
        </w:rPr>
        <w:t>Financing Activities</w:t>
      </w:r>
    </w:p>
    <w:p w:rsidR="00000000" w:rsidRDefault="00131F06">
      <w:pPr>
        <w:divId w:val="1455054117"/>
        <w:rPr>
          <w:rFonts w:eastAsia="Times New Roman"/>
        </w:rPr>
      </w:pPr>
      <w:r>
        <w:rPr>
          <w:rFonts w:ascii="Arial" w:eastAsia="Times New Roman" w:hAnsi="Arial" w:cs="Arial"/>
          <w:color w:val="000000"/>
          <w:sz w:val="20"/>
          <w:szCs w:val="20"/>
        </w:rPr>
        <w:t>Cash used in financing activities primari</w:t>
      </w:r>
      <w:r>
        <w:rPr>
          <w:rFonts w:ascii="Arial" w:eastAsia="Times New Roman" w:hAnsi="Arial" w:cs="Arial"/>
          <w:color w:val="000000"/>
          <w:sz w:val="20"/>
          <w:szCs w:val="20"/>
        </w:rPr>
        <w:t>ly relates to issuances and repayments of external debt, as well as transactions with our common and preference shareholders relating to dividends, share issuances, share redemptions and common share repurchases under our NCIB. Cash flow from financing act</w:t>
      </w:r>
      <w:r>
        <w:rPr>
          <w:rFonts w:ascii="Arial" w:eastAsia="Times New Roman" w:hAnsi="Arial" w:cs="Arial"/>
          <w:color w:val="000000"/>
          <w:sz w:val="20"/>
          <w:szCs w:val="20"/>
        </w:rPr>
        <w:t>ivities is also impacted by changes in distributions to, and contributions from, noncontrolling interests. Factors impacting the increase in cash used in financing activities period-over-period primarily include:</w:t>
      </w:r>
    </w:p>
    <w:p w:rsidR="00000000" w:rsidRDefault="00131F06">
      <w:pPr>
        <w:divId w:val="187837877"/>
        <w:rPr>
          <w:rFonts w:eastAsia="Times New Roman"/>
        </w:rPr>
      </w:pPr>
    </w:p>
    <w:p w:rsidR="00000000" w:rsidRDefault="00131F06">
      <w:pPr>
        <w:divId w:val="179201835"/>
        <w:rPr>
          <w:rFonts w:eastAsia="Times New Roman"/>
        </w:rPr>
      </w:pPr>
      <w:r>
        <w:rPr>
          <w:rFonts w:ascii="Arial" w:eastAsia="Times New Roman" w:hAnsi="Arial" w:cs="Arial"/>
          <w:color w:val="000000"/>
          <w:sz w:val="2"/>
          <w:szCs w:val="2"/>
          <w:shd w:val="clear" w:color="auto" w:fill="FFFF00"/>
        </w:rPr>
        <w:t> </w:t>
      </w:r>
    </w:p>
    <w:p w:rsidR="00000000" w:rsidRDefault="00131F06">
      <w:pPr>
        <w:ind w:hanging="180"/>
        <w:divId w:val="2092853474"/>
        <w:rPr>
          <w:rFonts w:eastAsia="Times New Roman"/>
        </w:rPr>
      </w:pPr>
      <w:r>
        <w:rPr>
          <w:rFonts w:ascii="Arial" w:eastAsia="Times New Roman" w:hAnsi="Arial" w:cs="Arial"/>
          <w:color w:val="000000"/>
          <w:sz w:val="20"/>
          <w:szCs w:val="20"/>
        </w:rPr>
        <w:t>•the redemption of Preference Shares, S</w:t>
      </w:r>
      <w:r>
        <w:rPr>
          <w:rFonts w:ascii="Arial" w:eastAsia="Times New Roman" w:hAnsi="Arial" w:cs="Arial"/>
          <w:color w:val="000000"/>
          <w:sz w:val="20"/>
          <w:szCs w:val="20"/>
        </w:rPr>
        <w:t>eries 17 and Series J in the first and second quarters of 2022, respectively;</w:t>
      </w:r>
    </w:p>
    <w:p w:rsidR="00000000" w:rsidRDefault="00131F06">
      <w:pPr>
        <w:ind w:hanging="180"/>
        <w:divId w:val="133132379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lower long-term debt issuances and higher long-term debt repayments in 2022, when compared to the same period in 2021; </w:t>
      </w:r>
    </w:p>
    <w:p w:rsidR="00000000" w:rsidRDefault="00131F06">
      <w:pPr>
        <w:ind w:hanging="180"/>
        <w:divId w:val="533659819"/>
        <w:rPr>
          <w:rFonts w:eastAsia="Times New Roman"/>
        </w:rPr>
      </w:pPr>
      <w:r>
        <w:rPr>
          <w:rFonts w:ascii="Arial" w:eastAsia="Times New Roman" w:hAnsi="Arial" w:cs="Arial"/>
          <w:color w:val="000000"/>
          <w:sz w:val="20"/>
          <w:szCs w:val="20"/>
        </w:rPr>
        <w:t>•the repurchase and cancellation of 2,737,965 common shares under our NCIB for approximately $151 million during the period; and</w:t>
      </w:r>
    </w:p>
    <w:p w:rsidR="00000000" w:rsidRDefault="00131F06">
      <w:pPr>
        <w:ind w:hanging="180"/>
        <w:divId w:val="626200419"/>
        <w:rPr>
          <w:rFonts w:eastAsia="Times New Roman"/>
        </w:rPr>
      </w:pPr>
      <w:r>
        <w:rPr>
          <w:rFonts w:ascii="Arial" w:eastAsia="Times New Roman" w:hAnsi="Arial" w:cs="Arial"/>
          <w:i/>
          <w:iCs/>
          <w:color w:val="000000"/>
          <w:sz w:val="20"/>
          <w:szCs w:val="20"/>
        </w:rPr>
        <w:t>•</w:t>
      </w:r>
      <w:r>
        <w:rPr>
          <w:rFonts w:ascii="Arial" w:eastAsia="Times New Roman" w:hAnsi="Arial" w:cs="Arial"/>
          <w:color w:val="000000"/>
          <w:sz w:val="20"/>
          <w:szCs w:val="20"/>
        </w:rPr>
        <w:t>common</w:t>
      </w:r>
      <w:r>
        <w:rPr>
          <w:rFonts w:ascii="Arial" w:eastAsia="Times New Roman" w:hAnsi="Arial" w:cs="Arial"/>
          <w:color w:val="000000"/>
          <w:sz w:val="20"/>
          <w:szCs w:val="20"/>
        </w:rPr>
        <w:t xml:space="preserve"> share dividend payments increased period-over-period primarily due to the 3% increase in our common share dividend rate.</w:t>
      </w:r>
    </w:p>
    <w:p w:rsidR="00000000" w:rsidRDefault="00131F06">
      <w:pPr>
        <w:divId w:val="1511674805"/>
        <w:rPr>
          <w:rFonts w:eastAsia="Times New Roman"/>
        </w:rPr>
      </w:pPr>
    </w:p>
    <w:p w:rsidR="00000000" w:rsidRDefault="00131F06">
      <w:pPr>
        <w:divId w:val="1806392105"/>
        <w:rPr>
          <w:rFonts w:eastAsia="Times New Roman"/>
        </w:rPr>
      </w:pPr>
      <w:r>
        <w:rPr>
          <w:rFonts w:ascii="Arial" w:eastAsia="Times New Roman" w:hAnsi="Arial" w:cs="Arial"/>
          <w:color w:val="000000"/>
          <w:sz w:val="20"/>
          <w:szCs w:val="20"/>
        </w:rPr>
        <w:t>The factors above were partially offset by:</w:t>
      </w:r>
    </w:p>
    <w:p w:rsidR="00000000" w:rsidRDefault="00131F06">
      <w:pPr>
        <w:divId w:val="1276712708"/>
        <w:rPr>
          <w:rFonts w:eastAsia="Times New Roman"/>
        </w:rPr>
      </w:pPr>
    </w:p>
    <w:p w:rsidR="00000000" w:rsidRDefault="00131F06">
      <w:pPr>
        <w:ind w:hanging="180"/>
        <w:divId w:val="2011105508"/>
        <w:rPr>
          <w:rFonts w:eastAsia="Times New Roman"/>
        </w:rPr>
      </w:pPr>
      <w:r>
        <w:rPr>
          <w:rFonts w:ascii="Arial" w:eastAsia="Times New Roman" w:hAnsi="Arial" w:cs="Arial"/>
          <w:color w:val="000000"/>
          <w:sz w:val="20"/>
          <w:szCs w:val="20"/>
        </w:rPr>
        <w:t>•net commercial paper and credit facility draws in 2022 when compared to net repayment</w:t>
      </w:r>
      <w:r>
        <w:rPr>
          <w:rFonts w:ascii="Arial" w:eastAsia="Times New Roman" w:hAnsi="Arial" w:cs="Arial"/>
          <w:color w:val="000000"/>
          <w:sz w:val="20"/>
          <w:szCs w:val="20"/>
        </w:rPr>
        <w:t>s in the same period in 2021;</w:t>
      </w:r>
    </w:p>
    <w:p w:rsidR="00000000" w:rsidRDefault="00131F06">
      <w:pPr>
        <w:ind w:hanging="180"/>
        <w:divId w:val="385490904"/>
        <w:rPr>
          <w:rFonts w:eastAsia="Times New Roman"/>
        </w:rPr>
      </w:pPr>
      <w:r>
        <w:rPr>
          <w:rFonts w:ascii="Arial" w:eastAsia="Times New Roman" w:hAnsi="Arial" w:cs="Arial"/>
          <w:color w:val="000000"/>
          <w:sz w:val="20"/>
          <w:szCs w:val="20"/>
        </w:rPr>
        <w:t>•higher short-term borrowings in 2022 when compared to the same period in 2021; and</w:t>
      </w:r>
    </w:p>
    <w:p w:rsidR="00000000" w:rsidRDefault="00131F06">
      <w:pPr>
        <w:ind w:hanging="180"/>
        <w:divId w:val="95402482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of the redemption of WEI's preferred shares in the first quarter of 2021.</w:t>
      </w:r>
    </w:p>
    <w:p w:rsidR="00000000" w:rsidRDefault="00131F06">
      <w:pPr>
        <w:divId w:val="851533577"/>
        <w:rPr>
          <w:rFonts w:eastAsia="Times New Roman"/>
        </w:rPr>
      </w:pPr>
    </w:p>
    <w:p w:rsidR="00000000" w:rsidRDefault="00131F06">
      <w:pPr>
        <w:jc w:val="both"/>
        <w:rPr>
          <w:rFonts w:eastAsia="Times New Roman"/>
        </w:rPr>
      </w:pPr>
      <w:r>
        <w:rPr>
          <w:rFonts w:ascii="Arial" w:eastAsia="Times New Roman" w:hAnsi="Arial" w:cs="Arial"/>
          <w:b/>
          <w:bCs/>
          <w:color w:val="000000"/>
          <w:sz w:val="26"/>
          <w:szCs w:val="26"/>
        </w:rPr>
        <w:t>SUMMARIZED FINANCIAL INFORMATION</w:t>
      </w:r>
    </w:p>
    <w:p w:rsidR="00000000" w:rsidRDefault="00131F06">
      <w:pPr>
        <w:divId w:val="1889487854"/>
        <w:rPr>
          <w:rFonts w:eastAsia="Times New Roman"/>
        </w:rPr>
      </w:pPr>
    </w:p>
    <w:p w:rsidR="00000000" w:rsidRDefault="00131F06">
      <w:pPr>
        <w:divId w:val="342711296"/>
        <w:rPr>
          <w:rFonts w:eastAsia="Times New Roman"/>
        </w:rPr>
      </w:pPr>
      <w:r>
        <w:rPr>
          <w:rFonts w:ascii="Arial" w:eastAsia="Times New Roman" w:hAnsi="Arial" w:cs="Arial"/>
          <w:color w:val="000000"/>
          <w:sz w:val="20"/>
          <w:szCs w:val="20"/>
          <w:shd w:val="clear" w:color="auto" w:fill="FFFFFF"/>
        </w:rPr>
        <w:t>On January 22, 2019, Enbridge entered into supplemental indentures with its wholly-owned subsidiaries, Spectra Energy Partners, LP (S</w:t>
      </w:r>
      <w:r>
        <w:rPr>
          <w:rFonts w:ascii="Arial" w:eastAsia="Times New Roman" w:hAnsi="Arial" w:cs="Arial"/>
          <w:color w:val="000000"/>
          <w:sz w:val="20"/>
          <w:szCs w:val="20"/>
          <w:shd w:val="clear" w:color="auto" w:fill="FFFFFF"/>
        </w:rPr>
        <w:t>EP) and Enbridge Energy Partners, L.P. (EEP) (the Partnerships), pursuant to which Enbridge fully and unconditionally guaranteed, on a senior unsecured basis, the payment obligations of the Partnerships with respect to the outstanding series of notes issue</w:t>
      </w:r>
      <w:r>
        <w:rPr>
          <w:rFonts w:ascii="Arial" w:eastAsia="Times New Roman" w:hAnsi="Arial" w:cs="Arial"/>
          <w:color w:val="000000"/>
          <w:sz w:val="20"/>
          <w:szCs w:val="20"/>
          <w:shd w:val="clear" w:color="auto" w:fill="FFFFFF"/>
        </w:rPr>
        <w:t>d under the respective indentures of the Partnerships. Concurrently, the Partnerships entered into a subsidiary guarantee agreement pursuant to which they fully and unconditionally guaranteed, on a senior unsecured basis, the outstanding series of senior n</w:t>
      </w:r>
      <w:r>
        <w:rPr>
          <w:rFonts w:ascii="Arial" w:eastAsia="Times New Roman" w:hAnsi="Arial" w:cs="Arial"/>
          <w:color w:val="000000"/>
          <w:sz w:val="20"/>
          <w:szCs w:val="20"/>
          <w:shd w:val="clear" w:color="auto" w:fill="FFFFFF"/>
        </w:rPr>
        <w:t xml:space="preserve">otes of Enbridge. The Partnerships have also entered into supplemental indentures with Enbridge pursuant to which the Partnerships have issued full and unconditional guarantees, on a senior unsecured basis, of senior notes issued by Enbridge subsequent to </w:t>
      </w:r>
      <w:r>
        <w:rPr>
          <w:rFonts w:ascii="Arial" w:eastAsia="Times New Roman" w:hAnsi="Arial" w:cs="Arial"/>
          <w:color w:val="000000"/>
          <w:sz w:val="20"/>
          <w:szCs w:val="20"/>
          <w:shd w:val="clear" w:color="auto" w:fill="FFFFFF"/>
        </w:rPr>
        <w:t>January 22, 2019. As a result of the guarantees, holders of any of the outstanding guaranteed notes of the Partnerships (the Guaranteed Partnership Notes) are in the same position with respect to the net assets, income and cash flows of Enbridge as holders</w:t>
      </w:r>
      <w:r>
        <w:rPr>
          <w:rFonts w:ascii="Arial" w:eastAsia="Times New Roman" w:hAnsi="Arial" w:cs="Arial"/>
          <w:color w:val="000000"/>
          <w:sz w:val="20"/>
          <w:szCs w:val="20"/>
          <w:shd w:val="clear" w:color="auto" w:fill="FFFFFF"/>
        </w:rPr>
        <w:t xml:space="preserve"> of Enbridge's outstanding guaranteed notes (the Guaranteed Enbridge Notes), and vice versa. Other than the Partnerships, Enbridge subsidiaries (including the subsidiaries of the Partnerships, collectively, the Subsidiary Non-Guarantors), are not parties t</w:t>
      </w:r>
      <w:r>
        <w:rPr>
          <w:rFonts w:ascii="Arial" w:eastAsia="Times New Roman" w:hAnsi="Arial" w:cs="Arial"/>
          <w:color w:val="000000"/>
          <w:sz w:val="20"/>
          <w:szCs w:val="20"/>
          <w:shd w:val="clear" w:color="auto" w:fill="FFFFFF"/>
        </w:rPr>
        <w:t>o the subsidiary guarantee agreement and have not otherwise guaranteed any of Enbridge's outstanding series of senior notes.</w:t>
      </w:r>
    </w:p>
    <w:p w:rsidR="00000000" w:rsidRDefault="00131F06">
      <w:pPr>
        <w:divId w:val="528494954"/>
        <w:rPr>
          <w:rFonts w:eastAsia="Times New Roman"/>
        </w:rPr>
      </w:pPr>
    </w:p>
    <w:p w:rsidR="00000000" w:rsidRDefault="00131F06">
      <w:pPr>
        <w:divId w:val="1379354249"/>
        <w:rPr>
          <w:rFonts w:eastAsia="Times New Roman"/>
        </w:rPr>
      </w:pPr>
      <w:r>
        <w:rPr>
          <w:rFonts w:ascii="Arial" w:eastAsia="Times New Roman" w:hAnsi="Arial" w:cs="Arial"/>
          <w:b/>
          <w:bCs/>
          <w:color w:val="000000"/>
          <w:sz w:val="20"/>
          <w:szCs w:val="20"/>
          <w:shd w:val="clear" w:color="auto" w:fill="FFFFFF"/>
        </w:rPr>
        <w:t>Consenting SEP notes and EEP notes under Guarantee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047"/>
        <w:gridCol w:w="37"/>
        <w:gridCol w:w="69"/>
        <w:gridCol w:w="4048"/>
        <w:gridCol w:w="37"/>
      </w:tblGrid>
      <w:tr w:rsidR="00000000">
        <w:trPr>
          <w:jc w:val="center"/>
        </w:trPr>
        <w:tc>
          <w:tcPr>
            <w:tcW w:w="50" w:type="pct"/>
            <w:vAlign w:val="center"/>
            <w:hideMark/>
          </w:tcPr>
          <w:p w:rsidR="00000000" w:rsidRDefault="00131F06">
            <w:pPr>
              <w:rPr>
                <w:rFonts w:eastAsia="Times New Roman"/>
              </w:rPr>
            </w:pPr>
          </w:p>
        </w:tc>
        <w:tc>
          <w:tcPr>
            <w:tcW w:w="24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4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divId w:val="323821903"/>
              <w:rPr>
                <w:rFonts w:eastAsia="Times New Roman"/>
              </w:rPr>
            </w:pPr>
            <w:r>
              <w:rPr>
                <w:rFonts w:ascii="Arial" w:eastAsia="Times New Roman" w:hAnsi="Arial" w:cs="Arial"/>
                <w:b/>
                <w:bCs/>
                <w:color w:val="000000"/>
                <w:sz w:val="19"/>
                <w:szCs w:val="19"/>
              </w:rPr>
              <w:t>SEP Note</w:t>
            </w:r>
            <w:r>
              <w:rPr>
                <w:rFonts w:ascii="Arial" w:eastAsia="Times New Roman" w:hAnsi="Arial" w:cs="Arial"/>
                <w:b/>
                <w:bCs/>
                <w:color w:val="000000"/>
                <w:sz w:val="19"/>
                <w:szCs w:val="19"/>
              </w:rPr>
              <w:t>s</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divId w:val="1470781737"/>
              <w:rPr>
                <w:rFonts w:eastAsia="Times New Roman"/>
              </w:rPr>
            </w:pPr>
            <w:r>
              <w:rPr>
                <w:rFonts w:ascii="Arial" w:eastAsia="Times New Roman" w:hAnsi="Arial" w:cs="Arial"/>
                <w:b/>
                <w:bCs/>
                <w:color w:val="000000"/>
                <w:sz w:val="19"/>
                <w:szCs w:val="19"/>
              </w:rPr>
              <w:t>EEP Note</w:t>
            </w:r>
            <w:r>
              <w:rPr>
                <w:rFonts w:ascii="Arial" w:eastAsia="Times New Roman" w:hAnsi="Arial" w:cs="Arial"/>
                <w:b/>
                <w:bCs/>
                <w:color w:val="000000"/>
                <w:sz w:val="19"/>
                <w:szCs w:val="19"/>
              </w:rPr>
              <w:t>s</w:t>
            </w:r>
            <w:r>
              <w:rPr>
                <w:rFonts w:ascii="Arial" w:eastAsia="Times New Roman" w:hAnsi="Arial" w:cs="Arial"/>
                <w:b/>
                <w:bCs/>
                <w:color w:val="000000"/>
                <w:sz w:val="10"/>
                <w:szCs w:val="10"/>
              </w:rPr>
              <w:t>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4.750% Senior Notes due 2024</w:t>
            </w:r>
          </w:p>
        </w:tc>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5.875% Notes due 2025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5.950% Notes due 2033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3.375%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6.300% Notes due 2034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5.950% Senior Notes due 2043</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7.500% Notes due 2038</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4.500% Senior Notes due 2045</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5.500% Notes due 2040</w:t>
            </w:r>
          </w:p>
        </w:tc>
      </w:tr>
      <w:tr w:rsidR="00000000">
        <w:trPr>
          <w:jc w:val="center"/>
        </w:trPr>
        <w:tc>
          <w:tcPr>
            <w:tcW w:w="0" w:type="auto"/>
            <w:gridSpan w:val="3"/>
            <w:vAlign w:val="center"/>
            <w:hideMark/>
          </w:tcPr>
          <w:p w:rsidR="00000000" w:rsidRDefault="00131F06">
            <w:pPr>
              <w:spacing w:after="100"/>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r>
      <w:tr w:rsidR="00000000">
        <w:trPr>
          <w:jc w:val="center"/>
        </w:trPr>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bottom w:val="single" w:sz="8" w:space="0" w:color="000000"/>
            </w:tcBorders>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7.375% Notes due 2045</w:t>
            </w:r>
          </w:p>
        </w:tc>
      </w:tr>
    </w:tbl>
    <w:p w:rsidR="00000000" w:rsidRDefault="00131F06">
      <w:pPr>
        <w:ind w:hanging="180"/>
        <w:divId w:val="968822720"/>
        <w:rPr>
          <w:rFonts w:eastAsia="Times New Roman"/>
        </w:rPr>
      </w:pPr>
      <w:r>
        <w:rPr>
          <w:rFonts w:ascii="Arial" w:eastAsia="Times New Roman" w:hAnsi="Arial" w:cs="Arial"/>
          <w:i/>
          <w:iCs/>
          <w:color w:val="000000"/>
          <w:sz w:val="16"/>
          <w:szCs w:val="16"/>
          <w:shd w:val="clear" w:color="auto" w:fill="FFFFFF"/>
        </w:rPr>
        <w:t>1As at September </w:t>
      </w:r>
      <w:r>
        <w:rPr>
          <w:rFonts w:ascii="Arial" w:eastAsia="Times New Roman" w:hAnsi="Arial" w:cs="Arial"/>
          <w:i/>
          <w:iCs/>
          <w:color w:val="000000"/>
          <w:sz w:val="16"/>
          <w:szCs w:val="16"/>
          <w:shd w:val="clear" w:color="auto" w:fill="FFFFFF"/>
        </w:rPr>
        <w:t>30, 2022, the aggregate outstanding principal amount of SEP notes was approximately US$3.2 billion.</w:t>
      </w:r>
    </w:p>
    <w:p w:rsidR="00000000" w:rsidRDefault="00131F06">
      <w:pPr>
        <w:ind w:hanging="180"/>
        <w:divId w:val="1316302854"/>
        <w:rPr>
          <w:rFonts w:eastAsia="Times New Roman"/>
        </w:rPr>
      </w:pPr>
      <w:r>
        <w:rPr>
          <w:rFonts w:ascii="Arial" w:eastAsia="Times New Roman" w:hAnsi="Arial" w:cs="Arial"/>
          <w:i/>
          <w:iCs/>
          <w:color w:val="000000"/>
          <w:sz w:val="16"/>
          <w:szCs w:val="16"/>
          <w:shd w:val="clear" w:color="auto" w:fill="FFFFFF"/>
        </w:rPr>
        <w:t>2As at September 30, 2022, the aggregate outstanding principal amount of EEP notes was approximately US$2.4 billion.</w:t>
      </w:r>
    </w:p>
    <w:p w:rsidR="00000000" w:rsidRDefault="00131F06">
      <w:pPr>
        <w:ind w:firstLine="180"/>
        <w:divId w:val="1866746811"/>
        <w:rPr>
          <w:rFonts w:eastAsia="Times New Roman"/>
        </w:rPr>
      </w:pPr>
    </w:p>
    <w:p w:rsidR="00000000" w:rsidRDefault="00131F06">
      <w:pPr>
        <w:jc w:val="center"/>
        <w:divId w:val="1700357621"/>
        <w:rPr>
          <w:rFonts w:eastAsia="Times New Roman"/>
        </w:rPr>
      </w:pPr>
      <w:r>
        <w:rPr>
          <w:rFonts w:ascii="Arial" w:eastAsia="Times New Roman" w:hAnsi="Arial" w:cs="Arial"/>
          <w:color w:val="000000"/>
          <w:sz w:val="20"/>
          <w:szCs w:val="20"/>
        </w:rPr>
        <w:t>56</w:t>
      </w:r>
    </w:p>
    <w:p w:rsidR="00000000" w:rsidRDefault="00131F06">
      <w:pPr>
        <w:rPr>
          <w:rFonts w:eastAsia="Times New Roman"/>
        </w:rPr>
      </w:pPr>
      <w:r>
        <w:rPr>
          <w:rFonts w:eastAsia="Times New Roman"/>
        </w:rPr>
        <w:pict>
          <v:rect id="_x0000_i1081" style="width:0;height:1.5pt" o:hralign="center" o:hrstd="t" o:hr="t" fillcolor="#a0a0a0" stroked="f"/>
        </w:pict>
      </w:r>
    </w:p>
    <w:p w:rsidR="00000000" w:rsidRDefault="00131F06">
      <w:pPr>
        <w:jc w:val="center"/>
        <w:divId w:val="457720961"/>
        <w:rPr>
          <w:rFonts w:eastAsia="Times New Roman"/>
        </w:rPr>
      </w:pPr>
    </w:p>
    <w:p w:rsidR="00000000" w:rsidRDefault="00131F06">
      <w:pPr>
        <w:divId w:val="473134207"/>
        <w:rPr>
          <w:rFonts w:eastAsia="Times New Roman"/>
        </w:rPr>
      </w:pPr>
      <w:r>
        <w:rPr>
          <w:rFonts w:ascii="Arial" w:eastAsia="Times New Roman" w:hAnsi="Arial" w:cs="Arial"/>
          <w:b/>
          <w:bCs/>
          <w:color w:val="000000"/>
          <w:sz w:val="20"/>
          <w:szCs w:val="20"/>
          <w:shd w:val="clear" w:color="auto" w:fill="FFFFFF"/>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jc w:val="center"/>
        </w:trPr>
        <w:tc>
          <w:tcPr>
            <w:tcW w:w="50" w:type="pct"/>
            <w:vAlign w:val="center"/>
            <w:hideMark/>
          </w:tcPr>
          <w:p w:rsidR="00000000" w:rsidRDefault="00131F06">
            <w:pPr>
              <w:rPr>
                <w:rFonts w:eastAsia="Times New Roman"/>
              </w:rPr>
            </w:pPr>
          </w:p>
        </w:tc>
        <w:tc>
          <w:tcPr>
            <w:tcW w:w="24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44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divId w:val="1388845049"/>
              <w:rPr>
                <w:rFonts w:eastAsia="Times New Roman"/>
              </w:rPr>
            </w:pPr>
            <w:r>
              <w:rPr>
                <w:rFonts w:ascii="Arial" w:eastAsia="Times New Roman" w:hAnsi="Arial" w:cs="Arial"/>
                <w:b/>
                <w:bCs/>
                <w:color w:val="000000"/>
                <w:sz w:val="19"/>
                <w:szCs w:val="19"/>
              </w:rPr>
              <w:t>USD Denominate</w:t>
            </w:r>
            <w:r>
              <w:rPr>
                <w:rFonts w:ascii="Arial" w:eastAsia="Times New Roman" w:hAnsi="Arial" w:cs="Arial"/>
                <w:b/>
                <w:bCs/>
                <w:color w:val="000000"/>
                <w:sz w:val="19"/>
                <w:szCs w:val="19"/>
              </w:rPr>
              <w:t>d</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divId w:val="692339522"/>
              <w:rPr>
                <w:rFonts w:eastAsia="Times New Roman"/>
              </w:rPr>
            </w:pPr>
            <w:r>
              <w:rPr>
                <w:rFonts w:ascii="Arial" w:eastAsia="Times New Roman" w:hAnsi="Arial" w:cs="Arial"/>
                <w:b/>
                <w:bCs/>
                <w:color w:val="000000"/>
                <w:sz w:val="19"/>
                <w:szCs w:val="19"/>
              </w:rPr>
              <w:t>CAD Denominate</w:t>
            </w:r>
            <w:r>
              <w:rPr>
                <w:rFonts w:ascii="Arial" w:eastAsia="Times New Roman" w:hAnsi="Arial" w:cs="Arial"/>
                <w:b/>
                <w:bCs/>
                <w:color w:val="000000"/>
                <w:sz w:val="19"/>
                <w:szCs w:val="19"/>
              </w:rPr>
              <w:t>d</w:t>
            </w:r>
            <w:r>
              <w:rPr>
                <w:rFonts w:ascii="Arial" w:eastAsia="Times New Roman" w:hAnsi="Arial" w:cs="Arial"/>
                <w:b/>
                <w:bCs/>
                <w:color w:val="000000"/>
                <w:sz w:val="10"/>
                <w:szCs w:val="10"/>
              </w:rPr>
              <w:t>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Floating Rate Senior Notes due 2023</w:t>
            </w:r>
          </w:p>
        </w:tc>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3.190% Senior Notes due 2022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Floating Rate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4.000% Senior Notes due 2023</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0.550% Senior Notes due 2023</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3.950% Senior Notes due 2024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3.500%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2.440% Senior Notes due 2025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2.150%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3.200% Senior Notes due 2027</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2.500%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6.100% Senior Notes due 2028</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2.500%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2.990% Senior Notes due 2029</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4.250%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7.220% Senior Notes due 2030</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1.600%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7.200% Senior Notes due 2032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3.700% Senior Notes due 2027</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3.100% Sustainability-Linked Senior Notes due 2033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3.125% Senior Notes due 2029</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5.570% Senior Notes due 2035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2.500% Sustainability-Linked Senior Notes due 2033</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5.750% Senior Notes due 2039</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4.500% Senior Notes due 2044</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5.120% Senior Notes due 2040</w:t>
            </w:r>
          </w:p>
        </w:tc>
      </w:tr>
      <w:tr w:rsidR="00000000">
        <w:trPr>
          <w:jc w:val="center"/>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5.500% Senior Notes due 2046</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4.240% Senior Notes due 2042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4.000% Senior Notes due 2049</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4.570% Senior Notes due 2044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3.400% Senior Notes due 2051</w:t>
            </w: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4.870% Senior Notes due 2044</w:t>
            </w:r>
          </w:p>
        </w:tc>
      </w:tr>
      <w:tr w:rsidR="00000000">
        <w:trPr>
          <w:jc w:val="center"/>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4.100% Senior Notes due 2051</w:t>
            </w:r>
          </w:p>
        </w:tc>
      </w:tr>
      <w:tr w:rsidR="00000000">
        <w:trPr>
          <w:jc w:val="center"/>
        </w:trPr>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19"/>
                <w:szCs w:val="19"/>
              </w:rPr>
              <w:t>4.560% Senior Notes due 2064</w:t>
            </w:r>
          </w:p>
        </w:tc>
      </w:tr>
    </w:tbl>
    <w:p w:rsidR="00000000" w:rsidRDefault="00131F06">
      <w:pPr>
        <w:ind w:hanging="180"/>
        <w:divId w:val="750464815"/>
        <w:rPr>
          <w:rFonts w:eastAsia="Times New Roman"/>
        </w:rPr>
      </w:pPr>
      <w:r>
        <w:rPr>
          <w:rFonts w:ascii="Arial" w:eastAsia="Times New Roman" w:hAnsi="Arial" w:cs="Arial"/>
          <w:i/>
          <w:iCs/>
          <w:color w:val="000000"/>
          <w:sz w:val="16"/>
          <w:szCs w:val="16"/>
          <w:shd w:val="clear" w:color="auto" w:fill="FFFFFF"/>
        </w:rPr>
        <w:t>1As at September </w:t>
      </w:r>
      <w:r>
        <w:rPr>
          <w:rFonts w:ascii="Arial" w:eastAsia="Times New Roman" w:hAnsi="Arial" w:cs="Arial"/>
          <w:i/>
          <w:iCs/>
          <w:color w:val="000000"/>
          <w:sz w:val="16"/>
          <w:szCs w:val="16"/>
          <w:shd w:val="clear" w:color="auto" w:fill="FFFFFF"/>
        </w:rPr>
        <w:t>30, 2022, the aggregate outstanding principal amount of the Enbridge US dollar denominated notes was approximately US$11.0 billion.</w:t>
      </w:r>
    </w:p>
    <w:p w:rsidR="00000000" w:rsidRDefault="00131F06">
      <w:pPr>
        <w:ind w:hanging="180"/>
        <w:divId w:val="1114860031"/>
        <w:rPr>
          <w:rFonts w:eastAsia="Times New Roman"/>
        </w:rPr>
      </w:pPr>
      <w:r>
        <w:rPr>
          <w:rFonts w:ascii="Arial" w:eastAsia="Times New Roman" w:hAnsi="Arial" w:cs="Arial"/>
          <w:i/>
          <w:iCs/>
          <w:color w:val="000000"/>
          <w:sz w:val="16"/>
          <w:szCs w:val="16"/>
          <w:shd w:val="clear" w:color="auto" w:fill="FFFFFF"/>
        </w:rPr>
        <w:t xml:space="preserve">2As at September 30, 2022, the aggregate outstanding principal amount of the Enbridge Canadian dollar denominated notes was </w:t>
      </w:r>
      <w:r>
        <w:rPr>
          <w:rFonts w:ascii="Arial" w:eastAsia="Times New Roman" w:hAnsi="Arial" w:cs="Arial"/>
          <w:i/>
          <w:iCs/>
          <w:color w:val="000000"/>
          <w:sz w:val="16"/>
          <w:szCs w:val="16"/>
          <w:shd w:val="clear" w:color="auto" w:fill="FFFFFF"/>
        </w:rPr>
        <w:t>approximately $9.0 billion.</w:t>
      </w:r>
    </w:p>
    <w:p w:rsidR="00000000" w:rsidRDefault="00131F06">
      <w:pPr>
        <w:jc w:val="both"/>
        <w:rPr>
          <w:rFonts w:eastAsia="Times New Roman"/>
        </w:rPr>
      </w:pPr>
    </w:p>
    <w:p w:rsidR="00000000" w:rsidRDefault="00131F06">
      <w:pPr>
        <w:divId w:val="184638629"/>
        <w:rPr>
          <w:rFonts w:eastAsia="Times New Roman"/>
        </w:rPr>
      </w:pPr>
      <w:r>
        <w:rPr>
          <w:rFonts w:ascii="Arial" w:eastAsia="Times New Roman" w:hAnsi="Arial" w:cs="Arial"/>
          <w:color w:val="000000"/>
          <w:sz w:val="20"/>
          <w:szCs w:val="20"/>
        </w:rPr>
        <w:t>Rule 3-10 of the US SEC Regulation S-X provides an exemption from the reporting requirements of the Exchange Act for fully consolidated subsidiary issuers of guaranteed securities and subsidiary guarantors and allows for summa</w:t>
      </w:r>
      <w:r>
        <w:rPr>
          <w:rFonts w:ascii="Arial" w:eastAsia="Times New Roman" w:hAnsi="Arial" w:cs="Arial"/>
          <w:color w:val="000000"/>
          <w:sz w:val="20"/>
          <w:szCs w:val="20"/>
        </w:rPr>
        <w:t>rized financial information in lieu of filing separate financial statements for each of the Partnerships.</w:t>
      </w:r>
    </w:p>
    <w:p w:rsidR="00000000" w:rsidRDefault="00131F06">
      <w:pPr>
        <w:divId w:val="1213345531"/>
        <w:rPr>
          <w:rFonts w:eastAsia="Times New Roman"/>
        </w:rPr>
      </w:pPr>
    </w:p>
    <w:p w:rsidR="00000000" w:rsidRDefault="00131F06">
      <w:pPr>
        <w:divId w:val="1598173322"/>
        <w:rPr>
          <w:rFonts w:eastAsia="Times New Roman"/>
        </w:rPr>
      </w:pPr>
      <w:r>
        <w:rPr>
          <w:rFonts w:ascii="Arial" w:eastAsia="Times New Roman" w:hAnsi="Arial" w:cs="Arial"/>
          <w:color w:val="000000"/>
          <w:sz w:val="20"/>
          <w:szCs w:val="20"/>
          <w:shd w:val="clear" w:color="auto" w:fill="FFFFFF"/>
        </w:rPr>
        <w:t>The following Summarized Combined Statement of Earnings and Summarized Combined Statements of Financial Position combines the balances of EEP, SEP a</w:t>
      </w:r>
      <w:r>
        <w:rPr>
          <w:rFonts w:ascii="Arial" w:eastAsia="Times New Roman" w:hAnsi="Arial" w:cs="Arial"/>
          <w:color w:val="000000"/>
          <w:sz w:val="20"/>
          <w:szCs w:val="20"/>
          <w:shd w:val="clear" w:color="auto" w:fill="FFFFFF"/>
        </w:rPr>
        <w:t xml:space="preserve">nd Enbridge. </w:t>
      </w:r>
    </w:p>
    <w:p w:rsidR="00000000" w:rsidRDefault="00131F06">
      <w:pPr>
        <w:divId w:val="1111432965"/>
        <w:rPr>
          <w:rFonts w:eastAsia="Times New Roman"/>
        </w:rPr>
      </w:pPr>
      <w:r>
        <w:rPr>
          <w:rFonts w:ascii="Arial" w:eastAsia="Times New Roman" w:hAnsi="Arial" w:cs="Arial"/>
          <w:b/>
          <w:bCs/>
          <w:color w:val="000000"/>
          <w:sz w:val="20"/>
          <w:szCs w:val="20"/>
          <w:shd w:val="clear" w:color="auto" w:fill="FFFFFF"/>
        </w:rPr>
        <w:t>Summarized Combined Statement of Earnings</w:t>
      </w:r>
    </w:p>
    <w:tbl>
      <w:tblPr>
        <w:tblW w:w="4991" w:type="pct"/>
        <w:jc w:val="center"/>
        <w:tblCellMar>
          <w:top w:w="15" w:type="dxa"/>
          <w:left w:w="15" w:type="dxa"/>
          <w:bottom w:w="15" w:type="dxa"/>
          <w:right w:w="15" w:type="dxa"/>
        </w:tblCellMar>
        <w:tblLook w:val="04A0" w:firstRow="1" w:lastRow="0" w:firstColumn="1" w:lastColumn="0" w:noHBand="0" w:noVBand="1"/>
      </w:tblPr>
      <w:tblGrid>
        <w:gridCol w:w="68"/>
        <w:gridCol w:w="7216"/>
        <w:gridCol w:w="37"/>
        <w:gridCol w:w="69"/>
        <w:gridCol w:w="865"/>
        <w:gridCol w:w="36"/>
      </w:tblGrid>
      <w:tr w:rsidR="00000000">
        <w:trPr>
          <w:jc w:val="center"/>
        </w:trPr>
        <w:tc>
          <w:tcPr>
            <w:tcW w:w="50" w:type="pct"/>
            <w:vAlign w:val="center"/>
            <w:hideMark/>
          </w:tcPr>
          <w:p w:rsidR="00000000" w:rsidRDefault="00131F06">
            <w:pPr>
              <w:rPr>
                <w:rFonts w:eastAsia="Times New Roman"/>
              </w:rPr>
            </w:pPr>
          </w:p>
        </w:tc>
        <w:tc>
          <w:tcPr>
            <w:tcW w:w="435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53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Nine months ended September 30,</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2022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131F06">
            <w:pPr>
              <w:spacing w:after="100"/>
              <w:rPr>
                <w:rFonts w:eastAsia="Times New Roman"/>
              </w:rPr>
            </w:pPr>
          </w:p>
        </w:tc>
      </w:tr>
      <w:tr w:rsidR="00000000">
        <w:trPr>
          <w:jc w:val="center"/>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Operating loss</w:t>
            </w:r>
          </w:p>
        </w:tc>
        <w:tc>
          <w:tcPr>
            <w:tcW w:w="0" w:type="auto"/>
            <w:gridSpan w:val="2"/>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(124)</w:t>
            </w:r>
          </w:p>
        </w:tc>
        <w:tc>
          <w:tcPr>
            <w:tcW w:w="0" w:type="auto"/>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333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r>
      <w:tr w:rsidR="00000000">
        <w:trPr>
          <w:jc w:val="center"/>
        </w:trPr>
        <w:tc>
          <w:tcPr>
            <w:tcW w:w="0" w:type="auto"/>
            <w:gridSpan w:val="3"/>
            <w:tcBorders>
              <w:bottom w:val="single" w:sz="8" w:space="0" w:color="000000"/>
            </w:tcBorders>
            <w:shd w:val="clear" w:color="auto" w:fill="FFFFFF"/>
            <w:tcMar>
              <w:top w:w="30" w:type="dxa"/>
              <w:left w:w="200" w:type="dxa"/>
              <w:bottom w:w="30" w:type="dxa"/>
              <w:right w:w="20" w:type="dxa"/>
            </w:tcMar>
            <w:vAlign w:val="center"/>
            <w:hideMark/>
          </w:tcPr>
          <w:p w:rsidR="00000000" w:rsidRDefault="00131F06">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bottom w:val="single" w:sz="8" w:space="0" w:color="000000"/>
            </w:tcBorders>
            <w:shd w:val="clear" w:color="auto" w:fill="DBDBDB"/>
            <w:tcMar>
              <w:top w:w="30" w:type="dxa"/>
              <w:left w:w="20" w:type="dxa"/>
              <w:bottom w:w="30" w:type="dxa"/>
              <w:right w:w="0" w:type="dxa"/>
            </w:tcMar>
            <w:vAlign w:val="center"/>
            <w:hideMark/>
          </w:tcPr>
          <w:p w:rsidR="00000000" w:rsidRDefault="00131F06">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tcBorders>
              <w:bottom w:val="single" w:sz="8" w:space="0" w:color="000000"/>
            </w:tcBorders>
            <w:shd w:val="clear" w:color="auto" w:fill="DBDBDB"/>
            <w:tcMar>
              <w:top w:w="30" w:type="dxa"/>
              <w:left w:w="0" w:type="dxa"/>
              <w:bottom w:w="30" w:type="dxa"/>
              <w:right w:w="20" w:type="dxa"/>
            </w:tcMar>
            <w:vAlign w:val="center"/>
            <w:hideMark/>
          </w:tcPr>
          <w:p w:rsidR="00000000" w:rsidRDefault="00131F06">
            <w:pPr>
              <w:spacing w:after="100"/>
              <w:jc w:val="right"/>
              <w:rPr>
                <w:rFonts w:eastAsia="Times New Roman"/>
              </w:rPr>
            </w:pPr>
          </w:p>
        </w:tc>
      </w:tr>
    </w:tbl>
    <w:p w:rsidR="00000000" w:rsidRDefault="00131F06">
      <w:pPr>
        <w:divId w:val="1260410077"/>
        <w:rPr>
          <w:rFonts w:eastAsia="Times New Roman"/>
        </w:rPr>
      </w:pPr>
    </w:p>
    <w:p w:rsidR="00000000" w:rsidRDefault="00131F06">
      <w:pPr>
        <w:jc w:val="center"/>
        <w:divId w:val="1325429076"/>
        <w:rPr>
          <w:rFonts w:eastAsia="Times New Roman"/>
        </w:rPr>
      </w:pPr>
      <w:r>
        <w:rPr>
          <w:rFonts w:ascii="Arial" w:eastAsia="Times New Roman" w:hAnsi="Arial" w:cs="Arial"/>
          <w:color w:val="000000"/>
          <w:sz w:val="20"/>
          <w:szCs w:val="20"/>
        </w:rPr>
        <w:t>57</w:t>
      </w:r>
    </w:p>
    <w:p w:rsidR="00000000" w:rsidRDefault="00131F06">
      <w:pPr>
        <w:rPr>
          <w:rFonts w:eastAsia="Times New Roman"/>
        </w:rPr>
      </w:pPr>
      <w:r>
        <w:rPr>
          <w:rFonts w:eastAsia="Times New Roman"/>
        </w:rPr>
        <w:pict>
          <v:rect id="_x0000_i1082" style="width:0;height:1.5pt" o:hralign="center" o:hrstd="t" o:hr="t" fillcolor="#a0a0a0" stroked="f"/>
        </w:pict>
      </w:r>
    </w:p>
    <w:p w:rsidR="00000000" w:rsidRDefault="00131F06">
      <w:pPr>
        <w:jc w:val="center"/>
        <w:divId w:val="295838969"/>
        <w:rPr>
          <w:rFonts w:eastAsia="Times New Roman"/>
        </w:rPr>
      </w:pPr>
    </w:p>
    <w:p w:rsidR="00000000" w:rsidRDefault="00131F06">
      <w:pPr>
        <w:divId w:val="1890993936"/>
        <w:rPr>
          <w:rFonts w:eastAsia="Times New Roman"/>
        </w:rPr>
      </w:pPr>
      <w:r>
        <w:rPr>
          <w:rFonts w:ascii="Arial" w:eastAsia="Times New Roman" w:hAnsi="Arial" w:cs="Arial"/>
          <w:b/>
          <w:bCs/>
          <w:color w:val="000000"/>
          <w:sz w:val="20"/>
          <w:szCs w:val="20"/>
          <w:shd w:val="clear" w:color="auto" w:fill="FFFFFF"/>
        </w:rPr>
        <w:t>Summarized Combined Statements of Financial Position</w:t>
      </w:r>
    </w:p>
    <w:tbl>
      <w:tblPr>
        <w:tblW w:w="4991" w:type="pct"/>
        <w:jc w:val="center"/>
        <w:tblCellMar>
          <w:top w:w="15" w:type="dxa"/>
          <w:left w:w="15" w:type="dxa"/>
          <w:bottom w:w="15" w:type="dxa"/>
          <w:right w:w="15" w:type="dxa"/>
        </w:tblCellMar>
        <w:tblLook w:val="04A0" w:firstRow="1" w:lastRow="0" w:firstColumn="1" w:lastColumn="0" w:noHBand="0" w:noVBand="1"/>
      </w:tblPr>
      <w:tblGrid>
        <w:gridCol w:w="68"/>
        <w:gridCol w:w="5477"/>
        <w:gridCol w:w="37"/>
        <w:gridCol w:w="36"/>
        <w:gridCol w:w="68"/>
        <w:gridCol w:w="1214"/>
        <w:gridCol w:w="36"/>
        <w:gridCol w:w="36"/>
        <w:gridCol w:w="68"/>
        <w:gridCol w:w="1215"/>
        <w:gridCol w:w="36"/>
      </w:tblGrid>
      <w:tr w:rsidR="00000000">
        <w:trPr>
          <w:jc w:val="center"/>
        </w:trPr>
        <w:tc>
          <w:tcPr>
            <w:tcW w:w="50" w:type="pct"/>
            <w:vAlign w:val="center"/>
            <w:hideMark/>
          </w:tcPr>
          <w:p w:rsidR="00000000" w:rsidRDefault="00131F06">
            <w:pPr>
              <w:rPr>
                <w:rFonts w:eastAsia="Times New Roman"/>
              </w:rPr>
            </w:pPr>
          </w:p>
        </w:tc>
        <w:tc>
          <w:tcPr>
            <w:tcW w:w="333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4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September 30,</w:t>
            </w:r>
            <w:r>
              <w:rPr>
                <w:rFonts w:ascii="Arial" w:eastAsia="Times New Roman" w:hAnsi="Arial" w:cs="Arial"/>
                <w:b/>
                <w:bCs/>
                <w:color w:val="000000"/>
                <w:sz w:val="20"/>
                <w:szCs w:val="20"/>
              </w:rPr>
              <w:br/>
              <w:t>2022</w:t>
            </w:r>
          </w:p>
        </w:tc>
        <w:tc>
          <w:tcPr>
            <w:tcW w:w="0" w:type="auto"/>
            <w:vAlign w:val="center"/>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2021</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131F06">
            <w:pPr>
              <w:spacing w:after="100"/>
              <w:rPr>
                <w:rFonts w:eastAsia="Times New Roman"/>
              </w:rPr>
            </w:pP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vAlign w:val="center"/>
            <w:hideMark/>
          </w:tcPr>
          <w:p w:rsidR="00000000" w:rsidRDefault="00131F06">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Accounts receivable from affiliates</w:t>
            </w:r>
          </w:p>
        </w:tc>
        <w:tc>
          <w:tcPr>
            <w:tcW w:w="0" w:type="auto"/>
            <w:vAlign w:val="center"/>
            <w:hideMark/>
          </w:tcPr>
          <w:p w:rsidR="00000000" w:rsidRDefault="00131F06">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2,482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3,442 </w:t>
            </w:r>
          </w:p>
        </w:tc>
        <w:tc>
          <w:tcPr>
            <w:tcW w:w="0" w:type="auto"/>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Short-term loans receivable from affiliates</w:t>
            </w:r>
          </w:p>
        </w:tc>
        <w:tc>
          <w:tcPr>
            <w:tcW w:w="0" w:type="auto"/>
            <w:vAlign w:val="center"/>
            <w:hideMark/>
          </w:tcPr>
          <w:p w:rsidR="00000000" w:rsidRDefault="00131F06">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8,613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4,947 </w:t>
            </w:r>
          </w:p>
        </w:tc>
        <w:tc>
          <w:tcPr>
            <w:tcW w:w="0" w:type="auto"/>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Other current assets</w:t>
            </w:r>
          </w:p>
        </w:tc>
        <w:tc>
          <w:tcPr>
            <w:tcW w:w="0" w:type="auto"/>
            <w:vAlign w:val="center"/>
            <w:hideMark/>
          </w:tcPr>
          <w:p w:rsidR="00000000" w:rsidRDefault="00131F06">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433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605 </w:t>
            </w:r>
          </w:p>
        </w:tc>
        <w:tc>
          <w:tcPr>
            <w:tcW w:w="0" w:type="auto"/>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Long-term loans receivable from affiliates</w:t>
            </w:r>
          </w:p>
        </w:tc>
        <w:tc>
          <w:tcPr>
            <w:tcW w:w="0" w:type="auto"/>
            <w:vAlign w:val="center"/>
            <w:hideMark/>
          </w:tcPr>
          <w:p w:rsidR="00000000" w:rsidRDefault="00131F06">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45,857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51,983 </w:t>
            </w:r>
          </w:p>
        </w:tc>
        <w:tc>
          <w:tcPr>
            <w:tcW w:w="0" w:type="auto"/>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Other long-term assets</w:t>
            </w:r>
          </w:p>
        </w:tc>
        <w:tc>
          <w:tcPr>
            <w:tcW w:w="0" w:type="auto"/>
            <w:vAlign w:val="center"/>
            <w:hideMark/>
          </w:tcPr>
          <w:p w:rsidR="00000000" w:rsidRDefault="00131F06">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4,609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3,732 </w:t>
            </w:r>
          </w:p>
        </w:tc>
        <w:tc>
          <w:tcPr>
            <w:tcW w:w="0" w:type="auto"/>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Accounts payable to affiliates</w:t>
            </w:r>
          </w:p>
        </w:tc>
        <w:tc>
          <w:tcPr>
            <w:tcW w:w="0" w:type="auto"/>
            <w:vAlign w:val="center"/>
            <w:hideMark/>
          </w:tcPr>
          <w:p w:rsidR="00000000" w:rsidRDefault="00131F06">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1,339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1,982 </w:t>
            </w:r>
          </w:p>
        </w:tc>
        <w:tc>
          <w:tcPr>
            <w:tcW w:w="0" w:type="auto"/>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Short-term loans payable to affiliates</w:t>
            </w:r>
          </w:p>
        </w:tc>
        <w:tc>
          <w:tcPr>
            <w:tcW w:w="0" w:type="auto"/>
            <w:vAlign w:val="center"/>
            <w:hideMark/>
          </w:tcPr>
          <w:p w:rsidR="00000000" w:rsidRDefault="00131F06">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3,368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2,891 </w:t>
            </w:r>
          </w:p>
        </w:tc>
        <w:tc>
          <w:tcPr>
            <w:tcW w:w="0" w:type="auto"/>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Other current liabilities</w:t>
            </w:r>
          </w:p>
        </w:tc>
        <w:tc>
          <w:tcPr>
            <w:tcW w:w="0" w:type="auto"/>
            <w:vAlign w:val="center"/>
            <w:hideMark/>
          </w:tcPr>
          <w:p w:rsidR="00000000" w:rsidRDefault="00131F06">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6,097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8,110 </w:t>
            </w:r>
          </w:p>
        </w:tc>
        <w:tc>
          <w:tcPr>
            <w:tcW w:w="0" w:type="auto"/>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Long-term loans payable to affiliates</w:t>
            </w:r>
          </w:p>
        </w:tc>
        <w:tc>
          <w:tcPr>
            <w:tcW w:w="0" w:type="auto"/>
            <w:vAlign w:val="center"/>
            <w:hideMark/>
          </w:tcPr>
          <w:p w:rsidR="00000000" w:rsidRDefault="00131F06">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39,208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41,370 </w:t>
            </w:r>
          </w:p>
        </w:tc>
        <w:tc>
          <w:tcPr>
            <w:tcW w:w="0" w:type="auto"/>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jc w:val="center"/>
        </w:trPr>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Other long-term liabilities</w:t>
            </w:r>
          </w:p>
        </w:tc>
        <w:tc>
          <w:tcPr>
            <w:tcW w:w="0" w:type="auto"/>
            <w:vAlign w:val="center"/>
            <w:hideMark/>
          </w:tcPr>
          <w:p w:rsidR="00000000" w:rsidRDefault="00131F06">
            <w:pPr>
              <w:spacing w:after="100"/>
              <w:rPr>
                <w:rFonts w:eastAsia="Times New Roman"/>
              </w:rPr>
            </w:pPr>
          </w:p>
        </w:tc>
        <w:tc>
          <w:tcPr>
            <w:tcW w:w="0" w:type="auto"/>
            <w:gridSpan w:val="2"/>
            <w:tcBorders>
              <w:bottom w:val="single" w:sz="8" w:space="0" w:color="000000"/>
            </w:tcBorders>
            <w:shd w:val="clear" w:color="auto" w:fill="DBDBDB"/>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48,842</w:t>
            </w:r>
            <w:r>
              <w:rPr>
                <w:rFonts w:ascii="Arial" w:eastAsia="Times New Roman" w:hAnsi="Arial" w:cs="Arial"/>
                <w:color w:val="000000"/>
                <w:sz w:val="20"/>
                <w:szCs w:val="20"/>
              </w:rPr>
              <w:t> </w:t>
            </w:r>
          </w:p>
        </w:tc>
        <w:tc>
          <w:tcPr>
            <w:tcW w:w="0" w:type="auto"/>
            <w:tcBorders>
              <w:bottom w:val="single" w:sz="8" w:space="0" w:color="000000"/>
            </w:tcBorders>
            <w:shd w:val="clear" w:color="auto" w:fill="DBDBDB"/>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vAlign w:val="center"/>
            <w:hideMark/>
          </w:tcPr>
          <w:p w:rsidR="00000000" w:rsidRDefault="00131F06">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41,353 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divId w:val="544878151"/>
        <w:rPr>
          <w:rFonts w:eastAsia="Times New Roman"/>
        </w:rPr>
      </w:pPr>
      <w:r>
        <w:rPr>
          <w:rFonts w:ascii="Arial" w:eastAsia="Times New Roman" w:hAnsi="Arial" w:cs="Arial"/>
          <w:color w:val="000000"/>
          <w:sz w:val="20"/>
          <w:szCs w:val="20"/>
          <w:shd w:val="clear" w:color="auto" w:fill="FFFFFF"/>
        </w:rPr>
        <w:t>The Guaranteed Enbridge Notes and the Guaranteed Partnership Notes are structurally subordinated to the indebtedness of the Subsidiary Non-Guarantors in respect of the assets of those Subsidiary Non-Guarantors.</w:t>
      </w:r>
    </w:p>
    <w:p w:rsidR="00000000" w:rsidRDefault="00131F06">
      <w:pPr>
        <w:divId w:val="1854294470"/>
        <w:rPr>
          <w:rFonts w:eastAsia="Times New Roman"/>
        </w:rPr>
      </w:pPr>
    </w:p>
    <w:p w:rsidR="00000000" w:rsidRDefault="00131F06">
      <w:pPr>
        <w:divId w:val="1372337587"/>
        <w:rPr>
          <w:rFonts w:eastAsia="Times New Roman"/>
        </w:rPr>
      </w:pPr>
      <w:r>
        <w:rPr>
          <w:rFonts w:ascii="Arial" w:eastAsia="Times New Roman" w:hAnsi="Arial" w:cs="Arial"/>
          <w:color w:val="000000"/>
          <w:sz w:val="20"/>
          <w:szCs w:val="20"/>
          <w:shd w:val="clear" w:color="auto" w:fill="FFFFFF"/>
        </w:rPr>
        <w:t>Under US bankruptcy law and comparable prov</w:t>
      </w:r>
      <w:r>
        <w:rPr>
          <w:rFonts w:ascii="Arial" w:eastAsia="Times New Roman" w:hAnsi="Arial" w:cs="Arial"/>
          <w:color w:val="000000"/>
          <w:sz w:val="20"/>
          <w:szCs w:val="20"/>
          <w:shd w:val="clear" w:color="auto" w:fill="FFFFFF"/>
        </w:rPr>
        <w:t xml:space="preserve">isions of state fraudulent transfer laws, a guarantee can be voided, or claims may be subordinated to all other debts of that guarantor if, among other things, the guarantor, at the time the indebtedness evidenced by its guarantee or, in some states, when </w:t>
      </w:r>
      <w:r>
        <w:rPr>
          <w:rFonts w:ascii="Arial" w:eastAsia="Times New Roman" w:hAnsi="Arial" w:cs="Arial"/>
          <w:color w:val="000000"/>
          <w:sz w:val="20"/>
          <w:szCs w:val="20"/>
          <w:shd w:val="clear" w:color="auto" w:fill="FFFFFF"/>
        </w:rPr>
        <w:t xml:space="preserve">payments become due under the guarantee: </w:t>
      </w:r>
    </w:p>
    <w:p w:rsidR="00000000" w:rsidRDefault="00131F06">
      <w:pPr>
        <w:divId w:val="1025835729"/>
        <w:rPr>
          <w:rFonts w:eastAsia="Times New Roman"/>
        </w:rPr>
      </w:pPr>
    </w:p>
    <w:p w:rsidR="00000000" w:rsidRDefault="00131F06">
      <w:pPr>
        <w:ind w:hanging="180"/>
        <w:divId w:val="489561821"/>
        <w:rPr>
          <w:rFonts w:eastAsia="Times New Roman"/>
        </w:rPr>
      </w:pPr>
      <w:r>
        <w:rPr>
          <w:rFonts w:ascii="Arial" w:eastAsia="Times New Roman" w:hAnsi="Arial" w:cs="Arial"/>
          <w:color w:val="000000"/>
          <w:sz w:val="20"/>
          <w:szCs w:val="20"/>
          <w:shd w:val="clear" w:color="auto" w:fill="FFFFFF"/>
        </w:rPr>
        <w:t>•received less than reasonably equivalent value or fair consideration for the incurrence of the guarantee and was insolvent or rendered insolvent by reason of such incurrence;</w:t>
      </w:r>
    </w:p>
    <w:p w:rsidR="00000000" w:rsidRDefault="00131F06">
      <w:pPr>
        <w:ind w:hanging="180"/>
        <w:divId w:val="470900346"/>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was engaged in a business or transaction for which the guarantor’s remaining assets constituted unreasonably small capital; or</w:t>
      </w:r>
    </w:p>
    <w:p w:rsidR="00000000" w:rsidRDefault="00131F06">
      <w:pPr>
        <w:ind w:hanging="180"/>
        <w:divId w:val="568925014"/>
        <w:rPr>
          <w:rFonts w:eastAsia="Times New Roman"/>
        </w:rPr>
      </w:pPr>
      <w:r>
        <w:rPr>
          <w:rFonts w:ascii="Arial" w:eastAsia="Times New Roman" w:hAnsi="Arial" w:cs="Arial"/>
          <w:color w:val="000000"/>
          <w:sz w:val="20"/>
          <w:szCs w:val="20"/>
          <w:shd w:val="clear" w:color="auto" w:fill="FFFFFF"/>
        </w:rPr>
        <w:t>•intended to incur, or believed that it would incur, debts beyond its ability to pay those debts as they mature.</w:t>
      </w:r>
    </w:p>
    <w:p w:rsidR="00000000" w:rsidRDefault="00131F06">
      <w:pPr>
        <w:divId w:val="927808949"/>
        <w:rPr>
          <w:rFonts w:eastAsia="Times New Roman"/>
        </w:rPr>
      </w:pPr>
    </w:p>
    <w:p w:rsidR="00000000" w:rsidRDefault="00131F06">
      <w:pPr>
        <w:divId w:val="1678266995"/>
        <w:rPr>
          <w:rFonts w:eastAsia="Times New Roman"/>
        </w:rPr>
      </w:pPr>
      <w:r>
        <w:rPr>
          <w:rFonts w:ascii="Arial" w:eastAsia="Times New Roman" w:hAnsi="Arial" w:cs="Arial"/>
          <w:color w:val="000000"/>
          <w:sz w:val="20"/>
          <w:szCs w:val="20"/>
          <w:shd w:val="clear" w:color="auto" w:fill="FFFFFF"/>
        </w:rPr>
        <w:t>The guarantees</w:t>
      </w:r>
      <w:r>
        <w:rPr>
          <w:rFonts w:ascii="Arial" w:eastAsia="Times New Roman" w:hAnsi="Arial" w:cs="Arial"/>
          <w:color w:val="000000"/>
          <w:sz w:val="20"/>
          <w:szCs w:val="20"/>
          <w:shd w:val="clear" w:color="auto" w:fill="FFFFFF"/>
        </w:rPr>
        <w:t xml:space="preserve"> of the Guaranteed Enbridge Notes contain provisions to limit the maximum amount of liability that the Partnerships could incur without causing the incurrence of obligations under the guarantee to be a fraudulent conveyance or fraudulent transfer under US </w:t>
      </w:r>
      <w:r>
        <w:rPr>
          <w:rFonts w:ascii="Arial" w:eastAsia="Times New Roman" w:hAnsi="Arial" w:cs="Arial"/>
          <w:color w:val="000000"/>
          <w:sz w:val="20"/>
          <w:szCs w:val="20"/>
          <w:shd w:val="clear" w:color="auto" w:fill="FFFFFF"/>
        </w:rPr>
        <w:t>federal or state law.</w:t>
      </w:r>
    </w:p>
    <w:p w:rsidR="00000000" w:rsidRDefault="00131F06">
      <w:pPr>
        <w:divId w:val="839346167"/>
        <w:rPr>
          <w:rFonts w:eastAsia="Times New Roman"/>
        </w:rPr>
      </w:pPr>
    </w:p>
    <w:p w:rsidR="00000000" w:rsidRDefault="00131F06">
      <w:pPr>
        <w:divId w:val="115149953"/>
        <w:rPr>
          <w:rFonts w:eastAsia="Times New Roman"/>
        </w:rPr>
      </w:pPr>
      <w:r>
        <w:rPr>
          <w:rFonts w:ascii="Arial" w:eastAsia="Times New Roman" w:hAnsi="Arial" w:cs="Arial"/>
          <w:color w:val="000000"/>
          <w:sz w:val="20"/>
          <w:szCs w:val="20"/>
          <w:shd w:val="clear" w:color="auto" w:fill="FFFFFF"/>
        </w:rPr>
        <w:t>Each of the Partnerships is entitled to a right of contribution from the other Partnership for 50% of all payments, damages and expenses incurred by that Partnership in discharging its obligations under the guarantees for the Guaran</w:t>
      </w:r>
      <w:r>
        <w:rPr>
          <w:rFonts w:ascii="Arial" w:eastAsia="Times New Roman" w:hAnsi="Arial" w:cs="Arial"/>
          <w:color w:val="000000"/>
          <w:sz w:val="20"/>
          <w:szCs w:val="20"/>
          <w:shd w:val="clear" w:color="auto" w:fill="FFFFFF"/>
        </w:rPr>
        <w:t xml:space="preserve">teed Enbridge Notes. </w:t>
      </w:r>
    </w:p>
    <w:p w:rsidR="00000000" w:rsidRDefault="00131F06">
      <w:pPr>
        <w:divId w:val="1199078697"/>
        <w:rPr>
          <w:rFonts w:eastAsia="Times New Roman"/>
        </w:rPr>
      </w:pPr>
    </w:p>
    <w:p w:rsidR="00000000" w:rsidRDefault="00131F06">
      <w:pPr>
        <w:divId w:val="1287010883"/>
        <w:rPr>
          <w:rFonts w:eastAsia="Times New Roman"/>
        </w:rPr>
      </w:pPr>
      <w:r>
        <w:rPr>
          <w:rFonts w:ascii="Arial" w:eastAsia="Times New Roman" w:hAnsi="Arial" w:cs="Arial"/>
          <w:color w:val="000000"/>
          <w:sz w:val="20"/>
          <w:szCs w:val="20"/>
          <w:shd w:val="clear" w:color="auto" w:fill="FFFFFF"/>
        </w:rPr>
        <w:t xml:space="preserve">Under the terms of the guarantee agreement and applicable supplemental indentures, the guarantees of either of the Partnerships of any Guaranteed Enbridge Notes will be unconditionally released and discharged automatically upon the </w:t>
      </w:r>
      <w:r>
        <w:rPr>
          <w:rFonts w:ascii="Arial" w:eastAsia="Times New Roman" w:hAnsi="Arial" w:cs="Arial"/>
          <w:color w:val="000000"/>
          <w:sz w:val="20"/>
          <w:szCs w:val="20"/>
          <w:shd w:val="clear" w:color="auto" w:fill="FFFFFF"/>
        </w:rPr>
        <w:t>occurrence of any of the following events:</w:t>
      </w:r>
    </w:p>
    <w:p w:rsidR="00000000" w:rsidRDefault="00131F06">
      <w:pPr>
        <w:divId w:val="785580098"/>
        <w:rPr>
          <w:rFonts w:eastAsia="Times New Roman"/>
        </w:rPr>
      </w:pPr>
    </w:p>
    <w:p w:rsidR="00000000" w:rsidRDefault="00131F06">
      <w:pPr>
        <w:ind w:hanging="180"/>
        <w:divId w:val="1874224489"/>
        <w:rPr>
          <w:rFonts w:eastAsia="Times New Roman"/>
        </w:rPr>
      </w:pPr>
      <w:r>
        <w:rPr>
          <w:rFonts w:ascii="Arial" w:eastAsia="Times New Roman" w:hAnsi="Arial" w:cs="Arial"/>
          <w:color w:val="000000"/>
          <w:sz w:val="20"/>
          <w:szCs w:val="20"/>
          <w:shd w:val="clear" w:color="auto" w:fill="FFFFFF"/>
        </w:rPr>
        <w:t>•any direct or indirect sale, exchange or transfer, whether by way of merger, sale or transfer of equity interests or otherwise, to any person that is not an affiliate of Enbridge, of any of Enbridge’s direct or</w:t>
      </w:r>
      <w:r>
        <w:rPr>
          <w:rFonts w:ascii="Arial" w:eastAsia="Times New Roman" w:hAnsi="Arial" w:cs="Arial"/>
          <w:color w:val="000000"/>
          <w:sz w:val="20"/>
          <w:szCs w:val="20"/>
          <w:shd w:val="clear" w:color="auto" w:fill="FFFFFF"/>
        </w:rPr>
        <w:t xml:space="preserve"> indirect limited partnership of other equity interests in that Partnership as a result of which the Partnership ceases to be a consolidated subsidiary of Enbridge;</w:t>
      </w:r>
    </w:p>
    <w:p w:rsidR="00000000" w:rsidRDefault="00131F06">
      <w:pPr>
        <w:ind w:hanging="180"/>
        <w:divId w:val="394934915"/>
        <w:rPr>
          <w:rFonts w:eastAsia="Times New Roman"/>
        </w:rPr>
      </w:pPr>
      <w:r>
        <w:rPr>
          <w:rFonts w:ascii="Arial" w:eastAsia="Times New Roman" w:hAnsi="Arial" w:cs="Arial"/>
          <w:color w:val="000000"/>
          <w:sz w:val="20"/>
          <w:szCs w:val="20"/>
          <w:shd w:val="clear" w:color="auto" w:fill="FFFFFF"/>
        </w:rPr>
        <w:t>•the merger of that Partnership into Enbridge or the other Partnership or the liquidation a</w:t>
      </w:r>
      <w:r>
        <w:rPr>
          <w:rFonts w:ascii="Arial" w:eastAsia="Times New Roman" w:hAnsi="Arial" w:cs="Arial"/>
          <w:color w:val="000000"/>
          <w:sz w:val="20"/>
          <w:szCs w:val="20"/>
          <w:shd w:val="clear" w:color="auto" w:fill="FFFFFF"/>
        </w:rPr>
        <w:t>nd dissolution of that Partnership;</w:t>
      </w:r>
    </w:p>
    <w:p w:rsidR="00000000" w:rsidRDefault="00131F06">
      <w:pPr>
        <w:ind w:hanging="180"/>
        <w:divId w:val="1254162709"/>
        <w:rPr>
          <w:rFonts w:eastAsia="Times New Roman"/>
        </w:rPr>
      </w:pPr>
      <w:r>
        <w:rPr>
          <w:rFonts w:ascii="Arial" w:eastAsia="Times New Roman" w:hAnsi="Arial" w:cs="Arial"/>
          <w:color w:val="000000"/>
          <w:sz w:val="20"/>
          <w:szCs w:val="20"/>
          <w:shd w:val="clear" w:color="auto" w:fill="FFFFFF"/>
        </w:rPr>
        <w:t>•the repayment in full or discharge or defeasance of those Guaranteed Enbridge Notes, as contemplated by the applicable indenture or guarantee agreement;</w:t>
      </w:r>
    </w:p>
    <w:p w:rsidR="00000000" w:rsidRDefault="00131F06">
      <w:pPr>
        <w:ind w:hanging="180"/>
        <w:divId w:val="274094726"/>
        <w:rPr>
          <w:rFonts w:eastAsia="Times New Roman"/>
        </w:rPr>
      </w:pPr>
      <w:r>
        <w:rPr>
          <w:rFonts w:ascii="Arial" w:eastAsia="Times New Roman" w:hAnsi="Arial" w:cs="Arial"/>
          <w:color w:val="000000"/>
          <w:sz w:val="20"/>
          <w:szCs w:val="20"/>
          <w:shd w:val="clear" w:color="auto" w:fill="FFFFFF"/>
        </w:rPr>
        <w:t>•with respect to EEP, the repayment in full or discharge or defeas</w:t>
      </w:r>
      <w:r>
        <w:rPr>
          <w:rFonts w:ascii="Arial" w:eastAsia="Times New Roman" w:hAnsi="Arial" w:cs="Arial"/>
          <w:color w:val="000000"/>
          <w:sz w:val="20"/>
          <w:szCs w:val="20"/>
          <w:shd w:val="clear" w:color="auto" w:fill="FFFFFF"/>
        </w:rPr>
        <w:t xml:space="preserve">ance of each of the consenting EEP notes listed above; </w:t>
      </w:r>
    </w:p>
    <w:p w:rsidR="00000000" w:rsidRDefault="00131F06">
      <w:pPr>
        <w:jc w:val="center"/>
        <w:divId w:val="2001619044"/>
        <w:rPr>
          <w:rFonts w:eastAsia="Times New Roman"/>
        </w:rPr>
      </w:pPr>
      <w:r>
        <w:rPr>
          <w:rFonts w:ascii="Arial" w:eastAsia="Times New Roman" w:hAnsi="Arial" w:cs="Arial"/>
          <w:color w:val="000000"/>
          <w:sz w:val="20"/>
          <w:szCs w:val="20"/>
        </w:rPr>
        <w:t>58</w:t>
      </w:r>
    </w:p>
    <w:p w:rsidR="00000000" w:rsidRDefault="00131F06">
      <w:pPr>
        <w:rPr>
          <w:rFonts w:eastAsia="Times New Roman"/>
        </w:rPr>
      </w:pPr>
      <w:r>
        <w:rPr>
          <w:rFonts w:eastAsia="Times New Roman"/>
        </w:rPr>
        <w:pict>
          <v:rect id="_x0000_i1083" style="width:0;height:1.5pt" o:hralign="center" o:hrstd="t" o:hr="t" fillcolor="#a0a0a0" stroked="f"/>
        </w:pict>
      </w:r>
    </w:p>
    <w:p w:rsidR="00000000" w:rsidRDefault="00131F06">
      <w:pPr>
        <w:jc w:val="center"/>
        <w:divId w:val="985813808"/>
        <w:rPr>
          <w:rFonts w:eastAsia="Times New Roman"/>
        </w:rPr>
      </w:pPr>
    </w:p>
    <w:p w:rsidR="00000000" w:rsidRDefault="00131F06">
      <w:pPr>
        <w:ind w:hanging="180"/>
        <w:divId w:val="104663153"/>
        <w:rPr>
          <w:rFonts w:eastAsia="Times New Roman"/>
        </w:rPr>
      </w:pPr>
      <w:r>
        <w:rPr>
          <w:rFonts w:ascii="Arial" w:eastAsia="Times New Roman" w:hAnsi="Arial" w:cs="Arial"/>
          <w:color w:val="000000"/>
          <w:sz w:val="20"/>
          <w:szCs w:val="20"/>
          <w:shd w:val="clear" w:color="auto" w:fill="FFFFFF"/>
        </w:rPr>
        <w:t>•with respect to SEP, the repayment in full or discharge or defeasance of each of the consenting SEP notes listed above; or</w:t>
      </w:r>
    </w:p>
    <w:p w:rsidR="00000000" w:rsidRDefault="00131F06">
      <w:pPr>
        <w:ind w:hanging="180"/>
        <w:divId w:val="1663461915"/>
        <w:rPr>
          <w:rFonts w:eastAsia="Times New Roman"/>
        </w:rPr>
      </w:pPr>
      <w:r>
        <w:rPr>
          <w:rFonts w:ascii="Arial" w:eastAsia="Times New Roman" w:hAnsi="Arial" w:cs="Arial"/>
          <w:color w:val="000000"/>
          <w:sz w:val="20"/>
          <w:szCs w:val="20"/>
          <w:shd w:val="clear" w:color="auto" w:fill="FFFFFF"/>
        </w:rPr>
        <w:t>•with respect to any series of Gua</w:t>
      </w:r>
      <w:r>
        <w:rPr>
          <w:rFonts w:ascii="Arial" w:eastAsia="Times New Roman" w:hAnsi="Arial" w:cs="Arial"/>
          <w:color w:val="000000"/>
          <w:sz w:val="20"/>
          <w:szCs w:val="20"/>
          <w:shd w:val="clear" w:color="auto" w:fill="FFFFFF"/>
        </w:rPr>
        <w:t>ranteed Enbridge Notes, with the consent of holders of at least a majority of the outstanding principal amount of that series of Guaranteed Enbridge Notes.</w:t>
      </w:r>
    </w:p>
    <w:p w:rsidR="00000000" w:rsidRDefault="00131F06">
      <w:pPr>
        <w:ind w:hanging="360"/>
        <w:divId w:val="1169441275"/>
        <w:rPr>
          <w:rFonts w:eastAsia="Times New Roman"/>
        </w:rPr>
      </w:pPr>
    </w:p>
    <w:p w:rsidR="00000000" w:rsidRDefault="00131F06">
      <w:pPr>
        <w:divId w:val="1481076628"/>
        <w:rPr>
          <w:rFonts w:eastAsia="Times New Roman"/>
        </w:rPr>
      </w:pPr>
      <w:r>
        <w:rPr>
          <w:rFonts w:ascii="Arial" w:eastAsia="Times New Roman" w:hAnsi="Arial" w:cs="Arial"/>
          <w:color w:val="000000"/>
          <w:sz w:val="20"/>
          <w:szCs w:val="20"/>
          <w:shd w:val="clear" w:color="auto" w:fill="FFFFFF"/>
        </w:rPr>
        <w:t>The guarantee obligations of Enbridge will terminate with respect to any series of Guaranteed Part</w:t>
      </w:r>
      <w:r>
        <w:rPr>
          <w:rFonts w:ascii="Arial" w:eastAsia="Times New Roman" w:hAnsi="Arial" w:cs="Arial"/>
          <w:color w:val="000000"/>
          <w:sz w:val="20"/>
          <w:szCs w:val="20"/>
          <w:shd w:val="clear" w:color="auto" w:fill="FFFFFF"/>
        </w:rPr>
        <w:t>nership Notes if that series is discharged or defeased.</w:t>
      </w:r>
    </w:p>
    <w:p w:rsidR="00000000" w:rsidRDefault="00131F06">
      <w:pPr>
        <w:divId w:val="955717185"/>
        <w:rPr>
          <w:rFonts w:eastAsia="Times New Roman"/>
        </w:rPr>
      </w:pPr>
    </w:p>
    <w:p w:rsidR="00000000" w:rsidRDefault="00131F06">
      <w:pPr>
        <w:divId w:val="1338191945"/>
        <w:rPr>
          <w:rFonts w:eastAsia="Times New Roman"/>
        </w:rPr>
      </w:pPr>
      <w:r>
        <w:rPr>
          <w:rFonts w:ascii="Arial" w:eastAsia="Times New Roman" w:hAnsi="Arial" w:cs="Arial"/>
          <w:color w:val="000000"/>
          <w:sz w:val="20"/>
          <w:szCs w:val="20"/>
        </w:rPr>
        <w:t>The Partnerships also guarantee the obligations of Enbridge under its existing credit facilities.</w:t>
      </w:r>
    </w:p>
    <w:p w:rsidR="00000000" w:rsidRDefault="00131F06">
      <w:pPr>
        <w:divId w:val="1886016416"/>
        <w:rPr>
          <w:rFonts w:eastAsia="Times New Roman"/>
        </w:rPr>
      </w:pPr>
    </w:p>
    <w:p w:rsidR="00000000" w:rsidRDefault="00131F06">
      <w:pPr>
        <w:jc w:val="both"/>
        <w:rPr>
          <w:rFonts w:eastAsia="Times New Roman"/>
        </w:rPr>
      </w:pPr>
      <w:r>
        <w:rPr>
          <w:rFonts w:ascii="Arial" w:eastAsia="Times New Roman" w:hAnsi="Arial" w:cs="Arial"/>
          <w:b/>
          <w:bCs/>
          <w:color w:val="000000"/>
          <w:sz w:val="26"/>
          <w:szCs w:val="26"/>
        </w:rPr>
        <w:t>LEGAL AND OTHER UPDATES</w:t>
      </w:r>
    </w:p>
    <w:p w:rsidR="00000000" w:rsidRDefault="00131F06">
      <w:pPr>
        <w:divId w:val="1149714507"/>
        <w:rPr>
          <w:rFonts w:eastAsia="Times New Roman"/>
        </w:rPr>
      </w:pPr>
    </w:p>
    <w:p w:rsidR="00000000" w:rsidRDefault="00131F06">
      <w:pPr>
        <w:divId w:val="727070720"/>
        <w:rPr>
          <w:rFonts w:eastAsia="Times New Roman"/>
        </w:rPr>
      </w:pPr>
      <w:r>
        <w:rPr>
          <w:rFonts w:ascii="Arial" w:eastAsia="Times New Roman" w:hAnsi="Arial" w:cs="Arial"/>
          <w:b/>
          <w:bCs/>
          <w:color w:val="000000"/>
          <w:sz w:val="20"/>
          <w:szCs w:val="20"/>
        </w:rPr>
        <w:t>LIQUIDS PIPELINES</w:t>
      </w:r>
    </w:p>
    <w:p w:rsidR="00000000" w:rsidRDefault="00131F06">
      <w:pPr>
        <w:divId w:val="2033221161"/>
        <w:rPr>
          <w:rFonts w:eastAsia="Times New Roman"/>
        </w:rPr>
      </w:pPr>
    </w:p>
    <w:p w:rsidR="00000000" w:rsidRDefault="00131F06">
      <w:pPr>
        <w:divId w:val="321468809"/>
        <w:rPr>
          <w:rFonts w:eastAsia="Times New Roman"/>
        </w:rPr>
      </w:pPr>
      <w:r>
        <w:rPr>
          <w:rFonts w:ascii="Arial" w:eastAsia="Times New Roman" w:hAnsi="Arial" w:cs="Arial"/>
          <w:b/>
          <w:bCs/>
          <w:color w:val="000000"/>
          <w:sz w:val="20"/>
          <w:szCs w:val="20"/>
        </w:rPr>
        <w:t>Line 5 Easement</w:t>
      </w:r>
    </w:p>
    <w:p w:rsidR="00000000" w:rsidRDefault="00131F06">
      <w:pPr>
        <w:divId w:val="1624341214"/>
        <w:rPr>
          <w:rFonts w:eastAsia="Times New Roman"/>
        </w:rPr>
      </w:pPr>
      <w:r>
        <w:rPr>
          <w:rFonts w:ascii="Arial" w:eastAsia="Times New Roman" w:hAnsi="Arial" w:cs="Arial"/>
          <w:color w:val="000000"/>
          <w:sz w:val="20"/>
          <w:szCs w:val="20"/>
        </w:rPr>
        <w:t xml:space="preserve">On July 23, 2019, the Bad River Band of the Lake Superior Tribe of Chippewa Indians (the Band) filed a complaint in the United States District Court for the Western District of Wisconsin (the Court) over our Line 5 pipeline and right-of-way across the Bad </w:t>
      </w:r>
      <w:r>
        <w:rPr>
          <w:rFonts w:ascii="Arial" w:eastAsia="Times New Roman" w:hAnsi="Arial" w:cs="Arial"/>
          <w:color w:val="000000"/>
          <w:sz w:val="20"/>
          <w:szCs w:val="20"/>
        </w:rPr>
        <w:t>River Reservation (the Reservation). Only a small portion of the total easements across 12 miles of the Reservation are at issue. The Band alleges that our continued use of Line 5 to transport crude oil and related liquids across the Reservation is a publi</w:t>
      </w:r>
      <w:r>
        <w:rPr>
          <w:rFonts w:ascii="Arial" w:eastAsia="Times New Roman" w:hAnsi="Arial" w:cs="Arial"/>
          <w:color w:val="000000"/>
          <w:sz w:val="20"/>
          <w:szCs w:val="20"/>
        </w:rPr>
        <w:t xml:space="preserve">c nuisance under federal and state law and that the pipeline is in trespass on certain tracts of land in which the Band possesses ownership interests. The complaint seeks an order prohibiting us from using Line 5 to transport crude oil and related liquids </w:t>
      </w:r>
      <w:r>
        <w:rPr>
          <w:rFonts w:ascii="Arial" w:eastAsia="Times New Roman" w:hAnsi="Arial" w:cs="Arial"/>
          <w:color w:val="000000"/>
          <w:sz w:val="20"/>
          <w:szCs w:val="20"/>
        </w:rPr>
        <w:t xml:space="preserve">across the Reservation and requiring removal of the pipeline from the Reservation. Subsequently amended versions of the complaint also seek recovery of profits-based damages based on an unjust enrichment theory. Enbridge has responded to each claim in the </w:t>
      </w:r>
      <w:r>
        <w:rPr>
          <w:rFonts w:ascii="Arial" w:eastAsia="Times New Roman" w:hAnsi="Arial" w:cs="Arial"/>
          <w:color w:val="000000"/>
          <w:sz w:val="20"/>
          <w:szCs w:val="20"/>
        </w:rPr>
        <w:t>initial and amended complaints with an answer, defenses and counterclaims.</w:t>
      </w:r>
    </w:p>
    <w:p w:rsidR="00000000" w:rsidRDefault="00131F06">
      <w:pPr>
        <w:divId w:val="966354060"/>
        <w:rPr>
          <w:rFonts w:eastAsia="Times New Roman"/>
        </w:rPr>
      </w:pPr>
    </w:p>
    <w:p w:rsidR="00000000" w:rsidRDefault="00131F06">
      <w:pPr>
        <w:divId w:val="1953511578"/>
        <w:rPr>
          <w:rFonts w:eastAsia="Times New Roman"/>
        </w:rPr>
      </w:pPr>
      <w:r>
        <w:rPr>
          <w:rFonts w:ascii="Arial" w:eastAsia="Times New Roman" w:hAnsi="Arial" w:cs="Arial"/>
          <w:color w:val="000000"/>
          <w:sz w:val="20"/>
          <w:szCs w:val="20"/>
        </w:rPr>
        <w:t>On August 29, 2022, the Government of Canada released a statement formally invoking the dispute settlement provisions of the 1977 Transit Pipelines Treaty in respect of this litig</w:t>
      </w:r>
      <w:r>
        <w:rPr>
          <w:rFonts w:ascii="Arial" w:eastAsia="Times New Roman" w:hAnsi="Arial" w:cs="Arial"/>
          <w:color w:val="000000"/>
          <w:sz w:val="20"/>
          <w:szCs w:val="20"/>
        </w:rPr>
        <w:t>ation; reiterating its concerns about the uninterrupted transmission of hydrocarbons through Line 5. On September 7, 2022, the Court issued a decision on cross-motions for summary judgment. The Court determined that the Band’s nuisance claim raised factual</w:t>
      </w:r>
      <w:r>
        <w:rPr>
          <w:rFonts w:ascii="Arial" w:eastAsia="Times New Roman" w:hAnsi="Arial" w:cs="Arial"/>
          <w:color w:val="000000"/>
          <w:sz w:val="20"/>
          <w:szCs w:val="20"/>
        </w:rPr>
        <w:t xml:space="preserve"> issues that could not be resolved on summary judgment. The Court further determined that Enbridge is in trespass on certain tracts on the Reservation and that the Band is entitled to some measure of profits-based damages and to an injunction, with the lev</w:t>
      </w:r>
      <w:r>
        <w:rPr>
          <w:rFonts w:ascii="Arial" w:eastAsia="Times New Roman" w:hAnsi="Arial" w:cs="Arial"/>
          <w:color w:val="000000"/>
          <w:sz w:val="20"/>
          <w:szCs w:val="20"/>
        </w:rPr>
        <w:t xml:space="preserve">el of damages and scope of the injunction to be determined at trial, which occurred between October 24 and November 1, 2022. While the Court reserved judgment at the conclusion of the trial, the summary judgment decision and subsequent pre-trial decisions </w:t>
      </w:r>
      <w:r>
        <w:rPr>
          <w:rFonts w:ascii="Arial" w:eastAsia="Times New Roman" w:hAnsi="Arial" w:cs="Arial"/>
          <w:color w:val="000000"/>
          <w:sz w:val="20"/>
          <w:szCs w:val="20"/>
        </w:rPr>
        <w:t>provide that the Court will assess trespass damages calculated using a pro-rata share of Enbridge’s profits from the operation of the pipeline attributable to the 12 disputed parcels compared to the pipeline as a whole rather than the profits associated wi</w:t>
      </w:r>
      <w:r>
        <w:rPr>
          <w:rFonts w:ascii="Arial" w:eastAsia="Times New Roman" w:hAnsi="Arial" w:cs="Arial"/>
          <w:color w:val="000000"/>
          <w:sz w:val="20"/>
          <w:szCs w:val="20"/>
        </w:rPr>
        <w:t xml:space="preserve">th the entire length of the pipeline, as the Band sought. The Court has also stated that any injunction will not result in the immediate closure of the pipeline but also will not allow the pipeline to operate indefinitely. </w:t>
      </w:r>
    </w:p>
    <w:p w:rsidR="00000000" w:rsidRDefault="00131F06">
      <w:pPr>
        <w:divId w:val="105852880"/>
        <w:rPr>
          <w:rFonts w:eastAsia="Times New Roman"/>
        </w:rPr>
      </w:pPr>
    </w:p>
    <w:p w:rsidR="00000000" w:rsidRDefault="00131F06">
      <w:pPr>
        <w:divId w:val="1127235199"/>
        <w:rPr>
          <w:rFonts w:eastAsia="Times New Roman"/>
        </w:rPr>
      </w:pPr>
      <w:r>
        <w:rPr>
          <w:rFonts w:ascii="Arial" w:eastAsia="Times New Roman" w:hAnsi="Arial" w:cs="Arial"/>
          <w:b/>
          <w:bCs/>
          <w:color w:val="000000"/>
          <w:sz w:val="20"/>
          <w:szCs w:val="20"/>
        </w:rPr>
        <w:t>Michigan Line 5 Dual Pipelines</w:t>
      </w:r>
      <w:r>
        <w:rPr>
          <w:rFonts w:ascii="Arial" w:eastAsia="Times New Roman" w:hAnsi="Arial" w:cs="Arial"/>
          <w:b/>
          <w:bCs/>
          <w:color w:val="000000"/>
          <w:sz w:val="20"/>
          <w:szCs w:val="20"/>
        </w:rPr>
        <w:t xml:space="preserve"> - Straits of Mackinac Easement</w:t>
      </w:r>
    </w:p>
    <w:p w:rsidR="00000000" w:rsidRDefault="00131F06">
      <w:pPr>
        <w:divId w:val="586035769"/>
        <w:rPr>
          <w:rFonts w:eastAsia="Times New Roman"/>
        </w:rPr>
      </w:pPr>
      <w:r>
        <w:rPr>
          <w:rFonts w:ascii="Arial" w:eastAsia="Times New Roman" w:hAnsi="Arial" w:cs="Arial"/>
          <w:color w:val="000000"/>
          <w:sz w:val="20"/>
          <w:szCs w:val="20"/>
        </w:rPr>
        <w:t>In 2019, the Michigan Attorney General (AG) filed a complaint in the Michigan Ingham County Circuit Court (the Circuit Court) that requests the Circuit Court to declare the easement granted in 1953 that we have for the opera</w:t>
      </w:r>
      <w:r>
        <w:rPr>
          <w:rFonts w:ascii="Arial" w:eastAsia="Times New Roman" w:hAnsi="Arial" w:cs="Arial"/>
          <w:color w:val="000000"/>
          <w:sz w:val="20"/>
          <w:szCs w:val="20"/>
        </w:rPr>
        <w:t xml:space="preserve">tion of Line 5 in the Straits of Mackinac (the Straits) to be invalid and to prohibit continued operation of Line 5 in the Straits. On December 15, 2021, we removed the case to the US District Court in the Western District of Michigan (US District Court), </w:t>
      </w:r>
      <w:r>
        <w:rPr>
          <w:rFonts w:ascii="Arial" w:eastAsia="Times New Roman" w:hAnsi="Arial" w:cs="Arial"/>
          <w:color w:val="000000"/>
          <w:sz w:val="20"/>
          <w:szCs w:val="20"/>
        </w:rPr>
        <w:t>where it was assigned to Judge Janet T. Neff. The removal of the AG’s case to federal court follows a November 16, 2021 ruling which held that the similar (and now dismissed) 2020 lawsuit brought by the Governor of Michigan to force Line 5’s shutdown raise</w:t>
      </w:r>
      <w:r>
        <w:rPr>
          <w:rFonts w:ascii="Arial" w:eastAsia="Times New Roman" w:hAnsi="Arial" w:cs="Arial"/>
          <w:color w:val="000000"/>
          <w:sz w:val="20"/>
          <w:szCs w:val="20"/>
        </w:rPr>
        <w:t>d important federal issues that should be heard in federal court. On December 21, 2021, the AG made a request to file a remand motion and on December 28, 2021, we responded to her request to file that motion. On January 5, 2022, the court issued an Order a</w:t>
      </w:r>
      <w:r>
        <w:rPr>
          <w:rFonts w:ascii="Arial" w:eastAsia="Times New Roman" w:hAnsi="Arial" w:cs="Arial"/>
          <w:color w:val="000000"/>
          <w:sz w:val="20"/>
          <w:szCs w:val="20"/>
        </w:rPr>
        <w:t xml:space="preserve">llowing the AG to file a motion to </w:t>
      </w:r>
    </w:p>
    <w:p w:rsidR="00000000" w:rsidRDefault="00131F06">
      <w:pPr>
        <w:jc w:val="center"/>
        <w:divId w:val="1380277504"/>
        <w:rPr>
          <w:rFonts w:eastAsia="Times New Roman"/>
        </w:rPr>
      </w:pPr>
      <w:r>
        <w:rPr>
          <w:rFonts w:ascii="Arial" w:eastAsia="Times New Roman" w:hAnsi="Arial" w:cs="Arial"/>
          <w:color w:val="000000"/>
          <w:sz w:val="20"/>
          <w:szCs w:val="20"/>
        </w:rPr>
        <w:t>59</w:t>
      </w:r>
    </w:p>
    <w:p w:rsidR="00000000" w:rsidRDefault="00131F06">
      <w:pPr>
        <w:rPr>
          <w:rFonts w:eastAsia="Times New Roman"/>
        </w:rPr>
      </w:pPr>
      <w:r>
        <w:rPr>
          <w:rFonts w:eastAsia="Times New Roman"/>
        </w:rPr>
        <w:pict>
          <v:rect id="_x0000_i1084" style="width:0;height:1.5pt" o:hralign="center" o:hrstd="t" o:hr="t" fillcolor="#a0a0a0" stroked="f"/>
        </w:pict>
      </w:r>
    </w:p>
    <w:p w:rsidR="00000000" w:rsidRDefault="00131F06">
      <w:pPr>
        <w:jc w:val="center"/>
        <w:divId w:val="1953319953"/>
        <w:rPr>
          <w:rFonts w:eastAsia="Times New Roman"/>
        </w:rPr>
      </w:pPr>
    </w:p>
    <w:p w:rsidR="00000000" w:rsidRDefault="00131F06">
      <w:pPr>
        <w:divId w:val="1312490459"/>
        <w:rPr>
          <w:rFonts w:eastAsia="Times New Roman"/>
        </w:rPr>
      </w:pPr>
      <w:r>
        <w:rPr>
          <w:rFonts w:ascii="Arial" w:eastAsia="Times New Roman" w:hAnsi="Arial" w:cs="Arial"/>
          <w:color w:val="000000"/>
          <w:sz w:val="20"/>
          <w:szCs w:val="20"/>
        </w:rPr>
        <w:t>remand the 2019 case. The AG’</w:t>
      </w:r>
      <w:r>
        <w:rPr>
          <w:rFonts w:ascii="Arial" w:eastAsia="Times New Roman" w:hAnsi="Arial" w:cs="Arial"/>
          <w:color w:val="000000"/>
          <w:sz w:val="20"/>
          <w:szCs w:val="20"/>
        </w:rPr>
        <w:t>s motion and brief were filed on January 14, 2022, and our response was filed on February 11, 2022. The motion was fully briefed in March 2022. On August 18, 2022, Judge Neff denied the AG’s motion to remand which now remains in the US District Court. On A</w:t>
      </w:r>
      <w:r>
        <w:rPr>
          <w:rFonts w:ascii="Arial" w:eastAsia="Times New Roman" w:hAnsi="Arial" w:cs="Arial"/>
          <w:color w:val="000000"/>
          <w:sz w:val="20"/>
          <w:szCs w:val="20"/>
        </w:rPr>
        <w:t>ugust 30, 2022, the AG filed a motion to certify the US District Court’s August 18 Order to pursue an appeal on the jurisdictional issue, which Enbridge opposed. We anticipate a decision on the jurisdictional issue in 2022.</w:t>
      </w:r>
    </w:p>
    <w:p w:rsidR="00000000" w:rsidRDefault="00131F06">
      <w:pPr>
        <w:divId w:val="2087604079"/>
        <w:rPr>
          <w:rFonts w:eastAsia="Times New Roman"/>
        </w:rPr>
      </w:pPr>
    </w:p>
    <w:p w:rsidR="00000000" w:rsidRDefault="00131F06">
      <w:pPr>
        <w:divId w:val="1720323413"/>
        <w:rPr>
          <w:rFonts w:eastAsia="Times New Roman"/>
        </w:rPr>
      </w:pPr>
      <w:r>
        <w:rPr>
          <w:rFonts w:ascii="Arial" w:eastAsia="Times New Roman" w:hAnsi="Arial" w:cs="Arial"/>
          <w:b/>
          <w:bCs/>
          <w:color w:val="000000"/>
          <w:sz w:val="20"/>
          <w:szCs w:val="20"/>
        </w:rPr>
        <w:t>OTHER LITIGATION</w:t>
      </w:r>
    </w:p>
    <w:p w:rsidR="00000000" w:rsidRDefault="00131F06">
      <w:pPr>
        <w:divId w:val="112137205"/>
        <w:rPr>
          <w:rFonts w:eastAsia="Times New Roman"/>
        </w:rPr>
      </w:pPr>
      <w:r>
        <w:rPr>
          <w:rFonts w:ascii="Arial" w:eastAsia="Times New Roman" w:hAnsi="Arial" w:cs="Arial"/>
          <w:color w:val="000000"/>
          <w:sz w:val="20"/>
          <w:szCs w:val="20"/>
        </w:rPr>
        <w:t>We and our su</w:t>
      </w:r>
      <w:r>
        <w:rPr>
          <w:rFonts w:ascii="Arial" w:eastAsia="Times New Roman" w:hAnsi="Arial" w:cs="Arial"/>
          <w:color w:val="000000"/>
          <w:sz w:val="20"/>
          <w:szCs w:val="20"/>
        </w:rPr>
        <w:t>bsidiaries are involved in various other legal and regulatory actions and proceedings which arise in the normal course of business, including interventions in regulatory proceedings and challenges to regulatory approvals and permits. While the final outcom</w:t>
      </w:r>
      <w:r>
        <w:rPr>
          <w:rFonts w:ascii="Arial" w:eastAsia="Times New Roman" w:hAnsi="Arial" w:cs="Arial"/>
          <w:color w:val="000000"/>
          <w:sz w:val="20"/>
          <w:szCs w:val="20"/>
        </w:rPr>
        <w:t>e of such actions and proceedings cannot be predicted with certainty, management believes that the resolution of such actions and proceedings will not have a material impact on our consolidated financial position or results of operations.</w:t>
      </w:r>
    </w:p>
    <w:p w:rsidR="00000000" w:rsidRDefault="00131F06">
      <w:pPr>
        <w:divId w:val="551036520"/>
        <w:rPr>
          <w:rFonts w:eastAsia="Times New Roman"/>
        </w:rPr>
      </w:pPr>
    </w:p>
    <w:p w:rsidR="00000000" w:rsidRDefault="00131F06">
      <w:pPr>
        <w:divId w:val="1968274722"/>
        <w:rPr>
          <w:rFonts w:eastAsia="Times New Roman"/>
        </w:rPr>
      </w:pPr>
      <w:r>
        <w:rPr>
          <w:rFonts w:ascii="Arial" w:eastAsia="Times New Roman" w:hAnsi="Arial" w:cs="Arial"/>
          <w:b/>
          <w:bCs/>
          <w:color w:val="000000"/>
          <w:sz w:val="20"/>
          <w:szCs w:val="20"/>
        </w:rPr>
        <w:t>TAX MATTERS</w:t>
      </w:r>
    </w:p>
    <w:p w:rsidR="00000000" w:rsidRDefault="00131F06">
      <w:pPr>
        <w:divId w:val="549536083"/>
        <w:rPr>
          <w:rFonts w:eastAsia="Times New Roman"/>
        </w:rPr>
      </w:pPr>
      <w:r>
        <w:rPr>
          <w:rFonts w:ascii="Arial" w:eastAsia="Times New Roman" w:hAnsi="Arial" w:cs="Arial"/>
          <w:color w:val="000000"/>
          <w:sz w:val="20"/>
          <w:szCs w:val="20"/>
        </w:rPr>
        <w:t xml:space="preserve">We </w:t>
      </w:r>
      <w:r>
        <w:rPr>
          <w:rFonts w:ascii="Arial" w:eastAsia="Times New Roman" w:hAnsi="Arial" w:cs="Arial"/>
          <w:color w:val="000000"/>
          <w:sz w:val="20"/>
          <w:szCs w:val="20"/>
        </w:rPr>
        <w:t>and our subsidiaries maintain tax liabilities related to uncertain tax positions. While fully supportable in our view, these tax positions, if challenged by tax authorities, may not be fully sustained on review.</w:t>
      </w:r>
    </w:p>
    <w:p w:rsidR="00000000" w:rsidRDefault="00131F06">
      <w:pPr>
        <w:divId w:val="788596455"/>
        <w:rPr>
          <w:rFonts w:eastAsia="Times New Roman"/>
        </w:rPr>
      </w:pPr>
    </w:p>
    <w:p w:rsidR="00000000" w:rsidRDefault="00131F06">
      <w:pPr>
        <w:divId w:val="1732994109"/>
        <w:rPr>
          <w:rFonts w:eastAsia="Times New Roman"/>
        </w:rPr>
      </w:pPr>
      <w:r>
        <w:rPr>
          <w:rFonts w:ascii="Arial" w:eastAsia="Times New Roman" w:hAnsi="Arial" w:cs="Arial"/>
          <w:b/>
          <w:bCs/>
          <w:color w:val="000000"/>
          <w:sz w:val="26"/>
          <w:szCs w:val="26"/>
        </w:rPr>
        <w:t>CHANGES IN ACCOUNTING POLICIES</w:t>
      </w:r>
    </w:p>
    <w:p w:rsidR="00000000" w:rsidRDefault="00131F06">
      <w:pPr>
        <w:divId w:val="482040583"/>
        <w:rPr>
          <w:rFonts w:eastAsia="Times New Roman"/>
        </w:rPr>
      </w:pPr>
      <w:r>
        <w:rPr>
          <w:rFonts w:ascii="Arial" w:eastAsia="Times New Roman" w:hAnsi="Arial" w:cs="Arial"/>
          <w:color w:val="000000"/>
          <w:sz w:val="20"/>
          <w:szCs w:val="20"/>
        </w:rPr>
        <w:t> </w:t>
      </w:r>
    </w:p>
    <w:p w:rsidR="00000000" w:rsidRDefault="00131F06">
      <w:pPr>
        <w:divId w:val="822894816"/>
        <w:rPr>
          <w:rFonts w:eastAsia="Times New Roman"/>
        </w:rPr>
      </w:pPr>
      <w:r>
        <w:rPr>
          <w:rFonts w:ascii="Arial" w:eastAsia="Times New Roman" w:hAnsi="Arial" w:cs="Arial"/>
          <w:color w:val="000000"/>
          <w:sz w:val="20"/>
          <w:szCs w:val="20"/>
        </w:rPr>
        <w:t xml:space="preserve">Refer to </w:t>
      </w:r>
      <w:r>
        <w:rPr>
          <w:rFonts w:ascii="Arial" w:eastAsia="Times New Roman" w:hAnsi="Arial" w:cs="Arial"/>
          <w:color w:val="000000"/>
          <w:sz w:val="20"/>
          <w:szCs w:val="20"/>
        </w:rPr>
        <w:t xml:space="preserve">Part I. </w:t>
      </w:r>
      <w:r>
        <w:rPr>
          <w:rFonts w:ascii="Arial" w:eastAsia="Times New Roman" w:hAnsi="Arial" w:cs="Arial"/>
          <w:i/>
          <w:iCs/>
          <w:color w:val="000000"/>
          <w:sz w:val="20"/>
          <w:szCs w:val="20"/>
        </w:rPr>
        <w:t>Item 1. Financial Statements - Note 2. Changes in Accounting Policies.</w:t>
      </w:r>
    </w:p>
    <w:p w:rsidR="00000000" w:rsidRDefault="00131F06">
      <w:pPr>
        <w:divId w:val="466319606"/>
        <w:rPr>
          <w:rFonts w:eastAsia="Times New Roman"/>
        </w:rPr>
      </w:pPr>
    </w:p>
    <w:p w:rsidR="00000000" w:rsidRDefault="00131F06">
      <w:pPr>
        <w:divId w:val="655229693"/>
        <w:rPr>
          <w:rFonts w:eastAsia="Times New Roman"/>
        </w:rPr>
      </w:pPr>
      <w:r>
        <w:rPr>
          <w:rFonts w:ascii="Arial" w:eastAsia="Times New Roman" w:hAnsi="Arial" w:cs="Arial"/>
          <w:b/>
          <w:bCs/>
          <w:color w:val="000000"/>
          <w:sz w:val="28"/>
          <w:szCs w:val="28"/>
        </w:rPr>
        <w:t>ITEM 3. QUANTITATIVE AND QUALITATIVE DISCLOSURES ABOUT MARKET RISK</w:t>
      </w:r>
    </w:p>
    <w:p w:rsidR="00000000" w:rsidRDefault="00131F06">
      <w:pPr>
        <w:jc w:val="both"/>
        <w:rPr>
          <w:rFonts w:eastAsia="Times New Roman"/>
        </w:rPr>
      </w:pPr>
    </w:p>
    <w:p w:rsidR="00000000" w:rsidRDefault="00131F06">
      <w:pPr>
        <w:divId w:val="562067104"/>
        <w:rPr>
          <w:rFonts w:eastAsia="Times New Roman"/>
        </w:rPr>
      </w:pPr>
      <w:r>
        <w:rPr>
          <w:rFonts w:ascii="Arial" w:eastAsia="Times New Roman" w:hAnsi="Arial" w:cs="Arial"/>
          <w:color w:val="000000"/>
          <w:sz w:val="20"/>
          <w:szCs w:val="20"/>
        </w:rPr>
        <w:t xml:space="preserve">Our exposure to market risk is described in Part II. </w:t>
      </w:r>
      <w:r>
        <w:rPr>
          <w:rFonts w:ascii="Arial" w:eastAsia="Times New Roman" w:hAnsi="Arial" w:cs="Arial"/>
          <w:i/>
          <w:iCs/>
          <w:color w:val="000000"/>
          <w:sz w:val="20"/>
          <w:szCs w:val="20"/>
        </w:rPr>
        <w:t>Item 7A.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Quantitative and Qualitative Disclosures Abo</w:t>
      </w:r>
      <w:r>
        <w:rPr>
          <w:rFonts w:ascii="Arial" w:eastAsia="Times New Roman" w:hAnsi="Arial" w:cs="Arial"/>
          <w:i/>
          <w:iCs/>
          <w:color w:val="000000"/>
          <w:sz w:val="20"/>
          <w:szCs w:val="20"/>
        </w:rPr>
        <w:t>ut Market Risk</w:t>
      </w:r>
      <w:r>
        <w:rPr>
          <w:rFonts w:ascii="Arial" w:eastAsia="Times New Roman" w:hAnsi="Arial" w:cs="Arial"/>
          <w:color w:val="000000"/>
          <w:sz w:val="20"/>
          <w:szCs w:val="20"/>
        </w:rPr>
        <w:t xml:space="preserve"> of our annual report on Form 10-K for the year ended December 31, 2021. We believe our exposure to market risk has not changed materially since then.</w:t>
      </w:r>
    </w:p>
    <w:p w:rsidR="00000000" w:rsidRDefault="00131F06">
      <w:pPr>
        <w:divId w:val="1952661045"/>
        <w:rPr>
          <w:rFonts w:eastAsia="Times New Roman"/>
        </w:rPr>
      </w:pPr>
    </w:p>
    <w:p w:rsidR="00000000" w:rsidRDefault="00131F06">
      <w:pPr>
        <w:divId w:val="436679255"/>
        <w:rPr>
          <w:rFonts w:eastAsia="Times New Roman"/>
        </w:rPr>
      </w:pPr>
      <w:r>
        <w:rPr>
          <w:rFonts w:ascii="Arial" w:eastAsia="Times New Roman" w:hAnsi="Arial" w:cs="Arial"/>
          <w:b/>
          <w:bCs/>
          <w:color w:val="000000"/>
          <w:sz w:val="28"/>
          <w:szCs w:val="28"/>
        </w:rPr>
        <w:t>ITEM 4. CONTROLS AND PROCEDURES</w:t>
      </w:r>
    </w:p>
    <w:p w:rsidR="00000000" w:rsidRDefault="00131F06">
      <w:pPr>
        <w:divId w:val="1130901666"/>
        <w:rPr>
          <w:rFonts w:eastAsia="Times New Roman"/>
        </w:rPr>
      </w:pPr>
    </w:p>
    <w:p w:rsidR="00000000" w:rsidRDefault="00131F06">
      <w:pPr>
        <w:divId w:val="1305693093"/>
        <w:rPr>
          <w:rFonts w:eastAsia="Times New Roman"/>
        </w:rPr>
      </w:pPr>
      <w:r>
        <w:rPr>
          <w:rFonts w:ascii="Arial" w:eastAsia="Times New Roman" w:hAnsi="Arial" w:cs="Arial"/>
          <w:b/>
          <w:bCs/>
          <w:color w:val="000000"/>
          <w:sz w:val="20"/>
          <w:szCs w:val="20"/>
        </w:rPr>
        <w:t>Evaluation of Disclosure Controls and Procedures</w:t>
      </w:r>
    </w:p>
    <w:p w:rsidR="00000000" w:rsidRDefault="00131F06">
      <w:pPr>
        <w:divId w:val="611982937"/>
        <w:rPr>
          <w:rFonts w:eastAsia="Times New Roman"/>
        </w:rPr>
      </w:pPr>
      <w:r>
        <w:rPr>
          <w:rFonts w:ascii="Arial" w:eastAsia="Times New Roman" w:hAnsi="Arial" w:cs="Arial"/>
          <w:color w:val="000000"/>
          <w:sz w:val="20"/>
          <w:szCs w:val="20"/>
        </w:rPr>
        <w:t>Disclosure controls and procedures are controls and other procedures that are designed to ensure that information required to be disclosed by us in the reports we file or submit under the Exchange Act is rec</w:t>
      </w:r>
      <w:r>
        <w:rPr>
          <w:rFonts w:ascii="Arial" w:eastAsia="Times New Roman" w:hAnsi="Arial" w:cs="Arial"/>
          <w:color w:val="000000"/>
          <w:sz w:val="20"/>
          <w:szCs w:val="20"/>
        </w:rPr>
        <w:t>orded, processed, summarized and reported within the time periods specified by the SEC's rules and forms. Disclosure controls and procedures include, without limitation, controls and procedures designed to provide reasonable assurance that information requ</w:t>
      </w:r>
      <w:r>
        <w:rPr>
          <w:rFonts w:ascii="Arial" w:eastAsia="Times New Roman" w:hAnsi="Arial" w:cs="Arial"/>
          <w:color w:val="000000"/>
          <w:sz w:val="20"/>
          <w:szCs w:val="20"/>
        </w:rPr>
        <w:t>ired to be disclosed by us in the reports we file or submit under the Exchange Act is accumulated and communicated to management, including the Chief Executive Officer and Chief Financial Officer, as appropriate, to allow timely decisions regarding require</w:t>
      </w:r>
      <w:r>
        <w:rPr>
          <w:rFonts w:ascii="Arial" w:eastAsia="Times New Roman" w:hAnsi="Arial" w:cs="Arial"/>
          <w:color w:val="000000"/>
          <w:sz w:val="20"/>
          <w:szCs w:val="20"/>
        </w:rPr>
        <w:t xml:space="preserve">d disclosure. </w:t>
      </w:r>
    </w:p>
    <w:p w:rsidR="00000000" w:rsidRDefault="00131F06">
      <w:pPr>
        <w:divId w:val="1407457668"/>
        <w:rPr>
          <w:rFonts w:eastAsia="Times New Roman"/>
        </w:rPr>
      </w:pPr>
    </w:p>
    <w:p w:rsidR="00000000" w:rsidRDefault="00131F06">
      <w:pPr>
        <w:divId w:val="2106223940"/>
        <w:rPr>
          <w:rFonts w:eastAsia="Times New Roman"/>
        </w:rPr>
      </w:pPr>
      <w:r>
        <w:rPr>
          <w:rFonts w:ascii="Arial" w:eastAsia="Times New Roman" w:hAnsi="Arial" w:cs="Arial"/>
          <w:color w:val="000000"/>
          <w:sz w:val="20"/>
          <w:szCs w:val="20"/>
        </w:rPr>
        <w:t>Under the supervision of and with the participation of management, including the Chief Executive Officer and Chief Financial Officer, we have evaluated the effectiveness of our disclosure controls and procedures (as such term is defined in</w:t>
      </w:r>
      <w:r>
        <w:rPr>
          <w:rFonts w:ascii="Arial" w:eastAsia="Times New Roman" w:hAnsi="Arial" w:cs="Arial"/>
          <w:color w:val="000000"/>
          <w:sz w:val="20"/>
          <w:szCs w:val="20"/>
        </w:rPr>
        <w:t xml:space="preserve"> Rules 13a-15(e) and 15d-15(e) under the Exchange Act) as at September 30, 2022, and based upon this evaluation, the Chief Executive Officer and Chief Financial Officer have concluded that these controls and procedures are effective in ensuring that inform</w:t>
      </w:r>
      <w:r>
        <w:rPr>
          <w:rFonts w:ascii="Arial" w:eastAsia="Times New Roman" w:hAnsi="Arial" w:cs="Arial"/>
          <w:color w:val="000000"/>
          <w:sz w:val="20"/>
          <w:szCs w:val="20"/>
        </w:rPr>
        <w:t>ation required to be disclosed by us in reports that we file with or submit to the SEC and the Canadian Securities Administrators is recorded, processed, summarized and reported within the time periods required.</w:t>
      </w:r>
    </w:p>
    <w:p w:rsidR="00000000" w:rsidRDefault="00131F06">
      <w:pPr>
        <w:divId w:val="1992362875"/>
        <w:rPr>
          <w:rFonts w:eastAsia="Times New Roman"/>
        </w:rPr>
      </w:pPr>
    </w:p>
    <w:p w:rsidR="00000000" w:rsidRDefault="00131F06">
      <w:pPr>
        <w:jc w:val="center"/>
        <w:divId w:val="1974022147"/>
        <w:rPr>
          <w:rFonts w:eastAsia="Times New Roman"/>
        </w:rPr>
      </w:pPr>
      <w:r>
        <w:rPr>
          <w:rFonts w:ascii="Arial" w:eastAsia="Times New Roman" w:hAnsi="Arial" w:cs="Arial"/>
          <w:color w:val="000000"/>
          <w:sz w:val="20"/>
          <w:szCs w:val="20"/>
        </w:rPr>
        <w:t>60</w:t>
      </w:r>
    </w:p>
    <w:p w:rsidR="00000000" w:rsidRDefault="00131F06">
      <w:pPr>
        <w:rPr>
          <w:rFonts w:eastAsia="Times New Roman"/>
        </w:rPr>
      </w:pPr>
      <w:r>
        <w:rPr>
          <w:rFonts w:eastAsia="Times New Roman"/>
        </w:rPr>
        <w:pict>
          <v:rect id="_x0000_i1085" style="width:0;height:1.5pt" o:hralign="center" o:hrstd="t" o:hr="t" fillcolor="#a0a0a0" stroked="f"/>
        </w:pict>
      </w:r>
    </w:p>
    <w:p w:rsidR="00000000" w:rsidRDefault="00131F06">
      <w:pPr>
        <w:jc w:val="center"/>
        <w:divId w:val="1730301202"/>
        <w:rPr>
          <w:rFonts w:eastAsia="Times New Roman"/>
        </w:rPr>
      </w:pPr>
    </w:p>
    <w:p w:rsidR="00000000" w:rsidRDefault="00131F06">
      <w:pPr>
        <w:divId w:val="1297493917"/>
        <w:rPr>
          <w:rFonts w:eastAsia="Times New Roman"/>
        </w:rPr>
      </w:pPr>
      <w:r>
        <w:rPr>
          <w:rFonts w:ascii="Arial" w:eastAsia="Times New Roman" w:hAnsi="Arial" w:cs="Arial"/>
          <w:b/>
          <w:bCs/>
          <w:color w:val="000000"/>
          <w:sz w:val="20"/>
          <w:szCs w:val="20"/>
        </w:rPr>
        <w:t>Changes in Internal Control over Financial Reporting</w:t>
      </w:r>
    </w:p>
    <w:p w:rsidR="00000000" w:rsidRDefault="00131F06">
      <w:pPr>
        <w:divId w:val="913197369"/>
        <w:rPr>
          <w:rFonts w:eastAsia="Times New Roman"/>
        </w:rPr>
      </w:pPr>
      <w:r>
        <w:rPr>
          <w:rFonts w:ascii="Arial" w:eastAsia="Times New Roman" w:hAnsi="Arial" w:cs="Arial"/>
          <w:color w:val="000000"/>
          <w:sz w:val="20"/>
          <w:szCs w:val="20"/>
        </w:rPr>
        <w:t>Under the supervision of and with the participation of management, including the Chief Executive Officer and Chief Financial Officer, we have evaluated changes in internal control over financial reportin</w:t>
      </w:r>
      <w:r>
        <w:rPr>
          <w:rFonts w:ascii="Arial" w:eastAsia="Times New Roman" w:hAnsi="Arial" w:cs="Arial"/>
          <w:color w:val="000000"/>
          <w:sz w:val="20"/>
          <w:szCs w:val="20"/>
        </w:rPr>
        <w:t>g (as such term is defined in Rules 13a-15(f) and 15d-15(f) under the Exchange Act) that occurred during the fiscal quarter ended September 30, 2022 and found no change that has materially affected, or is reasonably likely to materially affect, internal co</w:t>
      </w:r>
      <w:r>
        <w:rPr>
          <w:rFonts w:ascii="Arial" w:eastAsia="Times New Roman" w:hAnsi="Arial" w:cs="Arial"/>
          <w:color w:val="000000"/>
          <w:sz w:val="20"/>
          <w:szCs w:val="20"/>
        </w:rPr>
        <w:t>ntrol over financial reporting.</w:t>
      </w:r>
    </w:p>
    <w:p w:rsidR="00000000" w:rsidRDefault="00131F06">
      <w:pPr>
        <w:divId w:val="1014109467"/>
        <w:rPr>
          <w:rFonts w:eastAsia="Times New Roman"/>
        </w:rPr>
      </w:pPr>
    </w:p>
    <w:p w:rsidR="00000000" w:rsidRDefault="00131F06">
      <w:pPr>
        <w:jc w:val="center"/>
        <w:divId w:val="850026473"/>
        <w:rPr>
          <w:rFonts w:eastAsia="Times New Roman"/>
        </w:rPr>
      </w:pPr>
      <w:r>
        <w:rPr>
          <w:rFonts w:ascii="Arial" w:eastAsia="Times New Roman" w:hAnsi="Arial" w:cs="Arial"/>
          <w:color w:val="000000"/>
          <w:sz w:val="20"/>
          <w:szCs w:val="20"/>
        </w:rPr>
        <w:t>61</w:t>
      </w:r>
    </w:p>
    <w:p w:rsidR="00000000" w:rsidRDefault="00131F06">
      <w:pPr>
        <w:rPr>
          <w:rFonts w:eastAsia="Times New Roman"/>
        </w:rPr>
      </w:pPr>
      <w:r>
        <w:rPr>
          <w:rFonts w:eastAsia="Times New Roman"/>
        </w:rPr>
        <w:pict>
          <v:rect id="_x0000_i1086" style="width:0;height:1.5pt" o:hralign="center" o:hrstd="t" o:hr="t" fillcolor="#a0a0a0" stroked="f"/>
        </w:pict>
      </w:r>
    </w:p>
    <w:p w:rsidR="00000000" w:rsidRDefault="00131F06">
      <w:pPr>
        <w:jc w:val="center"/>
        <w:divId w:val="767852277"/>
        <w:rPr>
          <w:rFonts w:eastAsia="Times New Roman"/>
        </w:rPr>
      </w:pPr>
    </w:p>
    <w:p w:rsidR="00000000" w:rsidRDefault="00131F06">
      <w:pPr>
        <w:jc w:val="center"/>
        <w:rPr>
          <w:rFonts w:eastAsia="Times New Roman"/>
        </w:rPr>
      </w:pPr>
      <w:r>
        <w:rPr>
          <w:rFonts w:ascii="Arial" w:eastAsia="Times New Roman" w:hAnsi="Arial" w:cs="Arial"/>
          <w:b/>
          <w:bCs/>
          <w:color w:val="000000"/>
          <w:sz w:val="30"/>
          <w:szCs w:val="30"/>
        </w:rPr>
        <w:t>PART II - OTHER INFORMATION</w:t>
      </w:r>
    </w:p>
    <w:p w:rsidR="00000000" w:rsidRDefault="00131F06">
      <w:pPr>
        <w:jc w:val="center"/>
        <w:rPr>
          <w:rFonts w:eastAsia="Times New Roman"/>
        </w:rPr>
      </w:pPr>
    </w:p>
    <w:p w:rsidR="00000000" w:rsidRDefault="00131F06">
      <w:pPr>
        <w:divId w:val="543103786"/>
        <w:rPr>
          <w:rFonts w:eastAsia="Times New Roman"/>
        </w:rPr>
      </w:pPr>
      <w:r>
        <w:rPr>
          <w:rFonts w:ascii="Arial" w:eastAsia="Times New Roman" w:hAnsi="Arial" w:cs="Arial"/>
          <w:b/>
          <w:bCs/>
          <w:color w:val="000000"/>
          <w:sz w:val="28"/>
          <w:szCs w:val="28"/>
        </w:rPr>
        <w:t xml:space="preserve">ITEM 1. LEGAL PROCEEDINGS </w:t>
      </w:r>
    </w:p>
    <w:p w:rsidR="00000000" w:rsidRDefault="00131F06">
      <w:pPr>
        <w:divId w:val="648166267"/>
        <w:rPr>
          <w:rFonts w:eastAsia="Times New Roman"/>
        </w:rPr>
      </w:pPr>
    </w:p>
    <w:p w:rsidR="00000000" w:rsidRDefault="00131F06">
      <w:pPr>
        <w:divId w:val="2045710142"/>
        <w:rPr>
          <w:rFonts w:eastAsia="Times New Roman"/>
        </w:rPr>
      </w:pPr>
      <w:r>
        <w:rPr>
          <w:rFonts w:ascii="Arial" w:eastAsia="Times New Roman" w:hAnsi="Arial" w:cs="Arial"/>
          <w:color w:val="000000"/>
          <w:sz w:val="20"/>
          <w:szCs w:val="20"/>
        </w:rPr>
        <w:t>We are involved in various legal and regulatory actions and proceedings which arise in the ordinary course of business. While the final outcome of such actions and proceedings cannot be predicted with certainty, management believes that the resolution of s</w:t>
      </w:r>
      <w:r>
        <w:rPr>
          <w:rFonts w:ascii="Arial" w:eastAsia="Times New Roman" w:hAnsi="Arial" w:cs="Arial"/>
          <w:color w:val="000000"/>
          <w:sz w:val="20"/>
          <w:szCs w:val="20"/>
        </w:rPr>
        <w:t xml:space="preserve">uch actions and proceedings will not have a material impact on our consolidated financial position or results of operations. Refer to Part I. </w:t>
      </w:r>
      <w:r>
        <w:rPr>
          <w:rFonts w:ascii="Arial" w:eastAsia="Times New Roman" w:hAnsi="Arial" w:cs="Arial"/>
          <w:i/>
          <w:iCs/>
          <w:color w:val="000000"/>
          <w:sz w:val="20"/>
          <w:szCs w:val="20"/>
        </w:rPr>
        <w:t>Item 2</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Management's Discussion and Analysis of Financial Condition and Results of Operations - Legal and Other Up</w:t>
      </w:r>
      <w:r>
        <w:rPr>
          <w:rFonts w:ascii="Arial" w:eastAsia="Times New Roman" w:hAnsi="Arial" w:cs="Arial"/>
          <w:i/>
          <w:iCs/>
          <w:color w:val="000000"/>
          <w:sz w:val="20"/>
          <w:szCs w:val="20"/>
        </w:rPr>
        <w:t>dates</w:t>
      </w:r>
      <w:r>
        <w:rPr>
          <w:rFonts w:ascii="Arial" w:eastAsia="Times New Roman" w:hAnsi="Arial" w:cs="Arial"/>
          <w:color w:val="000000"/>
          <w:sz w:val="20"/>
          <w:szCs w:val="20"/>
          <w:shd w:val="clear" w:color="auto" w:fill="FFFFFF"/>
        </w:rPr>
        <w:t xml:space="preserve"> for discussion of other legal proceedings.</w:t>
      </w:r>
    </w:p>
    <w:p w:rsidR="00000000" w:rsidRDefault="00131F06">
      <w:pPr>
        <w:divId w:val="1338800836"/>
        <w:rPr>
          <w:rFonts w:eastAsia="Times New Roman"/>
        </w:rPr>
      </w:pPr>
    </w:p>
    <w:p w:rsidR="00000000" w:rsidRDefault="00131F06">
      <w:pPr>
        <w:divId w:val="1586455831"/>
        <w:rPr>
          <w:rFonts w:eastAsia="Times New Roman"/>
        </w:rPr>
      </w:pPr>
      <w:r>
        <w:rPr>
          <w:rFonts w:ascii="Arial" w:eastAsia="Times New Roman" w:hAnsi="Arial" w:cs="Arial"/>
          <w:color w:val="000000"/>
          <w:sz w:val="20"/>
          <w:szCs w:val="20"/>
        </w:rPr>
        <w:t>SEC regulations require the disclosure of any proceeding under environmental laws to which a governmental authority is a party unless the registrant reasonably believes it will not result in monetary sanct</w:t>
      </w:r>
      <w:r>
        <w:rPr>
          <w:rFonts w:ascii="Arial" w:eastAsia="Times New Roman" w:hAnsi="Arial" w:cs="Arial"/>
          <w:color w:val="000000"/>
          <w:sz w:val="20"/>
          <w:szCs w:val="20"/>
        </w:rPr>
        <w:t>ions over a certain threshold. Given the size of our operations, we have elected to use a threshold of US$1 million for the purposes of determining proceedings requiring disclosure.</w:t>
      </w:r>
    </w:p>
    <w:p w:rsidR="00000000" w:rsidRDefault="00131F06">
      <w:pPr>
        <w:divId w:val="1475223083"/>
        <w:rPr>
          <w:rFonts w:eastAsia="Times New Roman"/>
        </w:rPr>
      </w:pPr>
    </w:p>
    <w:p w:rsidR="00000000" w:rsidRDefault="00131F06">
      <w:pPr>
        <w:divId w:val="1801879478"/>
        <w:rPr>
          <w:rFonts w:eastAsia="Times New Roman"/>
        </w:rPr>
      </w:pPr>
      <w:r>
        <w:rPr>
          <w:rFonts w:ascii="Arial" w:eastAsia="Times New Roman" w:hAnsi="Arial" w:cs="Arial"/>
          <w:color w:val="000000"/>
          <w:sz w:val="20"/>
          <w:szCs w:val="20"/>
        </w:rPr>
        <w:t>On October 17, 2022, four separate comprehensive enforcement resolutions</w:t>
      </w:r>
      <w:r>
        <w:rPr>
          <w:rFonts w:ascii="Arial" w:eastAsia="Times New Roman" w:hAnsi="Arial" w:cs="Arial"/>
          <w:color w:val="000000"/>
          <w:sz w:val="20"/>
          <w:szCs w:val="20"/>
        </w:rPr>
        <w:t xml:space="preserve"> were announced with the Minnesota Pollution Control Agency, Minnesota Department of Natural Resources (DNR), Fond du Lac Band of Lake Superior Chippewa, and Minnesota Attorney General’s Office related to alleged violations that occurred during constructio</w:t>
      </w:r>
      <w:r>
        <w:rPr>
          <w:rFonts w:ascii="Arial" w:eastAsia="Times New Roman" w:hAnsi="Arial" w:cs="Arial"/>
          <w:color w:val="000000"/>
          <w:sz w:val="20"/>
          <w:szCs w:val="20"/>
        </w:rPr>
        <w:t>n of L3R. As part of these agreements, together with the DNR’s previous Administrative Penalty Order, Enbridge will provide the various entities a total of approximately US$11 million, approximately US$7.5 million of which is to provide financial assurance</w:t>
      </w:r>
      <w:r>
        <w:rPr>
          <w:rFonts w:ascii="Arial" w:eastAsia="Times New Roman" w:hAnsi="Arial" w:cs="Arial"/>
          <w:color w:val="000000"/>
          <w:sz w:val="20"/>
          <w:szCs w:val="20"/>
        </w:rPr>
        <w:t>s and fund multiple environmental and resource enhancement projects. The Minnesota Attorney General has filed a misdemeanor criminal charge for the taking of water without a permit at the Clearbrook aquifer, with this charge against us to be dismissed foll</w:t>
      </w:r>
      <w:r>
        <w:rPr>
          <w:rFonts w:ascii="Arial" w:eastAsia="Times New Roman" w:hAnsi="Arial" w:cs="Arial"/>
          <w:color w:val="000000"/>
          <w:sz w:val="20"/>
          <w:szCs w:val="20"/>
        </w:rPr>
        <w:t>owing one year of compliance with the state water appropriation rules. For additional information, please see our 2021 Annual Report on Form 10-K and our Quarterly Report on Form 10-Q for the quarter ended March 31, 2022.</w:t>
      </w:r>
    </w:p>
    <w:p w:rsidR="00000000" w:rsidRDefault="00131F06">
      <w:pPr>
        <w:divId w:val="111436725"/>
        <w:rPr>
          <w:rFonts w:eastAsia="Times New Roman"/>
        </w:rPr>
      </w:pPr>
    </w:p>
    <w:p w:rsidR="00000000" w:rsidRDefault="00131F06">
      <w:pPr>
        <w:divId w:val="1311521835"/>
        <w:rPr>
          <w:rFonts w:eastAsia="Times New Roman"/>
        </w:rPr>
      </w:pPr>
      <w:r>
        <w:rPr>
          <w:rFonts w:ascii="Arial" w:eastAsia="Times New Roman" w:hAnsi="Arial" w:cs="Arial"/>
          <w:b/>
          <w:bCs/>
          <w:color w:val="000000"/>
          <w:sz w:val="28"/>
          <w:szCs w:val="28"/>
        </w:rPr>
        <w:t xml:space="preserve">ITEM 1A. RISK FACTORS </w:t>
      </w:r>
    </w:p>
    <w:p w:rsidR="00000000" w:rsidRDefault="00131F06">
      <w:pPr>
        <w:jc w:val="both"/>
        <w:rPr>
          <w:rFonts w:eastAsia="Times New Roman"/>
        </w:rPr>
      </w:pPr>
    </w:p>
    <w:p w:rsidR="00000000" w:rsidRDefault="00131F06">
      <w:pPr>
        <w:divId w:val="1654525454"/>
        <w:rPr>
          <w:rFonts w:eastAsia="Times New Roman"/>
        </w:rPr>
      </w:pPr>
      <w:r>
        <w:rPr>
          <w:rFonts w:ascii="Arial" w:eastAsia="Times New Roman" w:hAnsi="Arial" w:cs="Arial"/>
          <w:color w:val="000000"/>
          <w:sz w:val="20"/>
          <w:szCs w:val="20"/>
        </w:rPr>
        <w:t>In addi</w:t>
      </w:r>
      <w:r>
        <w:rPr>
          <w:rFonts w:ascii="Arial" w:eastAsia="Times New Roman" w:hAnsi="Arial" w:cs="Arial"/>
          <w:color w:val="000000"/>
          <w:sz w:val="20"/>
          <w:szCs w:val="20"/>
        </w:rPr>
        <w:t>tion to the other information set forth in this report, careful consideration should be given to the factors discussed in Part I.</w:t>
      </w:r>
      <w:r>
        <w:rPr>
          <w:rFonts w:ascii="Arial" w:eastAsia="Times New Roman" w:hAnsi="Arial" w:cs="Arial"/>
          <w:i/>
          <w:iCs/>
          <w:color w:val="000000"/>
          <w:sz w:val="20"/>
          <w:szCs w:val="20"/>
        </w:rPr>
        <w:t xml:space="preserve"> Item 1A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of our annual report on Form 10-K for the year ended December 31, 2021, which could materially affect ou</w:t>
      </w:r>
      <w:r>
        <w:rPr>
          <w:rFonts w:ascii="Arial" w:eastAsia="Times New Roman" w:hAnsi="Arial" w:cs="Arial"/>
          <w:color w:val="000000"/>
          <w:sz w:val="20"/>
          <w:szCs w:val="20"/>
        </w:rPr>
        <w:t xml:space="preserve">r financial condition or future results. There have been no material modifications to those risk factors. </w:t>
      </w:r>
    </w:p>
    <w:p w:rsidR="00000000" w:rsidRDefault="00131F06">
      <w:pPr>
        <w:divId w:val="691612096"/>
        <w:rPr>
          <w:rFonts w:eastAsia="Times New Roman"/>
        </w:rPr>
      </w:pPr>
    </w:p>
    <w:p w:rsidR="00000000" w:rsidRDefault="00131F06">
      <w:pPr>
        <w:jc w:val="center"/>
        <w:divId w:val="1222522083"/>
        <w:rPr>
          <w:rFonts w:eastAsia="Times New Roman"/>
        </w:rPr>
      </w:pPr>
      <w:r>
        <w:rPr>
          <w:rFonts w:ascii="Arial" w:eastAsia="Times New Roman" w:hAnsi="Arial" w:cs="Arial"/>
          <w:color w:val="000000"/>
          <w:sz w:val="20"/>
          <w:szCs w:val="20"/>
        </w:rPr>
        <w:t>62</w:t>
      </w:r>
    </w:p>
    <w:p w:rsidR="00000000" w:rsidRDefault="00131F06">
      <w:pPr>
        <w:rPr>
          <w:rFonts w:eastAsia="Times New Roman"/>
        </w:rPr>
      </w:pPr>
      <w:r>
        <w:rPr>
          <w:rFonts w:eastAsia="Times New Roman"/>
        </w:rPr>
        <w:pict>
          <v:rect id="_x0000_i1087" style="width:0;height:1.5pt" o:hralign="center" o:hrstd="t" o:hr="t" fillcolor="#a0a0a0" stroked="f"/>
        </w:pict>
      </w:r>
    </w:p>
    <w:p w:rsidR="00000000" w:rsidRDefault="00131F06">
      <w:pPr>
        <w:jc w:val="center"/>
        <w:divId w:val="813567514"/>
        <w:rPr>
          <w:rFonts w:eastAsia="Times New Roman"/>
        </w:rPr>
      </w:pPr>
    </w:p>
    <w:p w:rsidR="00000000" w:rsidRDefault="00131F06">
      <w:pPr>
        <w:divId w:val="445273381"/>
        <w:rPr>
          <w:rFonts w:eastAsia="Times New Roman"/>
        </w:rPr>
      </w:pPr>
      <w:r>
        <w:rPr>
          <w:rFonts w:ascii="Arial" w:eastAsia="Times New Roman" w:hAnsi="Arial" w:cs="Arial"/>
          <w:b/>
          <w:bCs/>
          <w:color w:val="000000"/>
          <w:sz w:val="28"/>
          <w:szCs w:val="28"/>
        </w:rPr>
        <w:t>ITEM 2. UNREGISTERED SALES OF EQUITY SECURITIES AND USE OF PROCEEDS</w:t>
      </w:r>
    </w:p>
    <w:p w:rsidR="00000000" w:rsidRDefault="00131F06">
      <w:pPr>
        <w:divId w:val="553397910"/>
        <w:rPr>
          <w:rFonts w:eastAsia="Times New Roman"/>
        </w:rPr>
      </w:pPr>
    </w:p>
    <w:p w:rsidR="00000000" w:rsidRDefault="00131F06">
      <w:pPr>
        <w:divId w:val="1256672363"/>
        <w:rPr>
          <w:rFonts w:eastAsia="Times New Roman"/>
        </w:rPr>
      </w:pPr>
      <w:r>
        <w:rPr>
          <w:rFonts w:ascii="Arial" w:eastAsia="Times New Roman" w:hAnsi="Arial" w:cs="Arial"/>
          <w:b/>
          <w:bCs/>
          <w:color w:val="000000"/>
          <w:sz w:val="20"/>
          <w:szCs w:val="20"/>
        </w:rPr>
        <w:t>ISSUER PURCHASES OF EQUITY SECURITIES</w:t>
      </w:r>
    </w:p>
    <w:p w:rsidR="00000000" w:rsidRDefault="00131F06">
      <w:pPr>
        <w:divId w:val="144326464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12"/>
        <w:gridCol w:w="38"/>
        <w:gridCol w:w="69"/>
        <w:gridCol w:w="1278"/>
        <w:gridCol w:w="36"/>
        <w:gridCol w:w="69"/>
        <w:gridCol w:w="1278"/>
        <w:gridCol w:w="36"/>
        <w:gridCol w:w="69"/>
        <w:gridCol w:w="1505"/>
        <w:gridCol w:w="36"/>
        <w:gridCol w:w="70"/>
        <w:gridCol w:w="1505"/>
        <w:gridCol w:w="36"/>
      </w:tblGrid>
      <w:tr w:rsidR="00000000">
        <w:trPr>
          <w:divId w:val="965312276"/>
        </w:trPr>
        <w:tc>
          <w:tcPr>
            <w:tcW w:w="50" w:type="pct"/>
            <w:vAlign w:val="center"/>
            <w:hideMark/>
          </w:tcPr>
          <w:p w:rsidR="00000000" w:rsidRDefault="00131F06">
            <w:pPr>
              <w:rPr>
                <w:rFonts w:eastAsia="Times New Roman"/>
              </w:rPr>
            </w:pPr>
          </w:p>
        </w:tc>
        <w:tc>
          <w:tcPr>
            <w:tcW w:w="1339"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778"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91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91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965312276"/>
        </w:trPr>
        <w:tc>
          <w:tcPr>
            <w:tcW w:w="0" w:type="auto"/>
            <w:gridSpan w:val="3"/>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18"/>
                <w:szCs w:val="18"/>
              </w:rPr>
              <w:t>Period</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8"/>
                <w:szCs w:val="18"/>
              </w:rPr>
              <w:t>Total number of shares purchased</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8"/>
                <w:szCs w:val="18"/>
              </w:rPr>
              <w:t>Average price paid per share</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8"/>
                <w:szCs w:val="18"/>
              </w:rPr>
              <w:t>Total number of shares purchased as part of publicly announced plans or programs</w:t>
            </w: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18"/>
                <w:szCs w:val="18"/>
              </w:rPr>
              <w:t>Maximum number of shares that may yet be purchased under the plans or program</w:t>
            </w:r>
            <w:r>
              <w:rPr>
                <w:rFonts w:ascii="Arial" w:eastAsia="Times New Roman" w:hAnsi="Arial" w:cs="Arial"/>
                <w:b/>
                <w:bCs/>
                <w:color w:val="000000"/>
                <w:sz w:val="18"/>
                <w:szCs w:val="18"/>
              </w:rPr>
              <w:t>s</w:t>
            </w:r>
            <w:r>
              <w:rPr>
                <w:rFonts w:ascii="Arial" w:eastAsia="Times New Roman" w:hAnsi="Arial" w:cs="Arial"/>
                <w:color w:val="000000"/>
                <w:sz w:val="10"/>
                <w:szCs w:val="10"/>
              </w:rPr>
              <w:t>1</w:t>
            </w:r>
          </w:p>
        </w:tc>
      </w:tr>
      <w:tr w:rsidR="00000000">
        <w:trPr>
          <w:divId w:val="965312276"/>
        </w:trPr>
        <w:tc>
          <w:tcPr>
            <w:tcW w:w="0" w:type="auto"/>
            <w:gridSpan w:val="3"/>
            <w:vAlign w:val="center"/>
            <w:hideMark/>
          </w:tcPr>
          <w:p w:rsidR="00000000" w:rsidRDefault="00131F06">
            <w:pPr>
              <w:spacing w:after="100"/>
              <w:jc w:val="right"/>
              <w:rPr>
                <w:rFonts w:eastAsia="Times New Roman"/>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965312276"/>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965312276"/>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965312276"/>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965312276"/>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965312276"/>
        </w:trPr>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c>
          <w:tcPr>
            <w:tcW w:w="0" w:type="auto"/>
            <w:gridSpan w:val="3"/>
            <w:vAlign w:val="center"/>
            <w:hideMark/>
          </w:tcPr>
          <w:p w:rsidR="00000000" w:rsidRDefault="00131F06">
            <w:pPr>
              <w:spacing w:after="100"/>
              <w:rPr>
                <w:rFonts w:eastAsia="Times New Roman"/>
                <w:sz w:val="20"/>
                <w:szCs w:val="20"/>
              </w:rPr>
            </w:pPr>
          </w:p>
        </w:tc>
      </w:tr>
      <w:tr w:rsidR="00000000">
        <w:trPr>
          <w:divId w:val="96531227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divId w:val="1994095927"/>
              <w:rPr>
                <w:rFonts w:eastAsia="Times New Roman"/>
              </w:rPr>
            </w:pPr>
            <w:r>
              <w:rPr>
                <w:rFonts w:ascii="Arial" w:eastAsia="Times New Roman" w:hAnsi="Arial" w:cs="Arial"/>
                <w:b/>
                <w:bCs/>
                <w:color w:val="000000"/>
                <w:sz w:val="18"/>
                <w:szCs w:val="18"/>
              </w:rPr>
              <w:t>July 2022</w:t>
            </w:r>
          </w:p>
          <w:p w:rsidR="00000000" w:rsidRDefault="00131F06">
            <w:pPr>
              <w:spacing w:after="100"/>
              <w:divId w:val="1464420510"/>
              <w:rPr>
                <w:rFonts w:eastAsia="Times New Roman"/>
              </w:rPr>
            </w:pPr>
            <w:r>
              <w:rPr>
                <w:rFonts w:ascii="Arial" w:eastAsia="Times New Roman" w:hAnsi="Arial" w:cs="Arial"/>
                <w:color w:val="000000"/>
                <w:sz w:val="18"/>
                <w:szCs w:val="18"/>
              </w:rPr>
              <w:t>(July 1 - July 31)</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N/A</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28,324,366 </w:t>
            </w:r>
          </w:p>
        </w:tc>
        <w:tc>
          <w:tcPr>
            <w:tcW w:w="0" w:type="auto"/>
            <w:tcBorders>
              <w:top w:val="single" w:sz="4"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965312276"/>
        </w:trPr>
        <w:tc>
          <w:tcPr>
            <w:tcW w:w="0" w:type="auto"/>
            <w:gridSpan w:val="3"/>
            <w:tcMar>
              <w:top w:w="30" w:type="dxa"/>
              <w:left w:w="20" w:type="dxa"/>
              <w:bottom w:w="30" w:type="dxa"/>
              <w:right w:w="20" w:type="dxa"/>
            </w:tcMar>
            <w:vAlign w:val="bottom"/>
            <w:hideMark/>
          </w:tcPr>
          <w:p w:rsidR="00000000" w:rsidRDefault="00131F06">
            <w:pPr>
              <w:spacing w:after="100"/>
              <w:divId w:val="1848444578"/>
              <w:rPr>
                <w:rFonts w:eastAsia="Times New Roman"/>
              </w:rPr>
            </w:pPr>
            <w:r>
              <w:rPr>
                <w:rFonts w:ascii="Arial" w:eastAsia="Times New Roman" w:hAnsi="Arial" w:cs="Arial"/>
                <w:b/>
                <w:bCs/>
                <w:color w:val="000000"/>
                <w:sz w:val="18"/>
                <w:szCs w:val="18"/>
              </w:rPr>
              <w:t>August 2022</w:t>
            </w:r>
          </w:p>
          <w:p w:rsidR="00000000" w:rsidRDefault="00131F06">
            <w:pPr>
              <w:spacing w:after="100"/>
              <w:divId w:val="126555155"/>
              <w:rPr>
                <w:rFonts w:eastAsia="Times New Roman"/>
              </w:rPr>
            </w:pPr>
            <w:r>
              <w:rPr>
                <w:rFonts w:ascii="Arial" w:eastAsia="Times New Roman" w:hAnsi="Arial" w:cs="Arial"/>
                <w:color w:val="000000"/>
                <w:sz w:val="18"/>
                <w:szCs w:val="18"/>
              </w:rPr>
              <w:t>(August 1 - August 31)</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N/A</w:t>
            </w: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28,324,366 </w:t>
            </w:r>
          </w:p>
        </w:tc>
        <w:tc>
          <w:tcPr>
            <w:tcW w:w="0" w:type="auto"/>
            <w:tcMar>
              <w:top w:w="30" w:type="dxa"/>
              <w:left w:w="0" w:type="dxa"/>
              <w:bottom w:w="30" w:type="dxa"/>
              <w:right w:w="20" w:type="dxa"/>
            </w:tcMar>
            <w:vAlign w:val="bottom"/>
            <w:hideMark/>
          </w:tcPr>
          <w:p w:rsidR="00000000" w:rsidRDefault="00131F06">
            <w:pPr>
              <w:spacing w:after="100"/>
              <w:jc w:val="right"/>
              <w:rPr>
                <w:rFonts w:eastAsia="Times New Roman"/>
              </w:rPr>
            </w:pPr>
          </w:p>
        </w:tc>
      </w:tr>
      <w:tr w:rsidR="00000000">
        <w:trPr>
          <w:divId w:val="96531227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divId w:val="838543074"/>
              <w:rPr>
                <w:rFonts w:eastAsia="Times New Roman"/>
              </w:rPr>
            </w:pPr>
            <w:r>
              <w:rPr>
                <w:rFonts w:ascii="Arial" w:eastAsia="Times New Roman" w:hAnsi="Arial" w:cs="Arial"/>
                <w:b/>
                <w:bCs/>
                <w:color w:val="000000"/>
                <w:sz w:val="18"/>
                <w:szCs w:val="18"/>
              </w:rPr>
              <w:t>September 2022</w:t>
            </w:r>
          </w:p>
          <w:p w:rsidR="00000000" w:rsidRDefault="00131F06">
            <w:pPr>
              <w:spacing w:after="100"/>
              <w:divId w:val="965812920"/>
              <w:rPr>
                <w:rFonts w:eastAsia="Times New Roman"/>
              </w:rPr>
            </w:pPr>
            <w:r>
              <w:rPr>
                <w:rFonts w:ascii="Arial" w:eastAsia="Times New Roman" w:hAnsi="Arial" w:cs="Arial"/>
                <w:color w:val="000000"/>
                <w:sz w:val="18"/>
                <w:szCs w:val="18"/>
              </w:rPr>
              <w:t>(September 1 - September 30)</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N/A</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31F06">
            <w:pPr>
              <w:spacing w:after="100"/>
              <w:jc w:val="right"/>
              <w:rPr>
                <w:rFonts w:eastAsia="Times New Roman"/>
              </w:rPr>
            </w:pPr>
            <w:r>
              <w:rPr>
                <w:rFonts w:ascii="Arial" w:eastAsia="Times New Roman" w:hAnsi="Arial" w:cs="Arial"/>
                <w:color w:val="000000"/>
                <w:sz w:val="18"/>
                <w:szCs w:val="18"/>
              </w:rPr>
              <w:t>28,324,366 </w:t>
            </w:r>
          </w:p>
        </w:tc>
        <w:tc>
          <w:tcPr>
            <w:tcW w:w="0" w:type="auto"/>
            <w:tcBorders>
              <w:bottom w:val="single" w:sz="8" w:space="0" w:color="000000"/>
            </w:tcBorders>
            <w:tcMar>
              <w:top w:w="30" w:type="dxa"/>
              <w:left w:w="0" w:type="dxa"/>
              <w:bottom w:w="30" w:type="dxa"/>
              <w:right w:w="20" w:type="dxa"/>
            </w:tcMar>
            <w:vAlign w:val="bottom"/>
            <w:hideMark/>
          </w:tcPr>
          <w:p w:rsidR="00000000" w:rsidRDefault="00131F06">
            <w:pPr>
              <w:spacing w:after="100"/>
              <w:jc w:val="right"/>
              <w:rPr>
                <w:rFonts w:eastAsia="Times New Roman"/>
              </w:rPr>
            </w:pPr>
          </w:p>
        </w:tc>
      </w:tr>
    </w:tbl>
    <w:p w:rsidR="00000000" w:rsidRDefault="00131F06">
      <w:pPr>
        <w:ind w:hanging="180"/>
        <w:divId w:val="114723560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On December 31, 2021, the Toronto Stock Exchange (TSX) approved our NCIB to purchase, for cancellation, up to 31,062,331 of the outstanding common shares of Enbridge to an aggregate amount of up to $1.5 billion, subject to certain restrictions on the numbe</w:t>
      </w:r>
      <w:r>
        <w:rPr>
          <w:rFonts w:ascii="Arial" w:eastAsia="Times New Roman" w:hAnsi="Arial" w:cs="Arial"/>
          <w:i/>
          <w:iCs/>
          <w:color w:val="000000"/>
          <w:sz w:val="16"/>
          <w:szCs w:val="16"/>
        </w:rPr>
        <w:t>r of common shares that may be purchased on a single day. Purchases under the NCIB may be made through the facilities of the TSX, the New York Stock Exchange and other designated exchanges and alternative trading systems. Our NCIB commenced on January 5, 2</w:t>
      </w:r>
      <w:r>
        <w:rPr>
          <w:rFonts w:ascii="Arial" w:eastAsia="Times New Roman" w:hAnsi="Arial" w:cs="Arial"/>
          <w:i/>
          <w:iCs/>
          <w:color w:val="000000"/>
          <w:sz w:val="16"/>
          <w:szCs w:val="16"/>
        </w:rPr>
        <w:t>022, and continues until January 4, 2023, when it expires, or such earlier date on which we have either acquired the maximum number of common shares allowable or otherwise decide not to make further repurchases.</w:t>
      </w:r>
    </w:p>
    <w:p w:rsidR="00000000" w:rsidRDefault="00131F06">
      <w:pPr>
        <w:divId w:val="131555475"/>
        <w:rPr>
          <w:rFonts w:eastAsia="Times New Roman"/>
        </w:rPr>
      </w:pPr>
    </w:p>
    <w:p w:rsidR="00000000" w:rsidRDefault="00131F06">
      <w:pPr>
        <w:divId w:val="68816215"/>
        <w:rPr>
          <w:rFonts w:eastAsia="Times New Roman"/>
        </w:rPr>
      </w:pPr>
      <w:r>
        <w:rPr>
          <w:rFonts w:ascii="Arial" w:eastAsia="Times New Roman" w:hAnsi="Arial" w:cs="Arial"/>
          <w:b/>
          <w:bCs/>
          <w:color w:val="000000"/>
          <w:sz w:val="28"/>
          <w:szCs w:val="28"/>
        </w:rPr>
        <w:t>ITEM 3. DEFAULTS UPON SENIOR SECURITIES</w:t>
      </w:r>
    </w:p>
    <w:p w:rsidR="00000000" w:rsidRDefault="00131F06">
      <w:pPr>
        <w:divId w:val="1088693656"/>
        <w:rPr>
          <w:rFonts w:eastAsia="Times New Roman"/>
        </w:rPr>
      </w:pPr>
    </w:p>
    <w:p w:rsidR="00000000" w:rsidRDefault="00131F06">
      <w:pPr>
        <w:divId w:val="1583946287"/>
        <w:rPr>
          <w:rFonts w:eastAsia="Times New Roman"/>
        </w:rPr>
      </w:pPr>
      <w:r>
        <w:rPr>
          <w:rFonts w:ascii="Arial" w:eastAsia="Times New Roman" w:hAnsi="Arial" w:cs="Arial"/>
          <w:color w:val="000000"/>
          <w:sz w:val="20"/>
          <w:szCs w:val="20"/>
        </w:rPr>
        <w:t>None.</w:t>
      </w:r>
    </w:p>
    <w:p w:rsidR="00000000" w:rsidRDefault="00131F06">
      <w:pPr>
        <w:divId w:val="15429873"/>
        <w:rPr>
          <w:rFonts w:eastAsia="Times New Roman"/>
        </w:rPr>
      </w:pPr>
    </w:p>
    <w:p w:rsidR="00000000" w:rsidRDefault="00131F06">
      <w:pPr>
        <w:divId w:val="91976247"/>
        <w:rPr>
          <w:rFonts w:eastAsia="Times New Roman"/>
        </w:rPr>
      </w:pPr>
      <w:r>
        <w:rPr>
          <w:rFonts w:ascii="Arial" w:eastAsia="Times New Roman" w:hAnsi="Arial" w:cs="Arial"/>
          <w:b/>
          <w:bCs/>
          <w:color w:val="000000"/>
          <w:sz w:val="28"/>
          <w:szCs w:val="28"/>
        </w:rPr>
        <w:t>ITEM 4. MINE SAFETY DISCLOSURES</w:t>
      </w:r>
    </w:p>
    <w:p w:rsidR="00000000" w:rsidRDefault="00131F06">
      <w:pPr>
        <w:divId w:val="1409764799"/>
        <w:rPr>
          <w:rFonts w:eastAsia="Times New Roman"/>
        </w:rPr>
      </w:pPr>
    </w:p>
    <w:p w:rsidR="00000000" w:rsidRDefault="00131F06">
      <w:pPr>
        <w:divId w:val="796219814"/>
        <w:rPr>
          <w:rFonts w:eastAsia="Times New Roman"/>
        </w:rPr>
      </w:pPr>
      <w:r>
        <w:rPr>
          <w:rFonts w:ascii="Arial" w:eastAsia="Times New Roman" w:hAnsi="Arial" w:cs="Arial"/>
          <w:color w:val="000000"/>
          <w:sz w:val="20"/>
          <w:szCs w:val="20"/>
        </w:rPr>
        <w:t>Not applicable.</w:t>
      </w:r>
    </w:p>
    <w:p w:rsidR="00000000" w:rsidRDefault="00131F06">
      <w:pPr>
        <w:divId w:val="1314725533"/>
        <w:rPr>
          <w:rFonts w:eastAsia="Times New Roman"/>
        </w:rPr>
      </w:pPr>
    </w:p>
    <w:p w:rsidR="00000000" w:rsidRDefault="00131F06">
      <w:pPr>
        <w:divId w:val="113863219"/>
        <w:rPr>
          <w:rFonts w:eastAsia="Times New Roman"/>
        </w:rPr>
      </w:pPr>
      <w:r>
        <w:rPr>
          <w:rFonts w:ascii="Arial" w:eastAsia="Times New Roman" w:hAnsi="Arial" w:cs="Arial"/>
          <w:b/>
          <w:bCs/>
          <w:color w:val="000000"/>
          <w:sz w:val="28"/>
          <w:szCs w:val="28"/>
        </w:rPr>
        <w:t>ITEM 5. OTHER INFORMATION</w:t>
      </w:r>
    </w:p>
    <w:p w:rsidR="00000000" w:rsidRDefault="00131F06">
      <w:pPr>
        <w:divId w:val="1034886918"/>
        <w:rPr>
          <w:rFonts w:eastAsia="Times New Roman"/>
        </w:rPr>
      </w:pPr>
    </w:p>
    <w:p w:rsidR="00000000" w:rsidRDefault="00131F06">
      <w:pPr>
        <w:divId w:val="695890150"/>
        <w:rPr>
          <w:rFonts w:eastAsia="Times New Roman"/>
        </w:rPr>
      </w:pPr>
      <w:r>
        <w:rPr>
          <w:rFonts w:ascii="Arial" w:eastAsia="Times New Roman" w:hAnsi="Arial" w:cs="Arial"/>
          <w:color w:val="000000"/>
          <w:sz w:val="20"/>
          <w:szCs w:val="20"/>
        </w:rPr>
        <w:t>None.</w:t>
      </w:r>
    </w:p>
    <w:p w:rsidR="00000000" w:rsidRDefault="00131F06">
      <w:pPr>
        <w:divId w:val="1282420352"/>
        <w:rPr>
          <w:rFonts w:eastAsia="Times New Roman"/>
        </w:rPr>
      </w:pPr>
    </w:p>
    <w:p w:rsidR="00000000" w:rsidRDefault="00131F06">
      <w:pPr>
        <w:jc w:val="center"/>
        <w:divId w:val="27072322"/>
        <w:rPr>
          <w:rFonts w:eastAsia="Times New Roman"/>
        </w:rPr>
      </w:pPr>
      <w:r>
        <w:rPr>
          <w:rFonts w:ascii="Arial" w:eastAsia="Times New Roman" w:hAnsi="Arial" w:cs="Arial"/>
          <w:color w:val="000000"/>
          <w:sz w:val="20"/>
          <w:szCs w:val="20"/>
        </w:rPr>
        <w:t>63</w:t>
      </w:r>
    </w:p>
    <w:p w:rsidR="00000000" w:rsidRDefault="00131F06">
      <w:pPr>
        <w:rPr>
          <w:rFonts w:eastAsia="Times New Roman"/>
        </w:rPr>
      </w:pPr>
      <w:r>
        <w:rPr>
          <w:rFonts w:eastAsia="Times New Roman"/>
        </w:rPr>
        <w:pict>
          <v:rect id="_x0000_i1088" style="width:0;height:1.5pt" o:hralign="center" o:hrstd="t" o:hr="t" fillcolor="#a0a0a0" stroked="f"/>
        </w:pict>
      </w:r>
    </w:p>
    <w:p w:rsidR="00000000" w:rsidRDefault="00131F06">
      <w:pPr>
        <w:jc w:val="center"/>
        <w:divId w:val="1996491122"/>
        <w:rPr>
          <w:rFonts w:eastAsia="Times New Roman"/>
        </w:rPr>
      </w:pPr>
    </w:p>
    <w:p w:rsidR="00000000" w:rsidRDefault="00131F06">
      <w:pPr>
        <w:divId w:val="1552039509"/>
        <w:rPr>
          <w:rFonts w:eastAsia="Times New Roman"/>
        </w:rPr>
      </w:pPr>
      <w:r>
        <w:rPr>
          <w:rFonts w:ascii="Arial" w:eastAsia="Times New Roman" w:hAnsi="Arial" w:cs="Arial"/>
          <w:b/>
          <w:bCs/>
          <w:color w:val="000000"/>
          <w:sz w:val="28"/>
          <w:szCs w:val="28"/>
        </w:rPr>
        <w:t>ITEM 6. EXHIBITS</w:t>
      </w:r>
    </w:p>
    <w:p w:rsidR="00000000" w:rsidRDefault="00131F06">
      <w:pPr>
        <w:divId w:val="1283071710"/>
        <w:rPr>
          <w:rFonts w:eastAsia="Times New Roman"/>
        </w:rPr>
      </w:pPr>
    </w:p>
    <w:p w:rsidR="00000000" w:rsidRDefault="00131F06">
      <w:pPr>
        <w:divId w:val="1132594607"/>
        <w:rPr>
          <w:rFonts w:eastAsia="Times New Roman"/>
        </w:rPr>
      </w:pPr>
      <w:r>
        <w:rPr>
          <w:rFonts w:ascii="Arial" w:eastAsia="Times New Roman" w:hAnsi="Arial" w:cs="Arial"/>
          <w:color w:val="000000"/>
          <w:sz w:val="20"/>
          <w:szCs w:val="20"/>
        </w:rPr>
        <w:t xml:space="preserve">Each exhibit identified below is included as a part of this quarterly report. Exhibits included in this filing are designated by an asterisk (“*”); all exhibits not so designated are incorporated by </w:t>
      </w:r>
      <w:r>
        <w:rPr>
          <w:rFonts w:ascii="Arial" w:eastAsia="Times New Roman" w:hAnsi="Arial" w:cs="Arial"/>
          <w:color w:val="000000"/>
          <w:sz w:val="20"/>
          <w:szCs w:val="20"/>
        </w:rPr>
        <w:t>reference to a prior filing as indicated.</w:t>
      </w:r>
    </w:p>
    <w:p w:rsidR="00000000" w:rsidRDefault="00131F06">
      <w:pPr>
        <w:divId w:val="3404741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6"/>
        <w:gridCol w:w="837"/>
        <w:gridCol w:w="37"/>
        <w:gridCol w:w="36"/>
        <w:gridCol w:w="36"/>
        <w:gridCol w:w="36"/>
        <w:gridCol w:w="38"/>
        <w:gridCol w:w="6055"/>
        <w:gridCol w:w="36"/>
        <w:gridCol w:w="50"/>
        <w:gridCol w:w="1023"/>
        <w:gridCol w:w="36"/>
      </w:tblGrid>
      <w:tr w:rsidR="00000000">
        <w:trPr>
          <w:divId w:val="461578707"/>
        </w:trPr>
        <w:tc>
          <w:tcPr>
            <w:tcW w:w="50" w:type="pct"/>
            <w:vAlign w:val="center"/>
            <w:hideMark/>
          </w:tcPr>
          <w:p w:rsidR="00000000" w:rsidRDefault="00131F06">
            <w:pPr>
              <w:rPr>
                <w:rFonts w:eastAsia="Times New Roman"/>
              </w:rPr>
            </w:pPr>
          </w:p>
        </w:tc>
        <w:tc>
          <w:tcPr>
            <w:tcW w:w="49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2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3674"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63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461578707"/>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b/>
                <w:bCs/>
                <w:color w:val="000000"/>
                <w:sz w:val="20"/>
                <w:szCs w:val="20"/>
              </w:rPr>
              <w:t>Exhibit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b/>
                <w:bCs/>
                <w:color w:val="000000"/>
                <w:sz w:val="20"/>
                <w:szCs w:val="20"/>
              </w:rPr>
              <w:t>Description</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hyperlink r:id="rId5" w:history="1">
              <w:r>
                <w:rPr>
                  <w:rStyle w:val="a3"/>
                  <w:rFonts w:ascii="Arial" w:eastAsia="Times New Roman" w:hAnsi="Arial" w:cs="Arial"/>
                  <w:sz w:val="20"/>
                  <w:szCs w:val="20"/>
                </w:rPr>
                <w:t>3.1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divId w:val="949506985"/>
              <w:rPr>
                <w:rFonts w:eastAsia="Times New Roman"/>
              </w:rPr>
            </w:pPr>
            <w:hyperlink r:id="rId6" w:history="1">
              <w:r>
                <w:rPr>
                  <w:rStyle w:val="a3"/>
                  <w:rFonts w:ascii="Arial" w:eastAsia="Times New Roman" w:hAnsi="Arial" w:cs="Arial"/>
                  <w:sz w:val="20"/>
                  <w:szCs w:val="20"/>
                </w:rPr>
                <w:t xml:space="preserve">Certificate and Articles of Amendment, </w:t>
              </w:r>
              <w:r>
                <w:rPr>
                  <w:rStyle w:val="a3"/>
                  <w:rFonts w:ascii="Arial" w:eastAsia="Times New Roman" w:hAnsi="Arial" w:cs="Arial"/>
                  <w:sz w:val="20"/>
                  <w:szCs w:val="20"/>
                </w:rPr>
                <w:t>dated September 15, 2022 (incorporated by reference to Exhibit 3.1 to Enbridge’s Current Report on Form 8-K filed September 20, 2022)</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hyperlink r:id="rId7" w:history="1">
              <w:r>
                <w:rPr>
                  <w:rStyle w:val="a3"/>
                  <w:rFonts w:ascii="Arial" w:eastAsia="Times New Roman" w:hAnsi="Arial" w:cs="Arial"/>
                  <w:sz w:val="20"/>
                  <w:szCs w:val="20"/>
                </w:rPr>
                <w:t>3.2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divId w:val="677270217"/>
              <w:rPr>
                <w:rFonts w:eastAsia="Times New Roman"/>
              </w:rPr>
            </w:pPr>
            <w:hyperlink r:id="rId8" w:history="1">
              <w:r>
                <w:rPr>
                  <w:rStyle w:val="a3"/>
                  <w:rFonts w:ascii="Arial" w:eastAsia="Times New Roman" w:hAnsi="Arial" w:cs="Arial"/>
                  <w:sz w:val="20"/>
                  <w:szCs w:val="20"/>
                </w:rPr>
                <w:t>Certificate and Articles of Amendment, dated September 15, 2022 (incorporated by reference to Exhibit 3.2 to Enbridge’s Current Report on Form 8-K filed September 20, 2022)</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hyperlink r:id="rId9" w:history="1">
              <w:r>
                <w:rPr>
                  <w:rStyle w:val="a3"/>
                  <w:rFonts w:ascii="Arial" w:eastAsia="Times New Roman" w:hAnsi="Arial" w:cs="Arial"/>
                  <w:sz w:val="20"/>
                  <w:szCs w:val="20"/>
                </w:rPr>
                <w:t>4.1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divId w:val="2048677264"/>
              <w:rPr>
                <w:rFonts w:eastAsia="Times New Roman"/>
              </w:rPr>
            </w:pPr>
            <w:hyperlink r:id="rId10" w:history="1">
              <w:r>
                <w:rPr>
                  <w:rStyle w:val="a3"/>
                  <w:rFonts w:ascii="Arial" w:eastAsia="Times New Roman" w:hAnsi="Arial" w:cs="Arial"/>
                  <w:sz w:val="20"/>
                  <w:szCs w:val="20"/>
                </w:rPr>
                <w:t>Ninth Supplemental Indenture between the Corporation and Deutsche Bank Trust Company Americas, dated September 20, 2022 (incorporated by reference to Exhibit 4.1 to Enbridge’s Current Report on Form 8-K filed September 20, 2022)</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hyperlink r:id="rId11" w:history="1">
              <w:r>
                <w:rPr>
                  <w:rStyle w:val="a3"/>
                  <w:rFonts w:ascii="Arial" w:eastAsia="Times New Roman" w:hAnsi="Arial" w:cs="Arial"/>
                  <w:sz w:val="20"/>
                  <w:szCs w:val="20"/>
                </w:rPr>
                <w:t>4.2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divId w:val="407189007"/>
              <w:rPr>
                <w:rFonts w:eastAsia="Times New Roman"/>
              </w:rPr>
            </w:pPr>
            <w:hyperlink r:id="rId12" w:history="1">
              <w:r>
                <w:rPr>
                  <w:rStyle w:val="a3"/>
                  <w:rFonts w:ascii="Arial" w:eastAsia="Times New Roman" w:hAnsi="Arial" w:cs="Arial"/>
                  <w:sz w:val="20"/>
                  <w:szCs w:val="20"/>
                </w:rPr>
                <w:t>Tenth Supplemental Indenture between the Corporation and Deu</w:t>
              </w:r>
              <w:r>
                <w:rPr>
                  <w:rStyle w:val="a3"/>
                  <w:rFonts w:ascii="Arial" w:eastAsia="Times New Roman" w:hAnsi="Arial" w:cs="Arial"/>
                  <w:sz w:val="20"/>
                  <w:szCs w:val="20"/>
                </w:rPr>
                <w:t>tsche Bank Trust Company Americas, dated September 20, 2022 (incorporated by reference to Exhibit 4.2 to Enbridge’s Current Report on Form 8-K filed September 20, 2022</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hyperlink r:id="rId13" w:history="1">
              <w:r>
                <w:rPr>
                  <w:rStyle w:val="a3"/>
                  <w:rFonts w:ascii="Arial" w:eastAsia="Times New Roman" w:hAnsi="Arial" w:cs="Arial"/>
                  <w:sz w:val="20"/>
                  <w:szCs w:val="20"/>
                </w:rPr>
                <w:t>22.1*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divId w:val="2125297612"/>
              <w:rPr>
                <w:rFonts w:eastAsia="Times New Roman"/>
              </w:rPr>
            </w:pPr>
            <w:hyperlink r:id="rId14" w:history="1">
              <w:r>
                <w:rPr>
                  <w:rStyle w:val="a3"/>
                  <w:rFonts w:ascii="Arial" w:eastAsia="Times New Roman" w:hAnsi="Arial" w:cs="Arial"/>
                  <w:sz w:val="20"/>
                  <w:szCs w:val="20"/>
                </w:rPr>
                <w:t>Subsidiary Guarantors</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hyperlink r:id="rId15" w:history="1">
              <w:r>
                <w:rPr>
                  <w:rStyle w:val="a3"/>
                  <w:rFonts w:ascii="Arial" w:eastAsia="Times New Roman" w:hAnsi="Arial" w:cs="Arial"/>
                  <w:sz w:val="20"/>
                  <w:szCs w:val="20"/>
                </w:rPr>
                <w:t>31.1*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divId w:val="1862815022"/>
              <w:rPr>
                <w:rFonts w:eastAsia="Times New Roman"/>
              </w:rPr>
            </w:pPr>
            <w:hyperlink r:id="rId16" w:history="1">
              <w:r>
                <w:rPr>
                  <w:rStyle w:val="a3"/>
                  <w:rFonts w:ascii="Arial" w:eastAsia="Times New Roman" w:hAnsi="Arial" w:cs="Arial"/>
                  <w:sz w:val="20"/>
                  <w:szCs w:val="20"/>
                </w:rPr>
                <w:t>Certification Pursuant to Section 302 of the Sarbanes-Oxley Act of 2002.</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hyperlink r:id="rId17" w:history="1">
              <w:r>
                <w:rPr>
                  <w:rStyle w:val="a3"/>
                  <w:rFonts w:ascii="Arial" w:eastAsia="Times New Roman" w:hAnsi="Arial" w:cs="Arial"/>
                  <w:sz w:val="20"/>
                  <w:szCs w:val="20"/>
                </w:rPr>
                <w:t>31.2*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divId w:val="263198656"/>
              <w:rPr>
                <w:rFonts w:eastAsia="Times New Roman"/>
              </w:rPr>
            </w:pPr>
            <w:hyperlink r:id="rId18" w:history="1">
              <w:r>
                <w:rPr>
                  <w:rStyle w:val="a3"/>
                  <w:rFonts w:ascii="Arial" w:eastAsia="Times New Roman" w:hAnsi="Arial" w:cs="Arial"/>
                  <w:sz w:val="20"/>
                  <w:szCs w:val="20"/>
                </w:rPr>
                <w:t>Certification Pursuant to Section 302 of the Sarbanes-Oxley Act of 2002.</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hyperlink r:id="rId19" w:history="1">
              <w:r>
                <w:rPr>
                  <w:rStyle w:val="a3"/>
                  <w:rFonts w:ascii="Arial" w:eastAsia="Times New Roman" w:hAnsi="Arial" w:cs="Arial"/>
                  <w:sz w:val="20"/>
                  <w:szCs w:val="20"/>
                </w:rPr>
                <w:t>32.1*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divId w:val="917980714"/>
              <w:rPr>
                <w:rFonts w:eastAsia="Times New Roman"/>
              </w:rPr>
            </w:pPr>
            <w:hyperlink r:id="rId20" w:history="1">
              <w:r>
                <w:rPr>
                  <w:rStyle w:val="a3"/>
                  <w:rFonts w:ascii="Arial" w:eastAsia="Times New Roman" w:hAnsi="Arial" w:cs="Arial"/>
                  <w:sz w:val="20"/>
                  <w:szCs w:val="20"/>
                </w:rPr>
                <w:t>Certification Pursuant to Section 906 of the Sarbanes-Oxley Act of 2002.</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hyperlink r:id="rId21" w:history="1">
              <w:r>
                <w:rPr>
                  <w:rStyle w:val="a3"/>
                  <w:rFonts w:ascii="Arial" w:eastAsia="Times New Roman" w:hAnsi="Arial" w:cs="Arial"/>
                  <w:sz w:val="20"/>
                  <w:szCs w:val="20"/>
                </w:rPr>
                <w:t>32.2*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divId w:val="1504928004"/>
              <w:rPr>
                <w:rFonts w:eastAsia="Times New Roman"/>
              </w:rPr>
            </w:pPr>
            <w:hyperlink r:id="rId22" w:history="1">
              <w:r>
                <w:rPr>
                  <w:rStyle w:val="a3"/>
                  <w:rFonts w:ascii="Arial" w:eastAsia="Times New Roman" w:hAnsi="Arial" w:cs="Arial"/>
                  <w:sz w:val="20"/>
                  <w:szCs w:val="20"/>
                </w:rPr>
                <w:t>Certification Pursuant to Section 906 of the Sarbanes-Oxley Act of 2002.</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101.SCH*</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Inline XBRL Taxonomy Extension Schema Document.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101.CAL*</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Inline XBRL Taxonomy Extension Calculation Linkbase Document.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101.DEF*</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Inline XBRL Taxonomy Extension Definition Linkbase Document.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101.LAB*</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Inline XBRL Taxonomy Extension Label Linkbase Document.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101.PRE*</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Inline XBRL Taxonomy Extension Presentation Linkbase Document.</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r w:rsidR="00000000">
        <w:trPr>
          <w:divId w:val="461578707"/>
        </w:trPr>
        <w:tc>
          <w:tcPr>
            <w:tcW w:w="0" w:type="auto"/>
            <w:gridSpan w:val="3"/>
            <w:tcBorders>
              <w:top w:val="single" w:sz="4"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131F06">
            <w:pPr>
              <w:spacing w:after="100"/>
              <w:jc w:val="right"/>
              <w:rPr>
                <w:rFonts w:eastAsia="Times New Roman"/>
              </w:rPr>
            </w:pPr>
            <w:r>
              <w:rPr>
                <w:rFonts w:ascii="Arial" w:eastAsia="Times New Roman" w:hAnsi="Arial" w:cs="Arial"/>
                <w:color w:val="000000"/>
                <w:sz w:val="20"/>
                <w:szCs w:val="20"/>
              </w:rPr>
              <w:t>104</w:t>
            </w:r>
          </w:p>
        </w:tc>
        <w:tc>
          <w:tcPr>
            <w:tcW w:w="0" w:type="auto"/>
            <w:gridSpan w:val="3"/>
            <w:tcBorders>
              <w:top w:val="single" w:sz="4"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131F06">
            <w:pPr>
              <w:spacing w:after="100"/>
              <w:jc w:val="right"/>
              <w:rPr>
                <w:rFonts w:eastAsia="Times New Roman"/>
              </w:rPr>
            </w:pPr>
          </w:p>
        </w:tc>
        <w:tc>
          <w:tcPr>
            <w:tcW w:w="0" w:type="auto"/>
            <w:gridSpan w:val="3"/>
            <w:tcBorders>
              <w:top w:val="single" w:sz="4"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131F06">
            <w:pPr>
              <w:spacing w:after="100"/>
              <w:rPr>
                <w:rFonts w:eastAsia="Times New Roman"/>
              </w:rPr>
            </w:pPr>
            <w:r>
              <w:rPr>
                <w:rFonts w:ascii="Arial" w:eastAsia="Times New Roman" w:hAnsi="Arial" w:cs="Arial"/>
                <w:color w:val="000000"/>
                <w:sz w:val="20"/>
                <w:szCs w:val="20"/>
              </w:rPr>
              <w:t>Cover Page Interactive Data File - the cover page XBRL tags are embedded within the Inline XBRL document (included in Exhibit 101)</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r>
    </w:tbl>
    <w:p w:rsidR="00000000" w:rsidRDefault="00131F06">
      <w:pPr>
        <w:divId w:val="858815856"/>
        <w:rPr>
          <w:rFonts w:eastAsia="Times New Roman"/>
        </w:rPr>
      </w:pPr>
    </w:p>
    <w:p w:rsidR="00000000" w:rsidRDefault="00131F06">
      <w:pPr>
        <w:jc w:val="center"/>
        <w:divId w:val="1285040793"/>
        <w:rPr>
          <w:rFonts w:eastAsia="Times New Roman"/>
        </w:rPr>
      </w:pPr>
      <w:r>
        <w:rPr>
          <w:rFonts w:ascii="Arial" w:eastAsia="Times New Roman" w:hAnsi="Arial" w:cs="Arial"/>
          <w:color w:val="000000"/>
          <w:sz w:val="20"/>
          <w:szCs w:val="20"/>
        </w:rPr>
        <w:t>64</w:t>
      </w:r>
    </w:p>
    <w:p w:rsidR="00000000" w:rsidRDefault="00131F06">
      <w:pPr>
        <w:rPr>
          <w:rFonts w:eastAsia="Times New Roman"/>
        </w:rPr>
      </w:pPr>
      <w:r>
        <w:rPr>
          <w:rFonts w:eastAsia="Times New Roman"/>
        </w:rPr>
        <w:pict>
          <v:rect id="_x0000_i1089" style="width:0;height:1.5pt" o:hralign="center" o:hrstd="t" o:hr="t" fillcolor="#a0a0a0" stroked="f"/>
        </w:pict>
      </w:r>
    </w:p>
    <w:p w:rsidR="00000000" w:rsidRDefault="00131F06">
      <w:pPr>
        <w:jc w:val="center"/>
        <w:divId w:val="1765152720"/>
        <w:rPr>
          <w:rFonts w:eastAsia="Times New Roman"/>
        </w:rPr>
      </w:pPr>
    </w:p>
    <w:p w:rsidR="00000000" w:rsidRDefault="00131F06">
      <w:pPr>
        <w:jc w:val="center"/>
        <w:rPr>
          <w:rFonts w:eastAsia="Times New Roman"/>
        </w:rPr>
      </w:pPr>
      <w:r>
        <w:rPr>
          <w:rFonts w:ascii="Arial" w:eastAsia="Times New Roman" w:hAnsi="Arial" w:cs="Arial"/>
          <w:b/>
          <w:bCs/>
          <w:color w:val="000000"/>
          <w:sz w:val="26"/>
          <w:szCs w:val="26"/>
        </w:rPr>
        <w:t>SIGNATURES</w:t>
      </w:r>
    </w:p>
    <w:p w:rsidR="00000000" w:rsidRDefault="00131F06">
      <w:pPr>
        <w:divId w:val="139033242"/>
        <w:rPr>
          <w:rFonts w:eastAsia="Times New Roman"/>
        </w:rPr>
      </w:pPr>
    </w:p>
    <w:p w:rsidR="00000000" w:rsidRDefault="00131F06">
      <w:pPr>
        <w:divId w:val="193806073"/>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131F06">
      <w:pPr>
        <w:divId w:val="2021466011"/>
        <w:rPr>
          <w:rFonts w:eastAsia="Times New Roman"/>
        </w:rPr>
      </w:pPr>
      <w:r>
        <w:rPr>
          <w:rFonts w:ascii="Arial" w:eastAsia="Times New Roman" w:hAnsi="Arial" w:cs="Arial"/>
          <w:color w:val="000000"/>
          <w:sz w:val="20"/>
          <w:szCs w:val="20"/>
        </w:rPr>
        <w:t> </w:t>
      </w:r>
    </w:p>
    <w:p w:rsidR="00000000" w:rsidRDefault="00131F06">
      <w:pPr>
        <w:divId w:val="520125798"/>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84"/>
        <w:gridCol w:w="427"/>
        <w:gridCol w:w="36"/>
        <w:gridCol w:w="64"/>
        <w:gridCol w:w="1486"/>
        <w:gridCol w:w="36"/>
        <w:gridCol w:w="65"/>
        <w:gridCol w:w="1128"/>
        <w:gridCol w:w="36"/>
        <w:gridCol w:w="65"/>
        <w:gridCol w:w="4843"/>
        <w:gridCol w:w="36"/>
      </w:tblGrid>
      <w:tr w:rsidR="00000000">
        <w:trPr>
          <w:divId w:val="579027106"/>
        </w:trPr>
        <w:tc>
          <w:tcPr>
            <w:tcW w:w="50" w:type="pct"/>
            <w:vAlign w:val="center"/>
            <w:hideMark/>
          </w:tcPr>
          <w:p w:rsidR="00000000" w:rsidRDefault="00131F06">
            <w:pPr>
              <w:rPr>
                <w:rFonts w:eastAsia="Times New Roman"/>
              </w:rPr>
            </w:pPr>
          </w:p>
        </w:tc>
        <w:tc>
          <w:tcPr>
            <w:tcW w:w="257"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906"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690"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c>
          <w:tcPr>
            <w:tcW w:w="50" w:type="pct"/>
            <w:vAlign w:val="center"/>
            <w:hideMark/>
          </w:tcPr>
          <w:p w:rsidR="00000000" w:rsidRDefault="00131F06">
            <w:pPr>
              <w:spacing w:after="100"/>
              <w:rPr>
                <w:rFonts w:eastAsia="Times New Roman"/>
                <w:sz w:val="20"/>
                <w:szCs w:val="20"/>
              </w:rPr>
            </w:pPr>
          </w:p>
        </w:tc>
        <w:tc>
          <w:tcPr>
            <w:tcW w:w="2925" w:type="pct"/>
            <w:vAlign w:val="center"/>
            <w:hideMark/>
          </w:tcPr>
          <w:p w:rsidR="00000000" w:rsidRDefault="00131F06">
            <w:pPr>
              <w:spacing w:after="100"/>
              <w:rPr>
                <w:rFonts w:eastAsia="Times New Roman"/>
                <w:sz w:val="20"/>
                <w:szCs w:val="20"/>
              </w:rPr>
            </w:pPr>
          </w:p>
        </w:tc>
        <w:tc>
          <w:tcPr>
            <w:tcW w:w="5" w:type="pct"/>
            <w:vAlign w:val="center"/>
            <w:hideMark/>
          </w:tcPr>
          <w:p w:rsidR="00000000" w:rsidRDefault="00131F06">
            <w:pPr>
              <w:spacing w:after="100"/>
              <w:rPr>
                <w:rFonts w:eastAsia="Times New Roman"/>
                <w:sz w:val="20"/>
                <w:szCs w:val="20"/>
              </w:rPr>
            </w:pPr>
          </w:p>
        </w:tc>
      </w:tr>
      <w:tr w:rsidR="00000000">
        <w:trPr>
          <w:divId w:val="579027106"/>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20"/>
                <w:szCs w:val="20"/>
              </w:rPr>
              <w:t>ENBRIDGE INC.</w:t>
            </w:r>
          </w:p>
        </w:tc>
      </w:tr>
      <w:tr w:rsidR="00000000">
        <w:trPr>
          <w:divId w:val="579027106"/>
        </w:trPr>
        <w:tc>
          <w:tcPr>
            <w:tcW w:w="0" w:type="auto"/>
            <w:gridSpan w:val="6"/>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(Registrant)</w:t>
            </w:r>
          </w:p>
        </w:tc>
      </w:tr>
      <w:tr w:rsidR="00000000">
        <w:trPr>
          <w:divId w:val="579027106"/>
          <w:trHeight w:val="54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57902710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November 4, 2022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20"/>
                <w:szCs w:val="20"/>
              </w:rPr>
              <w:t>/s/ Al Monaco</w:t>
            </w:r>
          </w:p>
        </w:tc>
      </w:tr>
      <w:tr w:rsidR="00000000">
        <w:trPr>
          <w:divId w:val="57902710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31F06">
            <w:pPr>
              <w:spacing w:after="100"/>
              <w:divId w:val="1782919189"/>
              <w:rPr>
                <w:rFonts w:eastAsia="Times New Roman"/>
              </w:rPr>
            </w:pPr>
            <w:r>
              <w:rPr>
                <w:rFonts w:ascii="Arial" w:eastAsia="Times New Roman" w:hAnsi="Arial" w:cs="Arial"/>
                <w:color w:val="000000"/>
                <w:sz w:val="20"/>
                <w:szCs w:val="20"/>
              </w:rPr>
              <w:t>Al Monaco</w:t>
            </w:r>
          </w:p>
          <w:p w:rsidR="00000000" w:rsidRDefault="00131F06">
            <w:pPr>
              <w:spacing w:after="100"/>
              <w:divId w:val="903100703"/>
              <w:rPr>
                <w:rFonts w:eastAsia="Times New Roman"/>
              </w:rPr>
            </w:pPr>
            <w:r>
              <w:rPr>
                <w:rFonts w:ascii="Arial" w:eastAsia="Times New Roman" w:hAnsi="Arial" w:cs="Arial"/>
                <w:color w:val="000000"/>
                <w:sz w:val="16"/>
                <w:szCs w:val="16"/>
              </w:rPr>
              <w:t>President and Chief Executive Officer</w:t>
            </w:r>
          </w:p>
          <w:p w:rsidR="00000000" w:rsidRDefault="00131F06">
            <w:pPr>
              <w:spacing w:after="100"/>
              <w:divId w:val="9795061"/>
              <w:rPr>
                <w:rFonts w:eastAsia="Times New Roman"/>
              </w:rPr>
            </w:pPr>
            <w:r>
              <w:rPr>
                <w:rFonts w:ascii="Arial" w:eastAsia="Times New Roman" w:hAnsi="Arial" w:cs="Arial"/>
                <w:color w:val="000000"/>
                <w:sz w:val="16"/>
                <w:szCs w:val="16"/>
              </w:rPr>
              <w:t>(Principal Executive Officer)</w:t>
            </w:r>
          </w:p>
        </w:tc>
      </w:tr>
      <w:tr w:rsidR="00000000">
        <w:trPr>
          <w:divId w:val="579027106"/>
          <w:trHeight w:val="54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r w:rsidR="00000000">
        <w:trPr>
          <w:divId w:val="579027106"/>
        </w:trPr>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color w:val="000000"/>
                <w:sz w:val="20"/>
                <w:szCs w:val="20"/>
              </w:rPr>
              <w:t>November 4, 2022</w:t>
            </w:r>
          </w:p>
        </w:tc>
        <w:tc>
          <w:tcPr>
            <w:tcW w:w="0" w:type="auto"/>
            <w:gridSpan w:val="3"/>
            <w:tcMar>
              <w:top w:w="30" w:type="dxa"/>
              <w:left w:w="20" w:type="dxa"/>
              <w:bottom w:w="30" w:type="dxa"/>
              <w:right w:w="20" w:type="dxa"/>
            </w:tcMar>
            <w:vAlign w:val="center"/>
            <w:hideMark/>
          </w:tcPr>
          <w:p w:rsidR="00000000" w:rsidRDefault="00131F06">
            <w:pPr>
              <w:spacing w:after="100"/>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center"/>
            <w:hideMark/>
          </w:tcPr>
          <w:p w:rsidR="00000000" w:rsidRDefault="00131F06">
            <w:pPr>
              <w:spacing w:after="100"/>
              <w:rPr>
                <w:rFonts w:eastAsia="Times New Roman"/>
              </w:rPr>
            </w:pPr>
            <w:r>
              <w:rPr>
                <w:rFonts w:ascii="Arial" w:eastAsia="Times New Roman" w:hAnsi="Arial" w:cs="Arial"/>
                <w:b/>
                <w:bCs/>
                <w:color w:val="000000"/>
                <w:sz w:val="20"/>
                <w:szCs w:val="20"/>
              </w:rPr>
              <w:t>/s/ Vern D. Yu</w:t>
            </w:r>
          </w:p>
        </w:tc>
      </w:tr>
      <w:tr w:rsidR="00000000">
        <w:trPr>
          <w:divId w:val="579027106"/>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31F06">
            <w:pPr>
              <w:spacing w:after="100"/>
              <w:divId w:val="1513375120"/>
              <w:rPr>
                <w:rFonts w:eastAsia="Times New Roman"/>
              </w:rPr>
            </w:pPr>
            <w:r>
              <w:rPr>
                <w:rFonts w:ascii="Arial" w:eastAsia="Times New Roman" w:hAnsi="Arial" w:cs="Arial"/>
                <w:color w:val="000000"/>
                <w:sz w:val="20"/>
                <w:szCs w:val="20"/>
              </w:rPr>
              <w:t>Vern D. Yu</w:t>
            </w:r>
          </w:p>
          <w:p w:rsidR="00000000" w:rsidRDefault="00131F06">
            <w:pPr>
              <w:spacing w:after="100"/>
              <w:divId w:val="1182091460"/>
              <w:rPr>
                <w:rFonts w:eastAsia="Times New Roman"/>
              </w:rPr>
            </w:pPr>
            <w:r>
              <w:rPr>
                <w:rFonts w:ascii="Arial" w:eastAsia="Times New Roman" w:hAnsi="Arial" w:cs="Arial"/>
                <w:color w:val="000000"/>
                <w:sz w:val="16"/>
                <w:szCs w:val="16"/>
              </w:rPr>
              <w:t>Executive Vice President, Corporate Development and Chief Financial Officer</w:t>
            </w:r>
          </w:p>
          <w:p w:rsidR="00000000" w:rsidRDefault="00131F06">
            <w:pPr>
              <w:spacing w:after="100"/>
              <w:divId w:val="704137409"/>
              <w:rPr>
                <w:rFonts w:eastAsia="Times New Roman"/>
              </w:rPr>
            </w:pPr>
            <w:r>
              <w:rPr>
                <w:rFonts w:ascii="Arial" w:eastAsia="Times New Roman" w:hAnsi="Arial" w:cs="Arial"/>
                <w:color w:val="000000"/>
                <w:sz w:val="16"/>
                <w:szCs w:val="16"/>
              </w:rPr>
              <w:t>(Principal Financial Officer)</w:t>
            </w:r>
          </w:p>
        </w:tc>
      </w:tr>
      <w:tr w:rsidR="00000000">
        <w:trPr>
          <w:divId w:val="579027106"/>
          <w:trHeight w:val="1000"/>
        </w:trPr>
        <w:tc>
          <w:tcPr>
            <w:tcW w:w="0" w:type="auto"/>
            <w:gridSpan w:val="3"/>
            <w:tcMar>
              <w:top w:w="0" w:type="dxa"/>
              <w:left w:w="20" w:type="dxa"/>
              <w:bottom w:w="0" w:type="dxa"/>
              <w:right w:w="20" w:type="dxa"/>
            </w:tcMar>
            <w:vAlign w:val="center"/>
            <w:hideMark/>
          </w:tcPr>
          <w:p w:rsidR="00000000" w:rsidRDefault="00131F0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31F06">
            <w:pPr>
              <w:spacing w:after="100"/>
              <w:rPr>
                <w:rFonts w:eastAsia="Times New Roman"/>
                <w:sz w:val="20"/>
                <w:szCs w:val="20"/>
              </w:rPr>
            </w:pPr>
          </w:p>
        </w:tc>
      </w:tr>
    </w:tbl>
    <w:p w:rsidR="00131F06" w:rsidRDefault="00131F06">
      <w:pPr>
        <w:jc w:val="center"/>
        <w:divId w:val="547839313"/>
        <w:rPr>
          <w:rFonts w:eastAsia="Times New Roman"/>
        </w:rPr>
      </w:pPr>
      <w:r>
        <w:rPr>
          <w:rFonts w:ascii="Arial" w:eastAsia="Times New Roman" w:hAnsi="Arial" w:cs="Arial"/>
          <w:color w:val="000000"/>
          <w:sz w:val="20"/>
          <w:szCs w:val="20"/>
        </w:rPr>
        <w:t>65</w:t>
      </w:r>
    </w:p>
    <w:sectPr w:rsidR="00131F0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F06"/>
    <w:rsid w:val="00131F06"/>
  </w:rsids>
  <m:mathPr>
    <m:mathFont m:val="Cambria Math"/>
    <m:brkBin m:val="before"/>
    <m:brkBinSub m:val="--"/>
    <m:smallFrac m:val="0"/>
    <m:dispDef/>
    <m:lMargin m:val="0"/>
    <m:rMargin m:val="0"/>
    <m:defJc m:val="centerGroup"/>
    <m:wrapIndent m:val="1440"/>
    <m:intLim m:val="subSup"/>
    <m:naryLim m:val="undOvr"/>
  </m:mathPr>
  <w:attachedSchema w:val="http://fasb.org/srt/2022"/>
  <w:attachedSchema w:val="http://www.w3.org/1999/xlink"/>
  <w:attachedSchema w:val="http://www.xbrl.org/2013/inlineXBRL"/>
  <w:attachedSchema w:val="http://www.xbrl.org/inlineXBRL/transformation/2020-02-12"/>
  <w:attachedSchema w:val="http://xbrl.sec.gov/dei/2022"/>
  <w:attachedSchema w:val="http://xbrl.sec.gov/currency/2022"/>
  <w:attachedSchema w:val="http://www.sec.gov/inlineXBRL/transformation/2015-08-31"/>
  <w:attachedSchema w:val="http://xbrl.org/2006/xbrldi"/>
  <w:attachedSchema w:val="http://www.enbridge.com/20220930"/>
  <w:attachedSchema w:val="http://www.xbrl.org/2009/utr"/>
  <w:attachedSchema w:val="http://www.xbrl.org/2003/instance"/>
  <w:attachedSchema w:val="http://fasb.org/us-gaap/2022"/>
  <w:attachedSchema w:val="http://www.xbrl.org/2003/linkbase"/>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895">
      <w:marLeft w:val="0"/>
      <w:marRight w:val="0"/>
      <w:marTop w:val="0"/>
      <w:marBottom w:val="0"/>
      <w:divBdr>
        <w:top w:val="none" w:sz="0" w:space="0" w:color="auto"/>
        <w:left w:val="none" w:sz="0" w:space="0" w:color="auto"/>
        <w:bottom w:val="none" w:sz="0" w:space="0" w:color="auto"/>
        <w:right w:val="none" w:sz="0" w:space="0" w:color="auto"/>
      </w:divBdr>
    </w:div>
    <w:div w:id="6248588">
      <w:marLeft w:val="0"/>
      <w:marRight w:val="0"/>
      <w:marTop w:val="0"/>
      <w:marBottom w:val="0"/>
      <w:divBdr>
        <w:top w:val="none" w:sz="0" w:space="0" w:color="auto"/>
        <w:left w:val="none" w:sz="0" w:space="0" w:color="auto"/>
        <w:bottom w:val="none" w:sz="0" w:space="0" w:color="auto"/>
        <w:right w:val="none" w:sz="0" w:space="0" w:color="auto"/>
      </w:divBdr>
      <w:divsChild>
        <w:div w:id="547839313">
          <w:marLeft w:val="0"/>
          <w:marRight w:val="0"/>
          <w:marTop w:val="0"/>
          <w:marBottom w:val="0"/>
          <w:divBdr>
            <w:top w:val="none" w:sz="0" w:space="0" w:color="auto"/>
            <w:left w:val="none" w:sz="0" w:space="0" w:color="auto"/>
            <w:bottom w:val="none" w:sz="0" w:space="0" w:color="auto"/>
            <w:right w:val="none" w:sz="0" w:space="0" w:color="auto"/>
          </w:divBdr>
        </w:div>
      </w:divsChild>
    </w:div>
    <w:div w:id="7486224">
      <w:marLeft w:val="0"/>
      <w:marRight w:val="0"/>
      <w:marTop w:val="0"/>
      <w:marBottom w:val="0"/>
      <w:divBdr>
        <w:top w:val="none" w:sz="0" w:space="0" w:color="auto"/>
        <w:left w:val="none" w:sz="0" w:space="0" w:color="auto"/>
        <w:bottom w:val="none" w:sz="0" w:space="0" w:color="auto"/>
        <w:right w:val="none" w:sz="0" w:space="0" w:color="auto"/>
      </w:divBdr>
    </w:div>
    <w:div w:id="15010549">
      <w:marLeft w:val="0"/>
      <w:marRight w:val="0"/>
      <w:marTop w:val="0"/>
      <w:marBottom w:val="0"/>
      <w:divBdr>
        <w:top w:val="none" w:sz="0" w:space="0" w:color="auto"/>
        <w:left w:val="none" w:sz="0" w:space="0" w:color="auto"/>
        <w:bottom w:val="none" w:sz="0" w:space="0" w:color="auto"/>
        <w:right w:val="none" w:sz="0" w:space="0" w:color="auto"/>
      </w:divBdr>
    </w:div>
    <w:div w:id="15429873">
      <w:marLeft w:val="0"/>
      <w:marRight w:val="0"/>
      <w:marTop w:val="0"/>
      <w:marBottom w:val="0"/>
      <w:divBdr>
        <w:top w:val="none" w:sz="0" w:space="0" w:color="auto"/>
        <w:left w:val="none" w:sz="0" w:space="0" w:color="auto"/>
        <w:bottom w:val="none" w:sz="0" w:space="0" w:color="auto"/>
        <w:right w:val="none" w:sz="0" w:space="0" w:color="auto"/>
      </w:divBdr>
    </w:div>
    <w:div w:id="22219860">
      <w:marLeft w:val="0"/>
      <w:marRight w:val="0"/>
      <w:marTop w:val="0"/>
      <w:marBottom w:val="0"/>
      <w:divBdr>
        <w:top w:val="none" w:sz="0" w:space="0" w:color="auto"/>
        <w:left w:val="none" w:sz="0" w:space="0" w:color="auto"/>
        <w:bottom w:val="none" w:sz="0" w:space="0" w:color="auto"/>
        <w:right w:val="none" w:sz="0" w:space="0" w:color="auto"/>
      </w:divBdr>
    </w:div>
    <w:div w:id="23291181">
      <w:marLeft w:val="0"/>
      <w:marRight w:val="0"/>
      <w:marTop w:val="0"/>
      <w:marBottom w:val="0"/>
      <w:divBdr>
        <w:top w:val="none" w:sz="0" w:space="0" w:color="auto"/>
        <w:left w:val="none" w:sz="0" w:space="0" w:color="auto"/>
        <w:bottom w:val="none" w:sz="0" w:space="0" w:color="auto"/>
        <w:right w:val="none" w:sz="0" w:space="0" w:color="auto"/>
      </w:divBdr>
    </w:div>
    <w:div w:id="24405113">
      <w:marLeft w:val="0"/>
      <w:marRight w:val="0"/>
      <w:marTop w:val="0"/>
      <w:marBottom w:val="0"/>
      <w:divBdr>
        <w:top w:val="none" w:sz="0" w:space="0" w:color="auto"/>
        <w:left w:val="none" w:sz="0" w:space="0" w:color="auto"/>
        <w:bottom w:val="none" w:sz="0" w:space="0" w:color="auto"/>
        <w:right w:val="none" w:sz="0" w:space="0" w:color="auto"/>
      </w:divBdr>
    </w:div>
    <w:div w:id="25984616">
      <w:marLeft w:val="0"/>
      <w:marRight w:val="0"/>
      <w:marTop w:val="0"/>
      <w:marBottom w:val="0"/>
      <w:divBdr>
        <w:top w:val="none" w:sz="0" w:space="0" w:color="auto"/>
        <w:left w:val="none" w:sz="0" w:space="0" w:color="auto"/>
        <w:bottom w:val="none" w:sz="0" w:space="0" w:color="auto"/>
        <w:right w:val="none" w:sz="0" w:space="0" w:color="auto"/>
      </w:divBdr>
    </w:div>
    <w:div w:id="30543994">
      <w:marLeft w:val="0"/>
      <w:marRight w:val="0"/>
      <w:marTop w:val="0"/>
      <w:marBottom w:val="0"/>
      <w:divBdr>
        <w:top w:val="none" w:sz="0" w:space="0" w:color="auto"/>
        <w:left w:val="none" w:sz="0" w:space="0" w:color="auto"/>
        <w:bottom w:val="none" w:sz="0" w:space="0" w:color="auto"/>
        <w:right w:val="none" w:sz="0" w:space="0" w:color="auto"/>
      </w:divBdr>
    </w:div>
    <w:div w:id="35391894">
      <w:marLeft w:val="0"/>
      <w:marRight w:val="0"/>
      <w:marTop w:val="0"/>
      <w:marBottom w:val="0"/>
      <w:divBdr>
        <w:top w:val="none" w:sz="0" w:space="0" w:color="auto"/>
        <w:left w:val="none" w:sz="0" w:space="0" w:color="auto"/>
        <w:bottom w:val="none" w:sz="0" w:space="0" w:color="auto"/>
        <w:right w:val="none" w:sz="0" w:space="0" w:color="auto"/>
      </w:divBdr>
    </w:div>
    <w:div w:id="36900566">
      <w:marLeft w:val="0"/>
      <w:marRight w:val="0"/>
      <w:marTop w:val="0"/>
      <w:marBottom w:val="0"/>
      <w:divBdr>
        <w:top w:val="none" w:sz="0" w:space="0" w:color="auto"/>
        <w:left w:val="none" w:sz="0" w:space="0" w:color="auto"/>
        <w:bottom w:val="none" w:sz="0" w:space="0" w:color="auto"/>
        <w:right w:val="none" w:sz="0" w:space="0" w:color="auto"/>
      </w:divBdr>
    </w:div>
    <w:div w:id="37583515">
      <w:marLeft w:val="0"/>
      <w:marRight w:val="0"/>
      <w:marTop w:val="0"/>
      <w:marBottom w:val="0"/>
      <w:divBdr>
        <w:top w:val="none" w:sz="0" w:space="0" w:color="auto"/>
        <w:left w:val="none" w:sz="0" w:space="0" w:color="auto"/>
        <w:bottom w:val="none" w:sz="0" w:space="0" w:color="auto"/>
        <w:right w:val="none" w:sz="0" w:space="0" w:color="auto"/>
      </w:divBdr>
    </w:div>
    <w:div w:id="38600742">
      <w:marLeft w:val="0"/>
      <w:marRight w:val="0"/>
      <w:marTop w:val="0"/>
      <w:marBottom w:val="0"/>
      <w:divBdr>
        <w:top w:val="none" w:sz="0" w:space="0" w:color="auto"/>
        <w:left w:val="none" w:sz="0" w:space="0" w:color="auto"/>
        <w:bottom w:val="none" w:sz="0" w:space="0" w:color="auto"/>
        <w:right w:val="none" w:sz="0" w:space="0" w:color="auto"/>
      </w:divBdr>
    </w:div>
    <w:div w:id="38864141">
      <w:marLeft w:val="0"/>
      <w:marRight w:val="0"/>
      <w:marTop w:val="0"/>
      <w:marBottom w:val="0"/>
      <w:divBdr>
        <w:top w:val="none" w:sz="0" w:space="0" w:color="auto"/>
        <w:left w:val="none" w:sz="0" w:space="0" w:color="auto"/>
        <w:bottom w:val="none" w:sz="0" w:space="0" w:color="auto"/>
        <w:right w:val="none" w:sz="0" w:space="0" w:color="auto"/>
      </w:divBdr>
    </w:div>
    <w:div w:id="39668237">
      <w:marLeft w:val="0"/>
      <w:marRight w:val="0"/>
      <w:marTop w:val="0"/>
      <w:marBottom w:val="0"/>
      <w:divBdr>
        <w:top w:val="none" w:sz="0" w:space="0" w:color="auto"/>
        <w:left w:val="none" w:sz="0" w:space="0" w:color="auto"/>
        <w:bottom w:val="none" w:sz="0" w:space="0" w:color="auto"/>
        <w:right w:val="none" w:sz="0" w:space="0" w:color="auto"/>
      </w:divBdr>
    </w:div>
    <w:div w:id="40715811">
      <w:marLeft w:val="0"/>
      <w:marRight w:val="0"/>
      <w:marTop w:val="0"/>
      <w:marBottom w:val="0"/>
      <w:divBdr>
        <w:top w:val="none" w:sz="0" w:space="0" w:color="auto"/>
        <w:left w:val="none" w:sz="0" w:space="0" w:color="auto"/>
        <w:bottom w:val="none" w:sz="0" w:space="0" w:color="auto"/>
        <w:right w:val="none" w:sz="0" w:space="0" w:color="auto"/>
      </w:divBdr>
    </w:div>
    <w:div w:id="43868374">
      <w:marLeft w:val="0"/>
      <w:marRight w:val="0"/>
      <w:marTop w:val="0"/>
      <w:marBottom w:val="0"/>
      <w:divBdr>
        <w:top w:val="none" w:sz="0" w:space="0" w:color="auto"/>
        <w:left w:val="none" w:sz="0" w:space="0" w:color="auto"/>
        <w:bottom w:val="none" w:sz="0" w:space="0" w:color="auto"/>
        <w:right w:val="none" w:sz="0" w:space="0" w:color="auto"/>
      </w:divBdr>
    </w:div>
    <w:div w:id="45642447">
      <w:marLeft w:val="0"/>
      <w:marRight w:val="0"/>
      <w:marTop w:val="0"/>
      <w:marBottom w:val="0"/>
      <w:divBdr>
        <w:top w:val="none" w:sz="0" w:space="0" w:color="auto"/>
        <w:left w:val="none" w:sz="0" w:space="0" w:color="auto"/>
        <w:bottom w:val="none" w:sz="0" w:space="0" w:color="auto"/>
        <w:right w:val="none" w:sz="0" w:space="0" w:color="auto"/>
      </w:divBdr>
    </w:div>
    <w:div w:id="46154056">
      <w:marLeft w:val="0"/>
      <w:marRight w:val="0"/>
      <w:marTop w:val="0"/>
      <w:marBottom w:val="0"/>
      <w:divBdr>
        <w:top w:val="none" w:sz="0" w:space="0" w:color="auto"/>
        <w:left w:val="none" w:sz="0" w:space="0" w:color="auto"/>
        <w:bottom w:val="none" w:sz="0" w:space="0" w:color="auto"/>
        <w:right w:val="none" w:sz="0" w:space="0" w:color="auto"/>
      </w:divBdr>
      <w:divsChild>
        <w:div w:id="1996647278">
          <w:marLeft w:val="0"/>
          <w:marRight w:val="0"/>
          <w:marTop w:val="0"/>
          <w:marBottom w:val="0"/>
          <w:divBdr>
            <w:top w:val="none" w:sz="0" w:space="0" w:color="auto"/>
            <w:left w:val="none" w:sz="0" w:space="0" w:color="auto"/>
            <w:bottom w:val="none" w:sz="0" w:space="0" w:color="auto"/>
            <w:right w:val="none" w:sz="0" w:space="0" w:color="auto"/>
          </w:divBdr>
        </w:div>
      </w:divsChild>
    </w:div>
    <w:div w:id="46875144">
      <w:marLeft w:val="0"/>
      <w:marRight w:val="0"/>
      <w:marTop w:val="0"/>
      <w:marBottom w:val="0"/>
      <w:divBdr>
        <w:top w:val="none" w:sz="0" w:space="0" w:color="auto"/>
        <w:left w:val="none" w:sz="0" w:space="0" w:color="auto"/>
        <w:bottom w:val="none" w:sz="0" w:space="0" w:color="auto"/>
        <w:right w:val="none" w:sz="0" w:space="0" w:color="auto"/>
      </w:divBdr>
    </w:div>
    <w:div w:id="47533827">
      <w:marLeft w:val="0"/>
      <w:marRight w:val="0"/>
      <w:marTop w:val="0"/>
      <w:marBottom w:val="0"/>
      <w:divBdr>
        <w:top w:val="none" w:sz="0" w:space="0" w:color="auto"/>
        <w:left w:val="none" w:sz="0" w:space="0" w:color="auto"/>
        <w:bottom w:val="none" w:sz="0" w:space="0" w:color="auto"/>
        <w:right w:val="none" w:sz="0" w:space="0" w:color="auto"/>
      </w:divBdr>
    </w:div>
    <w:div w:id="48580714">
      <w:marLeft w:val="0"/>
      <w:marRight w:val="0"/>
      <w:marTop w:val="0"/>
      <w:marBottom w:val="0"/>
      <w:divBdr>
        <w:top w:val="none" w:sz="0" w:space="0" w:color="auto"/>
        <w:left w:val="none" w:sz="0" w:space="0" w:color="auto"/>
        <w:bottom w:val="none" w:sz="0" w:space="0" w:color="auto"/>
        <w:right w:val="none" w:sz="0" w:space="0" w:color="auto"/>
      </w:divBdr>
    </w:div>
    <w:div w:id="55133479">
      <w:marLeft w:val="0"/>
      <w:marRight w:val="0"/>
      <w:marTop w:val="0"/>
      <w:marBottom w:val="0"/>
      <w:divBdr>
        <w:top w:val="none" w:sz="0" w:space="0" w:color="auto"/>
        <w:left w:val="none" w:sz="0" w:space="0" w:color="auto"/>
        <w:bottom w:val="none" w:sz="0" w:space="0" w:color="auto"/>
        <w:right w:val="none" w:sz="0" w:space="0" w:color="auto"/>
      </w:divBdr>
    </w:div>
    <w:div w:id="60370984">
      <w:marLeft w:val="0"/>
      <w:marRight w:val="0"/>
      <w:marTop w:val="0"/>
      <w:marBottom w:val="0"/>
      <w:divBdr>
        <w:top w:val="none" w:sz="0" w:space="0" w:color="auto"/>
        <w:left w:val="none" w:sz="0" w:space="0" w:color="auto"/>
        <w:bottom w:val="none" w:sz="0" w:space="0" w:color="auto"/>
        <w:right w:val="none" w:sz="0" w:space="0" w:color="auto"/>
      </w:divBdr>
    </w:div>
    <w:div w:id="66273297">
      <w:marLeft w:val="0"/>
      <w:marRight w:val="0"/>
      <w:marTop w:val="0"/>
      <w:marBottom w:val="0"/>
      <w:divBdr>
        <w:top w:val="none" w:sz="0" w:space="0" w:color="auto"/>
        <w:left w:val="none" w:sz="0" w:space="0" w:color="auto"/>
        <w:bottom w:val="none" w:sz="0" w:space="0" w:color="auto"/>
        <w:right w:val="none" w:sz="0" w:space="0" w:color="auto"/>
      </w:divBdr>
    </w:div>
    <w:div w:id="68816215">
      <w:marLeft w:val="0"/>
      <w:marRight w:val="0"/>
      <w:marTop w:val="0"/>
      <w:marBottom w:val="0"/>
      <w:divBdr>
        <w:top w:val="none" w:sz="0" w:space="0" w:color="auto"/>
        <w:left w:val="none" w:sz="0" w:space="0" w:color="auto"/>
        <w:bottom w:val="none" w:sz="0" w:space="0" w:color="auto"/>
        <w:right w:val="none" w:sz="0" w:space="0" w:color="auto"/>
      </w:divBdr>
    </w:div>
    <w:div w:id="72435067">
      <w:marLeft w:val="0"/>
      <w:marRight w:val="0"/>
      <w:marTop w:val="0"/>
      <w:marBottom w:val="0"/>
      <w:divBdr>
        <w:top w:val="none" w:sz="0" w:space="0" w:color="auto"/>
        <w:left w:val="none" w:sz="0" w:space="0" w:color="auto"/>
        <w:bottom w:val="none" w:sz="0" w:space="0" w:color="auto"/>
        <w:right w:val="none" w:sz="0" w:space="0" w:color="auto"/>
      </w:divBdr>
    </w:div>
    <w:div w:id="76176177">
      <w:marLeft w:val="0"/>
      <w:marRight w:val="0"/>
      <w:marTop w:val="0"/>
      <w:marBottom w:val="0"/>
      <w:divBdr>
        <w:top w:val="none" w:sz="0" w:space="0" w:color="auto"/>
        <w:left w:val="none" w:sz="0" w:space="0" w:color="auto"/>
        <w:bottom w:val="none" w:sz="0" w:space="0" w:color="auto"/>
        <w:right w:val="none" w:sz="0" w:space="0" w:color="auto"/>
      </w:divBdr>
      <w:divsChild>
        <w:div w:id="25061684">
          <w:marLeft w:val="0"/>
          <w:marRight w:val="0"/>
          <w:marTop w:val="0"/>
          <w:marBottom w:val="0"/>
          <w:divBdr>
            <w:top w:val="none" w:sz="0" w:space="0" w:color="auto"/>
            <w:left w:val="none" w:sz="0" w:space="0" w:color="auto"/>
            <w:bottom w:val="none" w:sz="0" w:space="0" w:color="auto"/>
            <w:right w:val="none" w:sz="0" w:space="0" w:color="auto"/>
          </w:divBdr>
        </w:div>
      </w:divsChild>
    </w:div>
    <w:div w:id="78406828">
      <w:marLeft w:val="0"/>
      <w:marRight w:val="0"/>
      <w:marTop w:val="0"/>
      <w:marBottom w:val="0"/>
      <w:divBdr>
        <w:top w:val="none" w:sz="0" w:space="0" w:color="auto"/>
        <w:left w:val="none" w:sz="0" w:space="0" w:color="auto"/>
        <w:bottom w:val="none" w:sz="0" w:space="0" w:color="auto"/>
        <w:right w:val="none" w:sz="0" w:space="0" w:color="auto"/>
      </w:divBdr>
    </w:div>
    <w:div w:id="79720192">
      <w:marLeft w:val="0"/>
      <w:marRight w:val="0"/>
      <w:marTop w:val="0"/>
      <w:marBottom w:val="0"/>
      <w:divBdr>
        <w:top w:val="none" w:sz="0" w:space="0" w:color="auto"/>
        <w:left w:val="none" w:sz="0" w:space="0" w:color="auto"/>
        <w:bottom w:val="none" w:sz="0" w:space="0" w:color="auto"/>
        <w:right w:val="none" w:sz="0" w:space="0" w:color="auto"/>
      </w:divBdr>
    </w:div>
    <w:div w:id="82117052">
      <w:marLeft w:val="0"/>
      <w:marRight w:val="0"/>
      <w:marTop w:val="0"/>
      <w:marBottom w:val="0"/>
      <w:divBdr>
        <w:top w:val="none" w:sz="0" w:space="0" w:color="auto"/>
        <w:left w:val="none" w:sz="0" w:space="0" w:color="auto"/>
        <w:bottom w:val="none" w:sz="0" w:space="0" w:color="auto"/>
        <w:right w:val="none" w:sz="0" w:space="0" w:color="auto"/>
      </w:divBdr>
    </w:div>
    <w:div w:id="84956963">
      <w:marLeft w:val="0"/>
      <w:marRight w:val="0"/>
      <w:marTop w:val="0"/>
      <w:marBottom w:val="0"/>
      <w:divBdr>
        <w:top w:val="none" w:sz="0" w:space="0" w:color="auto"/>
        <w:left w:val="none" w:sz="0" w:space="0" w:color="auto"/>
        <w:bottom w:val="none" w:sz="0" w:space="0" w:color="auto"/>
        <w:right w:val="none" w:sz="0" w:space="0" w:color="auto"/>
      </w:divBdr>
    </w:div>
    <w:div w:id="90204766">
      <w:marLeft w:val="0"/>
      <w:marRight w:val="0"/>
      <w:marTop w:val="0"/>
      <w:marBottom w:val="0"/>
      <w:divBdr>
        <w:top w:val="none" w:sz="0" w:space="0" w:color="auto"/>
        <w:left w:val="none" w:sz="0" w:space="0" w:color="auto"/>
        <w:bottom w:val="none" w:sz="0" w:space="0" w:color="auto"/>
        <w:right w:val="none" w:sz="0" w:space="0" w:color="auto"/>
      </w:divBdr>
      <w:divsChild>
        <w:div w:id="1222522083">
          <w:marLeft w:val="0"/>
          <w:marRight w:val="0"/>
          <w:marTop w:val="0"/>
          <w:marBottom w:val="0"/>
          <w:divBdr>
            <w:top w:val="none" w:sz="0" w:space="0" w:color="auto"/>
            <w:left w:val="none" w:sz="0" w:space="0" w:color="auto"/>
            <w:bottom w:val="none" w:sz="0" w:space="0" w:color="auto"/>
            <w:right w:val="none" w:sz="0" w:space="0" w:color="auto"/>
          </w:divBdr>
        </w:div>
      </w:divsChild>
    </w:div>
    <w:div w:id="90393652">
      <w:marLeft w:val="0"/>
      <w:marRight w:val="0"/>
      <w:marTop w:val="0"/>
      <w:marBottom w:val="0"/>
      <w:divBdr>
        <w:top w:val="none" w:sz="0" w:space="0" w:color="auto"/>
        <w:left w:val="none" w:sz="0" w:space="0" w:color="auto"/>
        <w:bottom w:val="none" w:sz="0" w:space="0" w:color="auto"/>
        <w:right w:val="none" w:sz="0" w:space="0" w:color="auto"/>
      </w:divBdr>
    </w:div>
    <w:div w:id="91559206">
      <w:marLeft w:val="0"/>
      <w:marRight w:val="0"/>
      <w:marTop w:val="0"/>
      <w:marBottom w:val="0"/>
      <w:divBdr>
        <w:top w:val="none" w:sz="0" w:space="0" w:color="auto"/>
        <w:left w:val="none" w:sz="0" w:space="0" w:color="auto"/>
        <w:bottom w:val="none" w:sz="0" w:space="0" w:color="auto"/>
        <w:right w:val="none" w:sz="0" w:space="0" w:color="auto"/>
      </w:divBdr>
      <w:divsChild>
        <w:div w:id="1740440563">
          <w:marLeft w:val="0"/>
          <w:marRight w:val="0"/>
          <w:marTop w:val="0"/>
          <w:marBottom w:val="0"/>
          <w:divBdr>
            <w:top w:val="none" w:sz="0" w:space="0" w:color="auto"/>
            <w:left w:val="none" w:sz="0" w:space="0" w:color="auto"/>
            <w:bottom w:val="none" w:sz="0" w:space="0" w:color="auto"/>
            <w:right w:val="none" w:sz="0" w:space="0" w:color="auto"/>
          </w:divBdr>
        </w:div>
      </w:divsChild>
    </w:div>
    <w:div w:id="91976247">
      <w:marLeft w:val="0"/>
      <w:marRight w:val="0"/>
      <w:marTop w:val="0"/>
      <w:marBottom w:val="0"/>
      <w:divBdr>
        <w:top w:val="none" w:sz="0" w:space="0" w:color="auto"/>
        <w:left w:val="none" w:sz="0" w:space="0" w:color="auto"/>
        <w:bottom w:val="none" w:sz="0" w:space="0" w:color="auto"/>
        <w:right w:val="none" w:sz="0" w:space="0" w:color="auto"/>
      </w:divBdr>
    </w:div>
    <w:div w:id="93524533">
      <w:marLeft w:val="0"/>
      <w:marRight w:val="0"/>
      <w:marTop w:val="0"/>
      <w:marBottom w:val="0"/>
      <w:divBdr>
        <w:top w:val="none" w:sz="0" w:space="0" w:color="auto"/>
        <w:left w:val="none" w:sz="0" w:space="0" w:color="auto"/>
        <w:bottom w:val="none" w:sz="0" w:space="0" w:color="auto"/>
        <w:right w:val="none" w:sz="0" w:space="0" w:color="auto"/>
      </w:divBdr>
    </w:div>
    <w:div w:id="94521429">
      <w:marLeft w:val="0"/>
      <w:marRight w:val="0"/>
      <w:marTop w:val="0"/>
      <w:marBottom w:val="0"/>
      <w:divBdr>
        <w:top w:val="none" w:sz="0" w:space="0" w:color="auto"/>
        <w:left w:val="none" w:sz="0" w:space="0" w:color="auto"/>
        <w:bottom w:val="none" w:sz="0" w:space="0" w:color="auto"/>
        <w:right w:val="none" w:sz="0" w:space="0" w:color="auto"/>
      </w:divBdr>
    </w:div>
    <w:div w:id="96095728">
      <w:marLeft w:val="0"/>
      <w:marRight w:val="0"/>
      <w:marTop w:val="0"/>
      <w:marBottom w:val="0"/>
      <w:divBdr>
        <w:top w:val="none" w:sz="0" w:space="0" w:color="auto"/>
        <w:left w:val="none" w:sz="0" w:space="0" w:color="auto"/>
        <w:bottom w:val="none" w:sz="0" w:space="0" w:color="auto"/>
        <w:right w:val="none" w:sz="0" w:space="0" w:color="auto"/>
      </w:divBdr>
    </w:div>
    <w:div w:id="96145116">
      <w:marLeft w:val="0"/>
      <w:marRight w:val="0"/>
      <w:marTop w:val="0"/>
      <w:marBottom w:val="0"/>
      <w:divBdr>
        <w:top w:val="none" w:sz="0" w:space="0" w:color="auto"/>
        <w:left w:val="none" w:sz="0" w:space="0" w:color="auto"/>
        <w:bottom w:val="none" w:sz="0" w:space="0" w:color="auto"/>
        <w:right w:val="none" w:sz="0" w:space="0" w:color="auto"/>
      </w:divBdr>
    </w:div>
    <w:div w:id="100614343">
      <w:marLeft w:val="0"/>
      <w:marRight w:val="0"/>
      <w:marTop w:val="0"/>
      <w:marBottom w:val="0"/>
      <w:divBdr>
        <w:top w:val="none" w:sz="0" w:space="0" w:color="auto"/>
        <w:left w:val="none" w:sz="0" w:space="0" w:color="auto"/>
        <w:bottom w:val="none" w:sz="0" w:space="0" w:color="auto"/>
        <w:right w:val="none" w:sz="0" w:space="0" w:color="auto"/>
      </w:divBdr>
    </w:div>
    <w:div w:id="103043181">
      <w:marLeft w:val="0"/>
      <w:marRight w:val="0"/>
      <w:marTop w:val="0"/>
      <w:marBottom w:val="0"/>
      <w:divBdr>
        <w:top w:val="none" w:sz="0" w:space="0" w:color="auto"/>
        <w:left w:val="none" w:sz="0" w:space="0" w:color="auto"/>
        <w:bottom w:val="none" w:sz="0" w:space="0" w:color="auto"/>
        <w:right w:val="none" w:sz="0" w:space="0" w:color="auto"/>
      </w:divBdr>
    </w:div>
    <w:div w:id="103112898">
      <w:marLeft w:val="0"/>
      <w:marRight w:val="0"/>
      <w:marTop w:val="0"/>
      <w:marBottom w:val="0"/>
      <w:divBdr>
        <w:top w:val="none" w:sz="0" w:space="0" w:color="auto"/>
        <w:left w:val="none" w:sz="0" w:space="0" w:color="auto"/>
        <w:bottom w:val="none" w:sz="0" w:space="0" w:color="auto"/>
        <w:right w:val="none" w:sz="0" w:space="0" w:color="auto"/>
      </w:divBdr>
    </w:div>
    <w:div w:id="104663153">
      <w:marLeft w:val="0"/>
      <w:marRight w:val="0"/>
      <w:marTop w:val="0"/>
      <w:marBottom w:val="0"/>
      <w:divBdr>
        <w:top w:val="none" w:sz="0" w:space="0" w:color="auto"/>
        <w:left w:val="none" w:sz="0" w:space="0" w:color="auto"/>
        <w:bottom w:val="none" w:sz="0" w:space="0" w:color="auto"/>
        <w:right w:val="none" w:sz="0" w:space="0" w:color="auto"/>
      </w:divBdr>
    </w:div>
    <w:div w:id="105852880">
      <w:marLeft w:val="0"/>
      <w:marRight w:val="0"/>
      <w:marTop w:val="0"/>
      <w:marBottom w:val="0"/>
      <w:divBdr>
        <w:top w:val="none" w:sz="0" w:space="0" w:color="auto"/>
        <w:left w:val="none" w:sz="0" w:space="0" w:color="auto"/>
        <w:bottom w:val="none" w:sz="0" w:space="0" w:color="auto"/>
        <w:right w:val="none" w:sz="0" w:space="0" w:color="auto"/>
      </w:divBdr>
    </w:div>
    <w:div w:id="107433821">
      <w:marLeft w:val="0"/>
      <w:marRight w:val="0"/>
      <w:marTop w:val="0"/>
      <w:marBottom w:val="0"/>
      <w:divBdr>
        <w:top w:val="none" w:sz="0" w:space="0" w:color="auto"/>
        <w:left w:val="none" w:sz="0" w:space="0" w:color="auto"/>
        <w:bottom w:val="none" w:sz="0" w:space="0" w:color="auto"/>
        <w:right w:val="none" w:sz="0" w:space="0" w:color="auto"/>
      </w:divBdr>
    </w:div>
    <w:div w:id="108816504">
      <w:marLeft w:val="0"/>
      <w:marRight w:val="0"/>
      <w:marTop w:val="0"/>
      <w:marBottom w:val="0"/>
      <w:divBdr>
        <w:top w:val="none" w:sz="0" w:space="0" w:color="auto"/>
        <w:left w:val="none" w:sz="0" w:space="0" w:color="auto"/>
        <w:bottom w:val="none" w:sz="0" w:space="0" w:color="auto"/>
        <w:right w:val="none" w:sz="0" w:space="0" w:color="auto"/>
      </w:divBdr>
    </w:div>
    <w:div w:id="109326213">
      <w:marLeft w:val="0"/>
      <w:marRight w:val="0"/>
      <w:marTop w:val="0"/>
      <w:marBottom w:val="0"/>
      <w:divBdr>
        <w:top w:val="none" w:sz="0" w:space="0" w:color="auto"/>
        <w:left w:val="none" w:sz="0" w:space="0" w:color="auto"/>
        <w:bottom w:val="none" w:sz="0" w:space="0" w:color="auto"/>
        <w:right w:val="none" w:sz="0" w:space="0" w:color="auto"/>
      </w:divBdr>
    </w:div>
    <w:div w:id="110243219">
      <w:marLeft w:val="0"/>
      <w:marRight w:val="0"/>
      <w:marTop w:val="0"/>
      <w:marBottom w:val="0"/>
      <w:divBdr>
        <w:top w:val="none" w:sz="0" w:space="0" w:color="auto"/>
        <w:left w:val="none" w:sz="0" w:space="0" w:color="auto"/>
        <w:bottom w:val="none" w:sz="0" w:space="0" w:color="auto"/>
        <w:right w:val="none" w:sz="0" w:space="0" w:color="auto"/>
      </w:divBdr>
    </w:div>
    <w:div w:id="110783411">
      <w:marLeft w:val="0"/>
      <w:marRight w:val="0"/>
      <w:marTop w:val="0"/>
      <w:marBottom w:val="0"/>
      <w:divBdr>
        <w:top w:val="none" w:sz="0" w:space="0" w:color="auto"/>
        <w:left w:val="none" w:sz="0" w:space="0" w:color="auto"/>
        <w:bottom w:val="none" w:sz="0" w:space="0" w:color="auto"/>
        <w:right w:val="none" w:sz="0" w:space="0" w:color="auto"/>
      </w:divBdr>
    </w:div>
    <w:div w:id="111436725">
      <w:marLeft w:val="0"/>
      <w:marRight w:val="0"/>
      <w:marTop w:val="0"/>
      <w:marBottom w:val="0"/>
      <w:divBdr>
        <w:top w:val="none" w:sz="0" w:space="0" w:color="auto"/>
        <w:left w:val="none" w:sz="0" w:space="0" w:color="auto"/>
        <w:bottom w:val="none" w:sz="0" w:space="0" w:color="auto"/>
        <w:right w:val="none" w:sz="0" w:space="0" w:color="auto"/>
      </w:divBdr>
    </w:div>
    <w:div w:id="112137205">
      <w:marLeft w:val="0"/>
      <w:marRight w:val="0"/>
      <w:marTop w:val="0"/>
      <w:marBottom w:val="0"/>
      <w:divBdr>
        <w:top w:val="none" w:sz="0" w:space="0" w:color="auto"/>
        <w:left w:val="none" w:sz="0" w:space="0" w:color="auto"/>
        <w:bottom w:val="none" w:sz="0" w:space="0" w:color="auto"/>
        <w:right w:val="none" w:sz="0" w:space="0" w:color="auto"/>
      </w:divBdr>
    </w:div>
    <w:div w:id="112798103">
      <w:marLeft w:val="0"/>
      <w:marRight w:val="0"/>
      <w:marTop w:val="0"/>
      <w:marBottom w:val="0"/>
      <w:divBdr>
        <w:top w:val="none" w:sz="0" w:space="0" w:color="auto"/>
        <w:left w:val="none" w:sz="0" w:space="0" w:color="auto"/>
        <w:bottom w:val="none" w:sz="0" w:space="0" w:color="auto"/>
        <w:right w:val="none" w:sz="0" w:space="0" w:color="auto"/>
      </w:divBdr>
    </w:div>
    <w:div w:id="113863219">
      <w:marLeft w:val="0"/>
      <w:marRight w:val="0"/>
      <w:marTop w:val="0"/>
      <w:marBottom w:val="0"/>
      <w:divBdr>
        <w:top w:val="none" w:sz="0" w:space="0" w:color="auto"/>
        <w:left w:val="none" w:sz="0" w:space="0" w:color="auto"/>
        <w:bottom w:val="none" w:sz="0" w:space="0" w:color="auto"/>
        <w:right w:val="none" w:sz="0" w:space="0" w:color="auto"/>
      </w:divBdr>
    </w:div>
    <w:div w:id="115149953">
      <w:marLeft w:val="0"/>
      <w:marRight w:val="0"/>
      <w:marTop w:val="0"/>
      <w:marBottom w:val="0"/>
      <w:divBdr>
        <w:top w:val="none" w:sz="0" w:space="0" w:color="auto"/>
        <w:left w:val="none" w:sz="0" w:space="0" w:color="auto"/>
        <w:bottom w:val="none" w:sz="0" w:space="0" w:color="auto"/>
        <w:right w:val="none" w:sz="0" w:space="0" w:color="auto"/>
      </w:divBdr>
    </w:div>
    <w:div w:id="116533758">
      <w:marLeft w:val="0"/>
      <w:marRight w:val="0"/>
      <w:marTop w:val="0"/>
      <w:marBottom w:val="0"/>
      <w:divBdr>
        <w:top w:val="none" w:sz="0" w:space="0" w:color="auto"/>
        <w:left w:val="none" w:sz="0" w:space="0" w:color="auto"/>
        <w:bottom w:val="none" w:sz="0" w:space="0" w:color="auto"/>
        <w:right w:val="none" w:sz="0" w:space="0" w:color="auto"/>
      </w:divBdr>
      <w:divsChild>
        <w:div w:id="1289162036">
          <w:marLeft w:val="0"/>
          <w:marRight w:val="0"/>
          <w:marTop w:val="0"/>
          <w:marBottom w:val="0"/>
          <w:divBdr>
            <w:top w:val="none" w:sz="0" w:space="0" w:color="auto"/>
            <w:left w:val="none" w:sz="0" w:space="0" w:color="auto"/>
            <w:bottom w:val="none" w:sz="0" w:space="0" w:color="auto"/>
            <w:right w:val="none" w:sz="0" w:space="0" w:color="auto"/>
          </w:divBdr>
        </w:div>
      </w:divsChild>
    </w:div>
    <w:div w:id="117189272">
      <w:marLeft w:val="0"/>
      <w:marRight w:val="0"/>
      <w:marTop w:val="0"/>
      <w:marBottom w:val="0"/>
      <w:divBdr>
        <w:top w:val="none" w:sz="0" w:space="0" w:color="auto"/>
        <w:left w:val="none" w:sz="0" w:space="0" w:color="auto"/>
        <w:bottom w:val="none" w:sz="0" w:space="0" w:color="auto"/>
        <w:right w:val="none" w:sz="0" w:space="0" w:color="auto"/>
      </w:divBdr>
    </w:div>
    <w:div w:id="122040634">
      <w:marLeft w:val="0"/>
      <w:marRight w:val="0"/>
      <w:marTop w:val="0"/>
      <w:marBottom w:val="0"/>
      <w:divBdr>
        <w:top w:val="none" w:sz="0" w:space="0" w:color="auto"/>
        <w:left w:val="none" w:sz="0" w:space="0" w:color="auto"/>
        <w:bottom w:val="none" w:sz="0" w:space="0" w:color="auto"/>
        <w:right w:val="none" w:sz="0" w:space="0" w:color="auto"/>
      </w:divBdr>
    </w:div>
    <w:div w:id="122190295">
      <w:marLeft w:val="0"/>
      <w:marRight w:val="0"/>
      <w:marTop w:val="0"/>
      <w:marBottom w:val="0"/>
      <w:divBdr>
        <w:top w:val="none" w:sz="0" w:space="0" w:color="auto"/>
        <w:left w:val="none" w:sz="0" w:space="0" w:color="auto"/>
        <w:bottom w:val="none" w:sz="0" w:space="0" w:color="auto"/>
        <w:right w:val="none" w:sz="0" w:space="0" w:color="auto"/>
      </w:divBdr>
    </w:div>
    <w:div w:id="126165027">
      <w:marLeft w:val="0"/>
      <w:marRight w:val="0"/>
      <w:marTop w:val="0"/>
      <w:marBottom w:val="0"/>
      <w:divBdr>
        <w:top w:val="none" w:sz="0" w:space="0" w:color="auto"/>
        <w:left w:val="none" w:sz="0" w:space="0" w:color="auto"/>
        <w:bottom w:val="none" w:sz="0" w:space="0" w:color="auto"/>
        <w:right w:val="none" w:sz="0" w:space="0" w:color="auto"/>
      </w:divBdr>
    </w:div>
    <w:div w:id="128714748">
      <w:marLeft w:val="0"/>
      <w:marRight w:val="0"/>
      <w:marTop w:val="0"/>
      <w:marBottom w:val="0"/>
      <w:divBdr>
        <w:top w:val="none" w:sz="0" w:space="0" w:color="auto"/>
        <w:left w:val="none" w:sz="0" w:space="0" w:color="auto"/>
        <w:bottom w:val="none" w:sz="0" w:space="0" w:color="auto"/>
        <w:right w:val="none" w:sz="0" w:space="0" w:color="auto"/>
      </w:divBdr>
    </w:div>
    <w:div w:id="130752727">
      <w:marLeft w:val="0"/>
      <w:marRight w:val="0"/>
      <w:marTop w:val="0"/>
      <w:marBottom w:val="0"/>
      <w:divBdr>
        <w:top w:val="none" w:sz="0" w:space="0" w:color="auto"/>
        <w:left w:val="none" w:sz="0" w:space="0" w:color="auto"/>
        <w:bottom w:val="none" w:sz="0" w:space="0" w:color="auto"/>
        <w:right w:val="none" w:sz="0" w:space="0" w:color="auto"/>
      </w:divBdr>
    </w:div>
    <w:div w:id="131555475">
      <w:marLeft w:val="0"/>
      <w:marRight w:val="0"/>
      <w:marTop w:val="0"/>
      <w:marBottom w:val="0"/>
      <w:divBdr>
        <w:top w:val="none" w:sz="0" w:space="0" w:color="auto"/>
        <w:left w:val="none" w:sz="0" w:space="0" w:color="auto"/>
        <w:bottom w:val="none" w:sz="0" w:space="0" w:color="auto"/>
        <w:right w:val="none" w:sz="0" w:space="0" w:color="auto"/>
      </w:divBdr>
    </w:div>
    <w:div w:id="131750296">
      <w:marLeft w:val="0"/>
      <w:marRight w:val="0"/>
      <w:marTop w:val="0"/>
      <w:marBottom w:val="0"/>
      <w:divBdr>
        <w:top w:val="none" w:sz="0" w:space="0" w:color="auto"/>
        <w:left w:val="none" w:sz="0" w:space="0" w:color="auto"/>
        <w:bottom w:val="none" w:sz="0" w:space="0" w:color="auto"/>
        <w:right w:val="none" w:sz="0" w:space="0" w:color="auto"/>
      </w:divBdr>
    </w:div>
    <w:div w:id="133065651">
      <w:marLeft w:val="0"/>
      <w:marRight w:val="0"/>
      <w:marTop w:val="0"/>
      <w:marBottom w:val="0"/>
      <w:divBdr>
        <w:top w:val="none" w:sz="0" w:space="0" w:color="auto"/>
        <w:left w:val="none" w:sz="0" w:space="0" w:color="auto"/>
        <w:bottom w:val="none" w:sz="0" w:space="0" w:color="auto"/>
        <w:right w:val="none" w:sz="0" w:space="0" w:color="auto"/>
      </w:divBdr>
    </w:div>
    <w:div w:id="137572373">
      <w:marLeft w:val="0"/>
      <w:marRight w:val="0"/>
      <w:marTop w:val="0"/>
      <w:marBottom w:val="0"/>
      <w:divBdr>
        <w:top w:val="none" w:sz="0" w:space="0" w:color="auto"/>
        <w:left w:val="none" w:sz="0" w:space="0" w:color="auto"/>
        <w:bottom w:val="none" w:sz="0" w:space="0" w:color="auto"/>
        <w:right w:val="none" w:sz="0" w:space="0" w:color="auto"/>
      </w:divBdr>
    </w:div>
    <w:div w:id="139033242">
      <w:marLeft w:val="0"/>
      <w:marRight w:val="0"/>
      <w:marTop w:val="0"/>
      <w:marBottom w:val="0"/>
      <w:divBdr>
        <w:top w:val="none" w:sz="0" w:space="0" w:color="auto"/>
        <w:left w:val="none" w:sz="0" w:space="0" w:color="auto"/>
        <w:bottom w:val="none" w:sz="0" w:space="0" w:color="auto"/>
        <w:right w:val="none" w:sz="0" w:space="0" w:color="auto"/>
      </w:divBdr>
    </w:div>
    <w:div w:id="140118951">
      <w:marLeft w:val="0"/>
      <w:marRight w:val="0"/>
      <w:marTop w:val="0"/>
      <w:marBottom w:val="0"/>
      <w:divBdr>
        <w:top w:val="none" w:sz="0" w:space="0" w:color="auto"/>
        <w:left w:val="none" w:sz="0" w:space="0" w:color="auto"/>
        <w:bottom w:val="none" w:sz="0" w:space="0" w:color="auto"/>
        <w:right w:val="none" w:sz="0" w:space="0" w:color="auto"/>
      </w:divBdr>
    </w:div>
    <w:div w:id="141119466">
      <w:marLeft w:val="0"/>
      <w:marRight w:val="0"/>
      <w:marTop w:val="0"/>
      <w:marBottom w:val="0"/>
      <w:divBdr>
        <w:top w:val="none" w:sz="0" w:space="0" w:color="auto"/>
        <w:left w:val="none" w:sz="0" w:space="0" w:color="auto"/>
        <w:bottom w:val="none" w:sz="0" w:space="0" w:color="auto"/>
        <w:right w:val="none" w:sz="0" w:space="0" w:color="auto"/>
      </w:divBdr>
    </w:div>
    <w:div w:id="141195204">
      <w:marLeft w:val="0"/>
      <w:marRight w:val="0"/>
      <w:marTop w:val="0"/>
      <w:marBottom w:val="0"/>
      <w:divBdr>
        <w:top w:val="none" w:sz="0" w:space="0" w:color="auto"/>
        <w:left w:val="none" w:sz="0" w:space="0" w:color="auto"/>
        <w:bottom w:val="none" w:sz="0" w:space="0" w:color="auto"/>
        <w:right w:val="none" w:sz="0" w:space="0" w:color="auto"/>
      </w:divBdr>
    </w:div>
    <w:div w:id="141317399">
      <w:marLeft w:val="0"/>
      <w:marRight w:val="0"/>
      <w:marTop w:val="0"/>
      <w:marBottom w:val="0"/>
      <w:divBdr>
        <w:top w:val="none" w:sz="0" w:space="0" w:color="auto"/>
        <w:left w:val="none" w:sz="0" w:space="0" w:color="auto"/>
        <w:bottom w:val="none" w:sz="0" w:space="0" w:color="auto"/>
        <w:right w:val="none" w:sz="0" w:space="0" w:color="auto"/>
      </w:divBdr>
    </w:div>
    <w:div w:id="142082388">
      <w:marLeft w:val="0"/>
      <w:marRight w:val="0"/>
      <w:marTop w:val="0"/>
      <w:marBottom w:val="0"/>
      <w:divBdr>
        <w:top w:val="none" w:sz="0" w:space="0" w:color="auto"/>
        <w:left w:val="none" w:sz="0" w:space="0" w:color="auto"/>
        <w:bottom w:val="none" w:sz="0" w:space="0" w:color="auto"/>
        <w:right w:val="none" w:sz="0" w:space="0" w:color="auto"/>
      </w:divBdr>
    </w:div>
    <w:div w:id="142739007">
      <w:marLeft w:val="0"/>
      <w:marRight w:val="0"/>
      <w:marTop w:val="0"/>
      <w:marBottom w:val="0"/>
      <w:divBdr>
        <w:top w:val="none" w:sz="0" w:space="0" w:color="auto"/>
        <w:left w:val="none" w:sz="0" w:space="0" w:color="auto"/>
        <w:bottom w:val="none" w:sz="0" w:space="0" w:color="auto"/>
        <w:right w:val="none" w:sz="0" w:space="0" w:color="auto"/>
      </w:divBdr>
    </w:div>
    <w:div w:id="144205125">
      <w:marLeft w:val="0"/>
      <w:marRight w:val="0"/>
      <w:marTop w:val="0"/>
      <w:marBottom w:val="0"/>
      <w:divBdr>
        <w:top w:val="none" w:sz="0" w:space="0" w:color="auto"/>
        <w:left w:val="none" w:sz="0" w:space="0" w:color="auto"/>
        <w:bottom w:val="none" w:sz="0" w:space="0" w:color="auto"/>
        <w:right w:val="none" w:sz="0" w:space="0" w:color="auto"/>
      </w:divBdr>
    </w:div>
    <w:div w:id="147021672">
      <w:marLeft w:val="0"/>
      <w:marRight w:val="0"/>
      <w:marTop w:val="0"/>
      <w:marBottom w:val="0"/>
      <w:divBdr>
        <w:top w:val="none" w:sz="0" w:space="0" w:color="auto"/>
        <w:left w:val="none" w:sz="0" w:space="0" w:color="auto"/>
        <w:bottom w:val="none" w:sz="0" w:space="0" w:color="auto"/>
        <w:right w:val="none" w:sz="0" w:space="0" w:color="auto"/>
      </w:divBdr>
    </w:div>
    <w:div w:id="147522420">
      <w:marLeft w:val="0"/>
      <w:marRight w:val="0"/>
      <w:marTop w:val="0"/>
      <w:marBottom w:val="0"/>
      <w:divBdr>
        <w:top w:val="none" w:sz="0" w:space="0" w:color="auto"/>
        <w:left w:val="none" w:sz="0" w:space="0" w:color="auto"/>
        <w:bottom w:val="none" w:sz="0" w:space="0" w:color="auto"/>
        <w:right w:val="none" w:sz="0" w:space="0" w:color="auto"/>
      </w:divBdr>
    </w:div>
    <w:div w:id="151528650">
      <w:marLeft w:val="0"/>
      <w:marRight w:val="0"/>
      <w:marTop w:val="0"/>
      <w:marBottom w:val="0"/>
      <w:divBdr>
        <w:top w:val="none" w:sz="0" w:space="0" w:color="auto"/>
        <w:left w:val="none" w:sz="0" w:space="0" w:color="auto"/>
        <w:bottom w:val="none" w:sz="0" w:space="0" w:color="auto"/>
        <w:right w:val="none" w:sz="0" w:space="0" w:color="auto"/>
      </w:divBdr>
    </w:div>
    <w:div w:id="163281187">
      <w:marLeft w:val="0"/>
      <w:marRight w:val="0"/>
      <w:marTop w:val="0"/>
      <w:marBottom w:val="0"/>
      <w:divBdr>
        <w:top w:val="none" w:sz="0" w:space="0" w:color="auto"/>
        <w:left w:val="none" w:sz="0" w:space="0" w:color="auto"/>
        <w:bottom w:val="none" w:sz="0" w:space="0" w:color="auto"/>
        <w:right w:val="none" w:sz="0" w:space="0" w:color="auto"/>
      </w:divBdr>
      <w:divsChild>
        <w:div w:id="702367355">
          <w:marLeft w:val="0"/>
          <w:marRight w:val="0"/>
          <w:marTop w:val="0"/>
          <w:marBottom w:val="0"/>
          <w:divBdr>
            <w:top w:val="none" w:sz="0" w:space="0" w:color="auto"/>
            <w:left w:val="none" w:sz="0" w:space="0" w:color="auto"/>
            <w:bottom w:val="none" w:sz="0" w:space="0" w:color="auto"/>
            <w:right w:val="none" w:sz="0" w:space="0" w:color="auto"/>
          </w:divBdr>
        </w:div>
      </w:divsChild>
    </w:div>
    <w:div w:id="163907007">
      <w:marLeft w:val="0"/>
      <w:marRight w:val="0"/>
      <w:marTop w:val="0"/>
      <w:marBottom w:val="0"/>
      <w:divBdr>
        <w:top w:val="none" w:sz="0" w:space="0" w:color="auto"/>
        <w:left w:val="none" w:sz="0" w:space="0" w:color="auto"/>
        <w:bottom w:val="none" w:sz="0" w:space="0" w:color="auto"/>
        <w:right w:val="none" w:sz="0" w:space="0" w:color="auto"/>
      </w:divBdr>
      <w:divsChild>
        <w:div w:id="661814728">
          <w:marLeft w:val="0"/>
          <w:marRight w:val="0"/>
          <w:marTop w:val="0"/>
          <w:marBottom w:val="0"/>
          <w:divBdr>
            <w:top w:val="none" w:sz="0" w:space="0" w:color="auto"/>
            <w:left w:val="none" w:sz="0" w:space="0" w:color="auto"/>
            <w:bottom w:val="none" w:sz="0" w:space="0" w:color="auto"/>
            <w:right w:val="none" w:sz="0" w:space="0" w:color="auto"/>
          </w:divBdr>
        </w:div>
      </w:divsChild>
    </w:div>
    <w:div w:id="165294777">
      <w:marLeft w:val="0"/>
      <w:marRight w:val="0"/>
      <w:marTop w:val="0"/>
      <w:marBottom w:val="0"/>
      <w:divBdr>
        <w:top w:val="none" w:sz="0" w:space="0" w:color="auto"/>
        <w:left w:val="none" w:sz="0" w:space="0" w:color="auto"/>
        <w:bottom w:val="none" w:sz="0" w:space="0" w:color="auto"/>
        <w:right w:val="none" w:sz="0" w:space="0" w:color="auto"/>
      </w:divBdr>
      <w:divsChild>
        <w:div w:id="1681548055">
          <w:marLeft w:val="0"/>
          <w:marRight w:val="0"/>
          <w:marTop w:val="0"/>
          <w:marBottom w:val="0"/>
          <w:divBdr>
            <w:top w:val="none" w:sz="0" w:space="0" w:color="auto"/>
            <w:left w:val="none" w:sz="0" w:space="0" w:color="auto"/>
            <w:bottom w:val="none" w:sz="0" w:space="0" w:color="auto"/>
            <w:right w:val="none" w:sz="0" w:space="0" w:color="auto"/>
          </w:divBdr>
        </w:div>
      </w:divsChild>
    </w:div>
    <w:div w:id="168907967">
      <w:marLeft w:val="0"/>
      <w:marRight w:val="0"/>
      <w:marTop w:val="0"/>
      <w:marBottom w:val="0"/>
      <w:divBdr>
        <w:top w:val="none" w:sz="0" w:space="0" w:color="auto"/>
        <w:left w:val="none" w:sz="0" w:space="0" w:color="auto"/>
        <w:bottom w:val="none" w:sz="0" w:space="0" w:color="auto"/>
        <w:right w:val="none" w:sz="0" w:space="0" w:color="auto"/>
      </w:divBdr>
      <w:divsChild>
        <w:div w:id="26873440">
          <w:marLeft w:val="0"/>
          <w:marRight w:val="0"/>
          <w:marTop w:val="0"/>
          <w:marBottom w:val="0"/>
          <w:divBdr>
            <w:top w:val="none" w:sz="0" w:space="0" w:color="auto"/>
            <w:left w:val="none" w:sz="0" w:space="0" w:color="auto"/>
            <w:bottom w:val="none" w:sz="0" w:space="0" w:color="auto"/>
            <w:right w:val="none" w:sz="0" w:space="0" w:color="auto"/>
          </w:divBdr>
        </w:div>
      </w:divsChild>
    </w:div>
    <w:div w:id="170485276">
      <w:marLeft w:val="0"/>
      <w:marRight w:val="0"/>
      <w:marTop w:val="0"/>
      <w:marBottom w:val="0"/>
      <w:divBdr>
        <w:top w:val="none" w:sz="0" w:space="0" w:color="auto"/>
        <w:left w:val="none" w:sz="0" w:space="0" w:color="auto"/>
        <w:bottom w:val="none" w:sz="0" w:space="0" w:color="auto"/>
        <w:right w:val="none" w:sz="0" w:space="0" w:color="auto"/>
      </w:divBdr>
    </w:div>
    <w:div w:id="172838714">
      <w:marLeft w:val="0"/>
      <w:marRight w:val="0"/>
      <w:marTop w:val="0"/>
      <w:marBottom w:val="0"/>
      <w:divBdr>
        <w:top w:val="none" w:sz="0" w:space="0" w:color="auto"/>
        <w:left w:val="none" w:sz="0" w:space="0" w:color="auto"/>
        <w:bottom w:val="none" w:sz="0" w:space="0" w:color="auto"/>
        <w:right w:val="none" w:sz="0" w:space="0" w:color="auto"/>
      </w:divBdr>
    </w:div>
    <w:div w:id="177741589">
      <w:marLeft w:val="0"/>
      <w:marRight w:val="0"/>
      <w:marTop w:val="0"/>
      <w:marBottom w:val="0"/>
      <w:divBdr>
        <w:top w:val="none" w:sz="0" w:space="0" w:color="auto"/>
        <w:left w:val="none" w:sz="0" w:space="0" w:color="auto"/>
        <w:bottom w:val="none" w:sz="0" w:space="0" w:color="auto"/>
        <w:right w:val="none" w:sz="0" w:space="0" w:color="auto"/>
      </w:divBdr>
    </w:div>
    <w:div w:id="179201835">
      <w:marLeft w:val="0"/>
      <w:marRight w:val="0"/>
      <w:marTop w:val="0"/>
      <w:marBottom w:val="0"/>
      <w:divBdr>
        <w:top w:val="none" w:sz="0" w:space="0" w:color="auto"/>
        <w:left w:val="none" w:sz="0" w:space="0" w:color="auto"/>
        <w:bottom w:val="none" w:sz="0" w:space="0" w:color="auto"/>
        <w:right w:val="none" w:sz="0" w:space="0" w:color="auto"/>
      </w:divBdr>
    </w:div>
    <w:div w:id="180359299">
      <w:marLeft w:val="0"/>
      <w:marRight w:val="0"/>
      <w:marTop w:val="0"/>
      <w:marBottom w:val="0"/>
      <w:divBdr>
        <w:top w:val="none" w:sz="0" w:space="0" w:color="auto"/>
        <w:left w:val="none" w:sz="0" w:space="0" w:color="auto"/>
        <w:bottom w:val="none" w:sz="0" w:space="0" w:color="auto"/>
        <w:right w:val="none" w:sz="0" w:space="0" w:color="auto"/>
      </w:divBdr>
    </w:div>
    <w:div w:id="184638629">
      <w:marLeft w:val="0"/>
      <w:marRight w:val="0"/>
      <w:marTop w:val="0"/>
      <w:marBottom w:val="0"/>
      <w:divBdr>
        <w:top w:val="none" w:sz="0" w:space="0" w:color="auto"/>
        <w:left w:val="none" w:sz="0" w:space="0" w:color="auto"/>
        <w:bottom w:val="none" w:sz="0" w:space="0" w:color="auto"/>
        <w:right w:val="none" w:sz="0" w:space="0" w:color="auto"/>
      </w:divBdr>
    </w:div>
    <w:div w:id="187837877">
      <w:marLeft w:val="0"/>
      <w:marRight w:val="0"/>
      <w:marTop w:val="0"/>
      <w:marBottom w:val="0"/>
      <w:divBdr>
        <w:top w:val="none" w:sz="0" w:space="0" w:color="auto"/>
        <w:left w:val="none" w:sz="0" w:space="0" w:color="auto"/>
        <w:bottom w:val="none" w:sz="0" w:space="0" w:color="auto"/>
        <w:right w:val="none" w:sz="0" w:space="0" w:color="auto"/>
      </w:divBdr>
    </w:div>
    <w:div w:id="189147393">
      <w:marLeft w:val="0"/>
      <w:marRight w:val="0"/>
      <w:marTop w:val="0"/>
      <w:marBottom w:val="0"/>
      <w:divBdr>
        <w:top w:val="none" w:sz="0" w:space="0" w:color="auto"/>
        <w:left w:val="none" w:sz="0" w:space="0" w:color="auto"/>
        <w:bottom w:val="none" w:sz="0" w:space="0" w:color="auto"/>
        <w:right w:val="none" w:sz="0" w:space="0" w:color="auto"/>
      </w:divBdr>
    </w:div>
    <w:div w:id="190849863">
      <w:marLeft w:val="0"/>
      <w:marRight w:val="0"/>
      <w:marTop w:val="0"/>
      <w:marBottom w:val="0"/>
      <w:divBdr>
        <w:top w:val="none" w:sz="0" w:space="0" w:color="auto"/>
        <w:left w:val="none" w:sz="0" w:space="0" w:color="auto"/>
        <w:bottom w:val="none" w:sz="0" w:space="0" w:color="auto"/>
        <w:right w:val="none" w:sz="0" w:space="0" w:color="auto"/>
      </w:divBdr>
    </w:div>
    <w:div w:id="193806073">
      <w:marLeft w:val="0"/>
      <w:marRight w:val="0"/>
      <w:marTop w:val="0"/>
      <w:marBottom w:val="0"/>
      <w:divBdr>
        <w:top w:val="none" w:sz="0" w:space="0" w:color="auto"/>
        <w:left w:val="none" w:sz="0" w:space="0" w:color="auto"/>
        <w:bottom w:val="none" w:sz="0" w:space="0" w:color="auto"/>
        <w:right w:val="none" w:sz="0" w:space="0" w:color="auto"/>
      </w:divBdr>
    </w:div>
    <w:div w:id="195849910">
      <w:marLeft w:val="0"/>
      <w:marRight w:val="0"/>
      <w:marTop w:val="0"/>
      <w:marBottom w:val="0"/>
      <w:divBdr>
        <w:top w:val="none" w:sz="0" w:space="0" w:color="auto"/>
        <w:left w:val="none" w:sz="0" w:space="0" w:color="auto"/>
        <w:bottom w:val="none" w:sz="0" w:space="0" w:color="auto"/>
        <w:right w:val="none" w:sz="0" w:space="0" w:color="auto"/>
      </w:divBdr>
      <w:divsChild>
        <w:div w:id="296179895">
          <w:marLeft w:val="0"/>
          <w:marRight w:val="0"/>
          <w:marTop w:val="0"/>
          <w:marBottom w:val="0"/>
          <w:divBdr>
            <w:top w:val="none" w:sz="0" w:space="0" w:color="auto"/>
            <w:left w:val="none" w:sz="0" w:space="0" w:color="auto"/>
            <w:bottom w:val="none" w:sz="0" w:space="0" w:color="auto"/>
            <w:right w:val="none" w:sz="0" w:space="0" w:color="auto"/>
          </w:divBdr>
        </w:div>
      </w:divsChild>
    </w:div>
    <w:div w:id="196551571">
      <w:marLeft w:val="0"/>
      <w:marRight w:val="0"/>
      <w:marTop w:val="0"/>
      <w:marBottom w:val="0"/>
      <w:divBdr>
        <w:top w:val="none" w:sz="0" w:space="0" w:color="auto"/>
        <w:left w:val="none" w:sz="0" w:space="0" w:color="auto"/>
        <w:bottom w:val="none" w:sz="0" w:space="0" w:color="auto"/>
        <w:right w:val="none" w:sz="0" w:space="0" w:color="auto"/>
      </w:divBdr>
    </w:div>
    <w:div w:id="198321194">
      <w:marLeft w:val="0"/>
      <w:marRight w:val="0"/>
      <w:marTop w:val="0"/>
      <w:marBottom w:val="0"/>
      <w:divBdr>
        <w:top w:val="none" w:sz="0" w:space="0" w:color="auto"/>
        <w:left w:val="none" w:sz="0" w:space="0" w:color="auto"/>
        <w:bottom w:val="none" w:sz="0" w:space="0" w:color="auto"/>
        <w:right w:val="none" w:sz="0" w:space="0" w:color="auto"/>
      </w:divBdr>
    </w:div>
    <w:div w:id="203177685">
      <w:marLeft w:val="0"/>
      <w:marRight w:val="0"/>
      <w:marTop w:val="0"/>
      <w:marBottom w:val="0"/>
      <w:divBdr>
        <w:top w:val="none" w:sz="0" w:space="0" w:color="auto"/>
        <w:left w:val="none" w:sz="0" w:space="0" w:color="auto"/>
        <w:bottom w:val="none" w:sz="0" w:space="0" w:color="auto"/>
        <w:right w:val="none" w:sz="0" w:space="0" w:color="auto"/>
      </w:divBdr>
    </w:div>
    <w:div w:id="203298765">
      <w:marLeft w:val="0"/>
      <w:marRight w:val="0"/>
      <w:marTop w:val="0"/>
      <w:marBottom w:val="0"/>
      <w:divBdr>
        <w:top w:val="none" w:sz="0" w:space="0" w:color="auto"/>
        <w:left w:val="none" w:sz="0" w:space="0" w:color="auto"/>
        <w:bottom w:val="none" w:sz="0" w:space="0" w:color="auto"/>
        <w:right w:val="none" w:sz="0" w:space="0" w:color="auto"/>
      </w:divBdr>
    </w:div>
    <w:div w:id="205138898">
      <w:marLeft w:val="0"/>
      <w:marRight w:val="0"/>
      <w:marTop w:val="0"/>
      <w:marBottom w:val="0"/>
      <w:divBdr>
        <w:top w:val="none" w:sz="0" w:space="0" w:color="auto"/>
        <w:left w:val="none" w:sz="0" w:space="0" w:color="auto"/>
        <w:bottom w:val="none" w:sz="0" w:space="0" w:color="auto"/>
        <w:right w:val="none" w:sz="0" w:space="0" w:color="auto"/>
      </w:divBdr>
    </w:div>
    <w:div w:id="207256553">
      <w:marLeft w:val="0"/>
      <w:marRight w:val="0"/>
      <w:marTop w:val="0"/>
      <w:marBottom w:val="0"/>
      <w:divBdr>
        <w:top w:val="none" w:sz="0" w:space="0" w:color="auto"/>
        <w:left w:val="none" w:sz="0" w:space="0" w:color="auto"/>
        <w:bottom w:val="none" w:sz="0" w:space="0" w:color="auto"/>
        <w:right w:val="none" w:sz="0" w:space="0" w:color="auto"/>
      </w:divBdr>
    </w:div>
    <w:div w:id="210700809">
      <w:marLeft w:val="0"/>
      <w:marRight w:val="0"/>
      <w:marTop w:val="0"/>
      <w:marBottom w:val="0"/>
      <w:divBdr>
        <w:top w:val="none" w:sz="0" w:space="0" w:color="auto"/>
        <w:left w:val="none" w:sz="0" w:space="0" w:color="auto"/>
        <w:bottom w:val="none" w:sz="0" w:space="0" w:color="auto"/>
        <w:right w:val="none" w:sz="0" w:space="0" w:color="auto"/>
      </w:divBdr>
    </w:div>
    <w:div w:id="211305183">
      <w:marLeft w:val="0"/>
      <w:marRight w:val="0"/>
      <w:marTop w:val="0"/>
      <w:marBottom w:val="0"/>
      <w:divBdr>
        <w:top w:val="none" w:sz="0" w:space="0" w:color="auto"/>
        <w:left w:val="none" w:sz="0" w:space="0" w:color="auto"/>
        <w:bottom w:val="none" w:sz="0" w:space="0" w:color="auto"/>
        <w:right w:val="none" w:sz="0" w:space="0" w:color="auto"/>
      </w:divBdr>
    </w:div>
    <w:div w:id="212040110">
      <w:marLeft w:val="0"/>
      <w:marRight w:val="0"/>
      <w:marTop w:val="0"/>
      <w:marBottom w:val="0"/>
      <w:divBdr>
        <w:top w:val="none" w:sz="0" w:space="0" w:color="auto"/>
        <w:left w:val="none" w:sz="0" w:space="0" w:color="auto"/>
        <w:bottom w:val="none" w:sz="0" w:space="0" w:color="auto"/>
        <w:right w:val="none" w:sz="0" w:space="0" w:color="auto"/>
      </w:divBdr>
    </w:div>
    <w:div w:id="212279928">
      <w:marLeft w:val="0"/>
      <w:marRight w:val="0"/>
      <w:marTop w:val="0"/>
      <w:marBottom w:val="0"/>
      <w:divBdr>
        <w:top w:val="none" w:sz="0" w:space="0" w:color="auto"/>
        <w:left w:val="none" w:sz="0" w:space="0" w:color="auto"/>
        <w:bottom w:val="none" w:sz="0" w:space="0" w:color="auto"/>
        <w:right w:val="none" w:sz="0" w:space="0" w:color="auto"/>
      </w:divBdr>
    </w:div>
    <w:div w:id="215896407">
      <w:marLeft w:val="0"/>
      <w:marRight w:val="0"/>
      <w:marTop w:val="0"/>
      <w:marBottom w:val="0"/>
      <w:divBdr>
        <w:top w:val="none" w:sz="0" w:space="0" w:color="auto"/>
        <w:left w:val="none" w:sz="0" w:space="0" w:color="auto"/>
        <w:bottom w:val="none" w:sz="0" w:space="0" w:color="auto"/>
        <w:right w:val="none" w:sz="0" w:space="0" w:color="auto"/>
      </w:divBdr>
    </w:div>
    <w:div w:id="216012981">
      <w:marLeft w:val="0"/>
      <w:marRight w:val="0"/>
      <w:marTop w:val="0"/>
      <w:marBottom w:val="0"/>
      <w:divBdr>
        <w:top w:val="none" w:sz="0" w:space="0" w:color="auto"/>
        <w:left w:val="none" w:sz="0" w:space="0" w:color="auto"/>
        <w:bottom w:val="none" w:sz="0" w:space="0" w:color="auto"/>
        <w:right w:val="none" w:sz="0" w:space="0" w:color="auto"/>
      </w:divBdr>
    </w:div>
    <w:div w:id="216744776">
      <w:marLeft w:val="0"/>
      <w:marRight w:val="0"/>
      <w:marTop w:val="0"/>
      <w:marBottom w:val="0"/>
      <w:divBdr>
        <w:top w:val="none" w:sz="0" w:space="0" w:color="auto"/>
        <w:left w:val="none" w:sz="0" w:space="0" w:color="auto"/>
        <w:bottom w:val="none" w:sz="0" w:space="0" w:color="auto"/>
        <w:right w:val="none" w:sz="0" w:space="0" w:color="auto"/>
      </w:divBdr>
    </w:div>
    <w:div w:id="222181708">
      <w:marLeft w:val="0"/>
      <w:marRight w:val="0"/>
      <w:marTop w:val="0"/>
      <w:marBottom w:val="0"/>
      <w:divBdr>
        <w:top w:val="none" w:sz="0" w:space="0" w:color="auto"/>
        <w:left w:val="none" w:sz="0" w:space="0" w:color="auto"/>
        <w:bottom w:val="none" w:sz="0" w:space="0" w:color="auto"/>
        <w:right w:val="none" w:sz="0" w:space="0" w:color="auto"/>
      </w:divBdr>
    </w:div>
    <w:div w:id="222526731">
      <w:marLeft w:val="0"/>
      <w:marRight w:val="0"/>
      <w:marTop w:val="0"/>
      <w:marBottom w:val="0"/>
      <w:divBdr>
        <w:top w:val="none" w:sz="0" w:space="0" w:color="auto"/>
        <w:left w:val="none" w:sz="0" w:space="0" w:color="auto"/>
        <w:bottom w:val="none" w:sz="0" w:space="0" w:color="auto"/>
        <w:right w:val="none" w:sz="0" w:space="0" w:color="auto"/>
      </w:divBdr>
      <w:divsChild>
        <w:div w:id="340594384">
          <w:marLeft w:val="0"/>
          <w:marRight w:val="0"/>
          <w:marTop w:val="0"/>
          <w:marBottom w:val="0"/>
          <w:divBdr>
            <w:top w:val="none" w:sz="0" w:space="0" w:color="auto"/>
            <w:left w:val="none" w:sz="0" w:space="0" w:color="auto"/>
            <w:bottom w:val="none" w:sz="0" w:space="0" w:color="auto"/>
            <w:right w:val="none" w:sz="0" w:space="0" w:color="auto"/>
          </w:divBdr>
        </w:div>
        <w:div w:id="1068040665">
          <w:marLeft w:val="0"/>
          <w:marRight w:val="0"/>
          <w:marTop w:val="0"/>
          <w:marBottom w:val="0"/>
          <w:divBdr>
            <w:top w:val="none" w:sz="0" w:space="0" w:color="auto"/>
            <w:left w:val="none" w:sz="0" w:space="0" w:color="auto"/>
            <w:bottom w:val="none" w:sz="0" w:space="0" w:color="auto"/>
            <w:right w:val="none" w:sz="0" w:space="0" w:color="auto"/>
          </w:divBdr>
        </w:div>
        <w:div w:id="1620530082">
          <w:marLeft w:val="0"/>
          <w:marRight w:val="0"/>
          <w:marTop w:val="0"/>
          <w:marBottom w:val="0"/>
          <w:divBdr>
            <w:top w:val="none" w:sz="0" w:space="0" w:color="auto"/>
            <w:left w:val="none" w:sz="0" w:space="0" w:color="auto"/>
            <w:bottom w:val="none" w:sz="0" w:space="0" w:color="auto"/>
            <w:right w:val="none" w:sz="0" w:space="0" w:color="auto"/>
          </w:divBdr>
        </w:div>
      </w:divsChild>
    </w:div>
    <w:div w:id="226231977">
      <w:marLeft w:val="0"/>
      <w:marRight w:val="0"/>
      <w:marTop w:val="0"/>
      <w:marBottom w:val="0"/>
      <w:divBdr>
        <w:top w:val="none" w:sz="0" w:space="0" w:color="auto"/>
        <w:left w:val="none" w:sz="0" w:space="0" w:color="auto"/>
        <w:bottom w:val="none" w:sz="0" w:space="0" w:color="auto"/>
        <w:right w:val="none" w:sz="0" w:space="0" w:color="auto"/>
      </w:divBdr>
    </w:div>
    <w:div w:id="227305905">
      <w:marLeft w:val="0"/>
      <w:marRight w:val="0"/>
      <w:marTop w:val="0"/>
      <w:marBottom w:val="0"/>
      <w:divBdr>
        <w:top w:val="none" w:sz="0" w:space="0" w:color="auto"/>
        <w:left w:val="none" w:sz="0" w:space="0" w:color="auto"/>
        <w:bottom w:val="none" w:sz="0" w:space="0" w:color="auto"/>
        <w:right w:val="none" w:sz="0" w:space="0" w:color="auto"/>
      </w:divBdr>
    </w:div>
    <w:div w:id="229779943">
      <w:marLeft w:val="0"/>
      <w:marRight w:val="0"/>
      <w:marTop w:val="0"/>
      <w:marBottom w:val="0"/>
      <w:divBdr>
        <w:top w:val="none" w:sz="0" w:space="0" w:color="auto"/>
        <w:left w:val="none" w:sz="0" w:space="0" w:color="auto"/>
        <w:bottom w:val="none" w:sz="0" w:space="0" w:color="auto"/>
        <w:right w:val="none" w:sz="0" w:space="0" w:color="auto"/>
      </w:divBdr>
    </w:div>
    <w:div w:id="230509063">
      <w:marLeft w:val="0"/>
      <w:marRight w:val="0"/>
      <w:marTop w:val="0"/>
      <w:marBottom w:val="0"/>
      <w:divBdr>
        <w:top w:val="none" w:sz="0" w:space="0" w:color="auto"/>
        <w:left w:val="none" w:sz="0" w:space="0" w:color="auto"/>
        <w:bottom w:val="none" w:sz="0" w:space="0" w:color="auto"/>
        <w:right w:val="none" w:sz="0" w:space="0" w:color="auto"/>
      </w:divBdr>
    </w:div>
    <w:div w:id="236090344">
      <w:marLeft w:val="0"/>
      <w:marRight w:val="0"/>
      <w:marTop w:val="0"/>
      <w:marBottom w:val="0"/>
      <w:divBdr>
        <w:top w:val="none" w:sz="0" w:space="0" w:color="auto"/>
        <w:left w:val="none" w:sz="0" w:space="0" w:color="auto"/>
        <w:bottom w:val="none" w:sz="0" w:space="0" w:color="auto"/>
        <w:right w:val="none" w:sz="0" w:space="0" w:color="auto"/>
      </w:divBdr>
    </w:div>
    <w:div w:id="241959904">
      <w:marLeft w:val="0"/>
      <w:marRight w:val="0"/>
      <w:marTop w:val="0"/>
      <w:marBottom w:val="0"/>
      <w:divBdr>
        <w:top w:val="none" w:sz="0" w:space="0" w:color="auto"/>
        <w:left w:val="none" w:sz="0" w:space="0" w:color="auto"/>
        <w:bottom w:val="none" w:sz="0" w:space="0" w:color="auto"/>
        <w:right w:val="none" w:sz="0" w:space="0" w:color="auto"/>
      </w:divBdr>
    </w:div>
    <w:div w:id="243496221">
      <w:marLeft w:val="0"/>
      <w:marRight w:val="0"/>
      <w:marTop w:val="0"/>
      <w:marBottom w:val="0"/>
      <w:divBdr>
        <w:top w:val="none" w:sz="0" w:space="0" w:color="auto"/>
        <w:left w:val="none" w:sz="0" w:space="0" w:color="auto"/>
        <w:bottom w:val="none" w:sz="0" w:space="0" w:color="auto"/>
        <w:right w:val="none" w:sz="0" w:space="0" w:color="auto"/>
      </w:divBdr>
    </w:div>
    <w:div w:id="243950783">
      <w:marLeft w:val="0"/>
      <w:marRight w:val="0"/>
      <w:marTop w:val="0"/>
      <w:marBottom w:val="0"/>
      <w:divBdr>
        <w:top w:val="none" w:sz="0" w:space="0" w:color="auto"/>
        <w:left w:val="none" w:sz="0" w:space="0" w:color="auto"/>
        <w:bottom w:val="none" w:sz="0" w:space="0" w:color="auto"/>
        <w:right w:val="none" w:sz="0" w:space="0" w:color="auto"/>
      </w:divBdr>
    </w:div>
    <w:div w:id="245456943">
      <w:marLeft w:val="0"/>
      <w:marRight w:val="0"/>
      <w:marTop w:val="0"/>
      <w:marBottom w:val="0"/>
      <w:divBdr>
        <w:top w:val="none" w:sz="0" w:space="0" w:color="auto"/>
        <w:left w:val="none" w:sz="0" w:space="0" w:color="auto"/>
        <w:bottom w:val="none" w:sz="0" w:space="0" w:color="auto"/>
        <w:right w:val="none" w:sz="0" w:space="0" w:color="auto"/>
      </w:divBdr>
    </w:div>
    <w:div w:id="248274166">
      <w:marLeft w:val="0"/>
      <w:marRight w:val="0"/>
      <w:marTop w:val="0"/>
      <w:marBottom w:val="0"/>
      <w:divBdr>
        <w:top w:val="none" w:sz="0" w:space="0" w:color="auto"/>
        <w:left w:val="none" w:sz="0" w:space="0" w:color="auto"/>
        <w:bottom w:val="none" w:sz="0" w:space="0" w:color="auto"/>
        <w:right w:val="none" w:sz="0" w:space="0" w:color="auto"/>
      </w:divBdr>
    </w:div>
    <w:div w:id="248734631">
      <w:marLeft w:val="0"/>
      <w:marRight w:val="0"/>
      <w:marTop w:val="0"/>
      <w:marBottom w:val="0"/>
      <w:divBdr>
        <w:top w:val="none" w:sz="0" w:space="0" w:color="auto"/>
        <w:left w:val="none" w:sz="0" w:space="0" w:color="auto"/>
        <w:bottom w:val="none" w:sz="0" w:space="0" w:color="auto"/>
        <w:right w:val="none" w:sz="0" w:space="0" w:color="auto"/>
      </w:divBdr>
    </w:div>
    <w:div w:id="248926808">
      <w:marLeft w:val="0"/>
      <w:marRight w:val="0"/>
      <w:marTop w:val="0"/>
      <w:marBottom w:val="0"/>
      <w:divBdr>
        <w:top w:val="none" w:sz="0" w:space="0" w:color="auto"/>
        <w:left w:val="none" w:sz="0" w:space="0" w:color="auto"/>
        <w:bottom w:val="none" w:sz="0" w:space="0" w:color="auto"/>
        <w:right w:val="none" w:sz="0" w:space="0" w:color="auto"/>
      </w:divBdr>
    </w:div>
    <w:div w:id="251934177">
      <w:marLeft w:val="0"/>
      <w:marRight w:val="0"/>
      <w:marTop w:val="0"/>
      <w:marBottom w:val="0"/>
      <w:divBdr>
        <w:top w:val="none" w:sz="0" w:space="0" w:color="auto"/>
        <w:left w:val="none" w:sz="0" w:space="0" w:color="auto"/>
        <w:bottom w:val="none" w:sz="0" w:space="0" w:color="auto"/>
        <w:right w:val="none" w:sz="0" w:space="0" w:color="auto"/>
      </w:divBdr>
    </w:div>
    <w:div w:id="252008598">
      <w:marLeft w:val="0"/>
      <w:marRight w:val="0"/>
      <w:marTop w:val="0"/>
      <w:marBottom w:val="0"/>
      <w:divBdr>
        <w:top w:val="none" w:sz="0" w:space="0" w:color="auto"/>
        <w:left w:val="none" w:sz="0" w:space="0" w:color="auto"/>
        <w:bottom w:val="none" w:sz="0" w:space="0" w:color="auto"/>
        <w:right w:val="none" w:sz="0" w:space="0" w:color="auto"/>
      </w:divBdr>
    </w:div>
    <w:div w:id="253632884">
      <w:marLeft w:val="0"/>
      <w:marRight w:val="0"/>
      <w:marTop w:val="0"/>
      <w:marBottom w:val="0"/>
      <w:divBdr>
        <w:top w:val="none" w:sz="0" w:space="0" w:color="auto"/>
        <w:left w:val="none" w:sz="0" w:space="0" w:color="auto"/>
        <w:bottom w:val="none" w:sz="0" w:space="0" w:color="auto"/>
        <w:right w:val="none" w:sz="0" w:space="0" w:color="auto"/>
      </w:divBdr>
    </w:div>
    <w:div w:id="255675593">
      <w:marLeft w:val="0"/>
      <w:marRight w:val="0"/>
      <w:marTop w:val="0"/>
      <w:marBottom w:val="0"/>
      <w:divBdr>
        <w:top w:val="none" w:sz="0" w:space="0" w:color="auto"/>
        <w:left w:val="none" w:sz="0" w:space="0" w:color="auto"/>
        <w:bottom w:val="none" w:sz="0" w:space="0" w:color="auto"/>
        <w:right w:val="none" w:sz="0" w:space="0" w:color="auto"/>
      </w:divBdr>
    </w:div>
    <w:div w:id="257636118">
      <w:marLeft w:val="0"/>
      <w:marRight w:val="0"/>
      <w:marTop w:val="0"/>
      <w:marBottom w:val="0"/>
      <w:divBdr>
        <w:top w:val="none" w:sz="0" w:space="0" w:color="auto"/>
        <w:left w:val="none" w:sz="0" w:space="0" w:color="auto"/>
        <w:bottom w:val="none" w:sz="0" w:space="0" w:color="auto"/>
        <w:right w:val="none" w:sz="0" w:space="0" w:color="auto"/>
      </w:divBdr>
    </w:div>
    <w:div w:id="264315410">
      <w:marLeft w:val="0"/>
      <w:marRight w:val="0"/>
      <w:marTop w:val="0"/>
      <w:marBottom w:val="0"/>
      <w:divBdr>
        <w:top w:val="none" w:sz="0" w:space="0" w:color="auto"/>
        <w:left w:val="none" w:sz="0" w:space="0" w:color="auto"/>
        <w:bottom w:val="none" w:sz="0" w:space="0" w:color="auto"/>
        <w:right w:val="none" w:sz="0" w:space="0" w:color="auto"/>
      </w:divBdr>
    </w:div>
    <w:div w:id="264535379">
      <w:marLeft w:val="0"/>
      <w:marRight w:val="0"/>
      <w:marTop w:val="0"/>
      <w:marBottom w:val="0"/>
      <w:divBdr>
        <w:top w:val="none" w:sz="0" w:space="0" w:color="auto"/>
        <w:left w:val="none" w:sz="0" w:space="0" w:color="auto"/>
        <w:bottom w:val="none" w:sz="0" w:space="0" w:color="auto"/>
        <w:right w:val="none" w:sz="0" w:space="0" w:color="auto"/>
      </w:divBdr>
    </w:div>
    <w:div w:id="266540914">
      <w:marLeft w:val="0"/>
      <w:marRight w:val="0"/>
      <w:marTop w:val="0"/>
      <w:marBottom w:val="0"/>
      <w:divBdr>
        <w:top w:val="none" w:sz="0" w:space="0" w:color="auto"/>
        <w:left w:val="none" w:sz="0" w:space="0" w:color="auto"/>
        <w:bottom w:val="none" w:sz="0" w:space="0" w:color="auto"/>
        <w:right w:val="none" w:sz="0" w:space="0" w:color="auto"/>
      </w:divBdr>
    </w:div>
    <w:div w:id="269970568">
      <w:marLeft w:val="0"/>
      <w:marRight w:val="0"/>
      <w:marTop w:val="0"/>
      <w:marBottom w:val="0"/>
      <w:divBdr>
        <w:top w:val="none" w:sz="0" w:space="0" w:color="auto"/>
        <w:left w:val="none" w:sz="0" w:space="0" w:color="auto"/>
        <w:bottom w:val="none" w:sz="0" w:space="0" w:color="auto"/>
        <w:right w:val="none" w:sz="0" w:space="0" w:color="auto"/>
      </w:divBdr>
    </w:div>
    <w:div w:id="274094726">
      <w:marLeft w:val="0"/>
      <w:marRight w:val="0"/>
      <w:marTop w:val="0"/>
      <w:marBottom w:val="0"/>
      <w:divBdr>
        <w:top w:val="none" w:sz="0" w:space="0" w:color="auto"/>
        <w:left w:val="none" w:sz="0" w:space="0" w:color="auto"/>
        <w:bottom w:val="none" w:sz="0" w:space="0" w:color="auto"/>
        <w:right w:val="none" w:sz="0" w:space="0" w:color="auto"/>
      </w:divBdr>
    </w:div>
    <w:div w:id="274480209">
      <w:marLeft w:val="0"/>
      <w:marRight w:val="0"/>
      <w:marTop w:val="0"/>
      <w:marBottom w:val="0"/>
      <w:divBdr>
        <w:top w:val="none" w:sz="0" w:space="0" w:color="auto"/>
        <w:left w:val="none" w:sz="0" w:space="0" w:color="auto"/>
        <w:bottom w:val="none" w:sz="0" w:space="0" w:color="auto"/>
        <w:right w:val="none" w:sz="0" w:space="0" w:color="auto"/>
      </w:divBdr>
    </w:div>
    <w:div w:id="275261179">
      <w:marLeft w:val="0"/>
      <w:marRight w:val="0"/>
      <w:marTop w:val="0"/>
      <w:marBottom w:val="0"/>
      <w:divBdr>
        <w:top w:val="none" w:sz="0" w:space="0" w:color="auto"/>
        <w:left w:val="none" w:sz="0" w:space="0" w:color="auto"/>
        <w:bottom w:val="none" w:sz="0" w:space="0" w:color="auto"/>
        <w:right w:val="none" w:sz="0" w:space="0" w:color="auto"/>
      </w:divBdr>
    </w:div>
    <w:div w:id="275332341">
      <w:marLeft w:val="0"/>
      <w:marRight w:val="0"/>
      <w:marTop w:val="0"/>
      <w:marBottom w:val="0"/>
      <w:divBdr>
        <w:top w:val="none" w:sz="0" w:space="0" w:color="auto"/>
        <w:left w:val="none" w:sz="0" w:space="0" w:color="auto"/>
        <w:bottom w:val="none" w:sz="0" w:space="0" w:color="auto"/>
        <w:right w:val="none" w:sz="0" w:space="0" w:color="auto"/>
      </w:divBdr>
    </w:div>
    <w:div w:id="275521837">
      <w:marLeft w:val="0"/>
      <w:marRight w:val="0"/>
      <w:marTop w:val="0"/>
      <w:marBottom w:val="0"/>
      <w:divBdr>
        <w:top w:val="none" w:sz="0" w:space="0" w:color="auto"/>
        <w:left w:val="none" w:sz="0" w:space="0" w:color="auto"/>
        <w:bottom w:val="none" w:sz="0" w:space="0" w:color="auto"/>
        <w:right w:val="none" w:sz="0" w:space="0" w:color="auto"/>
      </w:divBdr>
    </w:div>
    <w:div w:id="278951508">
      <w:marLeft w:val="0"/>
      <w:marRight w:val="0"/>
      <w:marTop w:val="0"/>
      <w:marBottom w:val="0"/>
      <w:divBdr>
        <w:top w:val="none" w:sz="0" w:space="0" w:color="auto"/>
        <w:left w:val="none" w:sz="0" w:space="0" w:color="auto"/>
        <w:bottom w:val="none" w:sz="0" w:space="0" w:color="auto"/>
        <w:right w:val="none" w:sz="0" w:space="0" w:color="auto"/>
      </w:divBdr>
    </w:div>
    <w:div w:id="283003761">
      <w:marLeft w:val="0"/>
      <w:marRight w:val="0"/>
      <w:marTop w:val="0"/>
      <w:marBottom w:val="0"/>
      <w:divBdr>
        <w:top w:val="none" w:sz="0" w:space="0" w:color="auto"/>
        <w:left w:val="none" w:sz="0" w:space="0" w:color="auto"/>
        <w:bottom w:val="none" w:sz="0" w:space="0" w:color="auto"/>
        <w:right w:val="none" w:sz="0" w:space="0" w:color="auto"/>
      </w:divBdr>
    </w:div>
    <w:div w:id="284192615">
      <w:marLeft w:val="0"/>
      <w:marRight w:val="0"/>
      <w:marTop w:val="0"/>
      <w:marBottom w:val="0"/>
      <w:divBdr>
        <w:top w:val="none" w:sz="0" w:space="0" w:color="auto"/>
        <w:left w:val="none" w:sz="0" w:space="0" w:color="auto"/>
        <w:bottom w:val="none" w:sz="0" w:space="0" w:color="auto"/>
        <w:right w:val="none" w:sz="0" w:space="0" w:color="auto"/>
      </w:divBdr>
    </w:div>
    <w:div w:id="289558605">
      <w:marLeft w:val="0"/>
      <w:marRight w:val="0"/>
      <w:marTop w:val="0"/>
      <w:marBottom w:val="0"/>
      <w:divBdr>
        <w:top w:val="none" w:sz="0" w:space="0" w:color="auto"/>
        <w:left w:val="none" w:sz="0" w:space="0" w:color="auto"/>
        <w:bottom w:val="none" w:sz="0" w:space="0" w:color="auto"/>
        <w:right w:val="none" w:sz="0" w:space="0" w:color="auto"/>
      </w:divBdr>
    </w:div>
    <w:div w:id="289865732">
      <w:marLeft w:val="0"/>
      <w:marRight w:val="0"/>
      <w:marTop w:val="0"/>
      <w:marBottom w:val="0"/>
      <w:divBdr>
        <w:top w:val="none" w:sz="0" w:space="0" w:color="auto"/>
        <w:left w:val="none" w:sz="0" w:space="0" w:color="auto"/>
        <w:bottom w:val="none" w:sz="0" w:space="0" w:color="auto"/>
        <w:right w:val="none" w:sz="0" w:space="0" w:color="auto"/>
      </w:divBdr>
    </w:div>
    <w:div w:id="292564648">
      <w:marLeft w:val="0"/>
      <w:marRight w:val="0"/>
      <w:marTop w:val="0"/>
      <w:marBottom w:val="0"/>
      <w:divBdr>
        <w:top w:val="none" w:sz="0" w:space="0" w:color="auto"/>
        <w:left w:val="none" w:sz="0" w:space="0" w:color="auto"/>
        <w:bottom w:val="none" w:sz="0" w:space="0" w:color="auto"/>
        <w:right w:val="none" w:sz="0" w:space="0" w:color="auto"/>
      </w:divBdr>
    </w:div>
    <w:div w:id="293566481">
      <w:marLeft w:val="0"/>
      <w:marRight w:val="0"/>
      <w:marTop w:val="0"/>
      <w:marBottom w:val="0"/>
      <w:divBdr>
        <w:top w:val="none" w:sz="0" w:space="0" w:color="auto"/>
        <w:left w:val="none" w:sz="0" w:space="0" w:color="auto"/>
        <w:bottom w:val="none" w:sz="0" w:space="0" w:color="auto"/>
        <w:right w:val="none" w:sz="0" w:space="0" w:color="auto"/>
      </w:divBdr>
    </w:div>
    <w:div w:id="295334194">
      <w:marLeft w:val="0"/>
      <w:marRight w:val="0"/>
      <w:marTop w:val="0"/>
      <w:marBottom w:val="0"/>
      <w:divBdr>
        <w:top w:val="none" w:sz="0" w:space="0" w:color="auto"/>
        <w:left w:val="none" w:sz="0" w:space="0" w:color="auto"/>
        <w:bottom w:val="none" w:sz="0" w:space="0" w:color="auto"/>
        <w:right w:val="none" w:sz="0" w:space="0" w:color="auto"/>
      </w:divBdr>
    </w:div>
    <w:div w:id="295838969">
      <w:marLeft w:val="0"/>
      <w:marRight w:val="0"/>
      <w:marTop w:val="0"/>
      <w:marBottom w:val="0"/>
      <w:divBdr>
        <w:top w:val="none" w:sz="0" w:space="0" w:color="auto"/>
        <w:left w:val="none" w:sz="0" w:space="0" w:color="auto"/>
        <w:bottom w:val="none" w:sz="0" w:space="0" w:color="auto"/>
        <w:right w:val="none" w:sz="0" w:space="0" w:color="auto"/>
      </w:divBdr>
    </w:div>
    <w:div w:id="302392827">
      <w:marLeft w:val="0"/>
      <w:marRight w:val="0"/>
      <w:marTop w:val="0"/>
      <w:marBottom w:val="0"/>
      <w:divBdr>
        <w:top w:val="none" w:sz="0" w:space="0" w:color="auto"/>
        <w:left w:val="none" w:sz="0" w:space="0" w:color="auto"/>
        <w:bottom w:val="none" w:sz="0" w:space="0" w:color="auto"/>
        <w:right w:val="none" w:sz="0" w:space="0" w:color="auto"/>
      </w:divBdr>
    </w:div>
    <w:div w:id="303242710">
      <w:marLeft w:val="0"/>
      <w:marRight w:val="0"/>
      <w:marTop w:val="0"/>
      <w:marBottom w:val="0"/>
      <w:divBdr>
        <w:top w:val="none" w:sz="0" w:space="0" w:color="auto"/>
        <w:left w:val="none" w:sz="0" w:space="0" w:color="auto"/>
        <w:bottom w:val="none" w:sz="0" w:space="0" w:color="auto"/>
        <w:right w:val="none" w:sz="0" w:space="0" w:color="auto"/>
      </w:divBdr>
    </w:div>
    <w:div w:id="303580495">
      <w:marLeft w:val="0"/>
      <w:marRight w:val="0"/>
      <w:marTop w:val="0"/>
      <w:marBottom w:val="0"/>
      <w:divBdr>
        <w:top w:val="none" w:sz="0" w:space="0" w:color="auto"/>
        <w:left w:val="none" w:sz="0" w:space="0" w:color="auto"/>
        <w:bottom w:val="none" w:sz="0" w:space="0" w:color="auto"/>
        <w:right w:val="none" w:sz="0" w:space="0" w:color="auto"/>
      </w:divBdr>
    </w:div>
    <w:div w:id="303895591">
      <w:marLeft w:val="0"/>
      <w:marRight w:val="0"/>
      <w:marTop w:val="0"/>
      <w:marBottom w:val="0"/>
      <w:divBdr>
        <w:top w:val="none" w:sz="0" w:space="0" w:color="auto"/>
        <w:left w:val="none" w:sz="0" w:space="0" w:color="auto"/>
        <w:bottom w:val="none" w:sz="0" w:space="0" w:color="auto"/>
        <w:right w:val="none" w:sz="0" w:space="0" w:color="auto"/>
      </w:divBdr>
    </w:div>
    <w:div w:id="305162103">
      <w:marLeft w:val="0"/>
      <w:marRight w:val="0"/>
      <w:marTop w:val="0"/>
      <w:marBottom w:val="0"/>
      <w:divBdr>
        <w:top w:val="none" w:sz="0" w:space="0" w:color="auto"/>
        <w:left w:val="none" w:sz="0" w:space="0" w:color="auto"/>
        <w:bottom w:val="none" w:sz="0" w:space="0" w:color="auto"/>
        <w:right w:val="none" w:sz="0" w:space="0" w:color="auto"/>
      </w:divBdr>
    </w:div>
    <w:div w:id="306204728">
      <w:marLeft w:val="0"/>
      <w:marRight w:val="0"/>
      <w:marTop w:val="0"/>
      <w:marBottom w:val="0"/>
      <w:divBdr>
        <w:top w:val="none" w:sz="0" w:space="0" w:color="auto"/>
        <w:left w:val="none" w:sz="0" w:space="0" w:color="auto"/>
        <w:bottom w:val="none" w:sz="0" w:space="0" w:color="auto"/>
        <w:right w:val="none" w:sz="0" w:space="0" w:color="auto"/>
      </w:divBdr>
    </w:div>
    <w:div w:id="308242837">
      <w:marLeft w:val="0"/>
      <w:marRight w:val="0"/>
      <w:marTop w:val="0"/>
      <w:marBottom w:val="0"/>
      <w:divBdr>
        <w:top w:val="none" w:sz="0" w:space="0" w:color="auto"/>
        <w:left w:val="none" w:sz="0" w:space="0" w:color="auto"/>
        <w:bottom w:val="none" w:sz="0" w:space="0" w:color="auto"/>
        <w:right w:val="none" w:sz="0" w:space="0" w:color="auto"/>
      </w:divBdr>
    </w:div>
    <w:div w:id="309792904">
      <w:marLeft w:val="0"/>
      <w:marRight w:val="0"/>
      <w:marTop w:val="0"/>
      <w:marBottom w:val="0"/>
      <w:divBdr>
        <w:top w:val="none" w:sz="0" w:space="0" w:color="auto"/>
        <w:left w:val="none" w:sz="0" w:space="0" w:color="auto"/>
        <w:bottom w:val="none" w:sz="0" w:space="0" w:color="auto"/>
        <w:right w:val="none" w:sz="0" w:space="0" w:color="auto"/>
      </w:divBdr>
    </w:div>
    <w:div w:id="309865351">
      <w:marLeft w:val="0"/>
      <w:marRight w:val="0"/>
      <w:marTop w:val="0"/>
      <w:marBottom w:val="0"/>
      <w:divBdr>
        <w:top w:val="none" w:sz="0" w:space="0" w:color="auto"/>
        <w:left w:val="none" w:sz="0" w:space="0" w:color="auto"/>
        <w:bottom w:val="none" w:sz="0" w:space="0" w:color="auto"/>
        <w:right w:val="none" w:sz="0" w:space="0" w:color="auto"/>
      </w:divBdr>
    </w:div>
    <w:div w:id="315956749">
      <w:marLeft w:val="0"/>
      <w:marRight w:val="0"/>
      <w:marTop w:val="0"/>
      <w:marBottom w:val="0"/>
      <w:divBdr>
        <w:top w:val="none" w:sz="0" w:space="0" w:color="auto"/>
        <w:left w:val="none" w:sz="0" w:space="0" w:color="auto"/>
        <w:bottom w:val="none" w:sz="0" w:space="0" w:color="auto"/>
        <w:right w:val="none" w:sz="0" w:space="0" w:color="auto"/>
      </w:divBdr>
    </w:div>
    <w:div w:id="316499924">
      <w:marLeft w:val="0"/>
      <w:marRight w:val="0"/>
      <w:marTop w:val="0"/>
      <w:marBottom w:val="0"/>
      <w:divBdr>
        <w:top w:val="none" w:sz="0" w:space="0" w:color="auto"/>
        <w:left w:val="none" w:sz="0" w:space="0" w:color="auto"/>
        <w:bottom w:val="none" w:sz="0" w:space="0" w:color="auto"/>
        <w:right w:val="none" w:sz="0" w:space="0" w:color="auto"/>
      </w:divBdr>
    </w:div>
    <w:div w:id="317347202">
      <w:marLeft w:val="0"/>
      <w:marRight w:val="0"/>
      <w:marTop w:val="0"/>
      <w:marBottom w:val="0"/>
      <w:divBdr>
        <w:top w:val="none" w:sz="0" w:space="0" w:color="auto"/>
        <w:left w:val="none" w:sz="0" w:space="0" w:color="auto"/>
        <w:bottom w:val="none" w:sz="0" w:space="0" w:color="auto"/>
        <w:right w:val="none" w:sz="0" w:space="0" w:color="auto"/>
      </w:divBdr>
    </w:div>
    <w:div w:id="321468809">
      <w:marLeft w:val="0"/>
      <w:marRight w:val="0"/>
      <w:marTop w:val="0"/>
      <w:marBottom w:val="0"/>
      <w:divBdr>
        <w:top w:val="none" w:sz="0" w:space="0" w:color="auto"/>
        <w:left w:val="none" w:sz="0" w:space="0" w:color="auto"/>
        <w:bottom w:val="none" w:sz="0" w:space="0" w:color="auto"/>
        <w:right w:val="none" w:sz="0" w:space="0" w:color="auto"/>
      </w:divBdr>
    </w:div>
    <w:div w:id="322391826">
      <w:marLeft w:val="0"/>
      <w:marRight w:val="0"/>
      <w:marTop w:val="0"/>
      <w:marBottom w:val="0"/>
      <w:divBdr>
        <w:top w:val="none" w:sz="0" w:space="0" w:color="auto"/>
        <w:left w:val="none" w:sz="0" w:space="0" w:color="auto"/>
        <w:bottom w:val="none" w:sz="0" w:space="0" w:color="auto"/>
        <w:right w:val="none" w:sz="0" w:space="0" w:color="auto"/>
      </w:divBdr>
    </w:div>
    <w:div w:id="323555656">
      <w:marLeft w:val="0"/>
      <w:marRight w:val="0"/>
      <w:marTop w:val="0"/>
      <w:marBottom w:val="0"/>
      <w:divBdr>
        <w:top w:val="none" w:sz="0" w:space="0" w:color="auto"/>
        <w:left w:val="none" w:sz="0" w:space="0" w:color="auto"/>
        <w:bottom w:val="none" w:sz="0" w:space="0" w:color="auto"/>
        <w:right w:val="none" w:sz="0" w:space="0" w:color="auto"/>
      </w:divBdr>
    </w:div>
    <w:div w:id="323821903">
      <w:marLeft w:val="0"/>
      <w:marRight w:val="0"/>
      <w:marTop w:val="40"/>
      <w:marBottom w:val="40"/>
      <w:divBdr>
        <w:top w:val="none" w:sz="0" w:space="0" w:color="auto"/>
        <w:left w:val="none" w:sz="0" w:space="0" w:color="auto"/>
        <w:bottom w:val="none" w:sz="0" w:space="0" w:color="auto"/>
        <w:right w:val="none" w:sz="0" w:space="0" w:color="auto"/>
      </w:divBdr>
    </w:div>
    <w:div w:id="325595644">
      <w:marLeft w:val="0"/>
      <w:marRight w:val="0"/>
      <w:marTop w:val="0"/>
      <w:marBottom w:val="0"/>
      <w:divBdr>
        <w:top w:val="none" w:sz="0" w:space="0" w:color="auto"/>
        <w:left w:val="none" w:sz="0" w:space="0" w:color="auto"/>
        <w:bottom w:val="none" w:sz="0" w:space="0" w:color="auto"/>
        <w:right w:val="none" w:sz="0" w:space="0" w:color="auto"/>
      </w:divBdr>
    </w:div>
    <w:div w:id="327172748">
      <w:marLeft w:val="0"/>
      <w:marRight w:val="0"/>
      <w:marTop w:val="0"/>
      <w:marBottom w:val="0"/>
      <w:divBdr>
        <w:top w:val="none" w:sz="0" w:space="0" w:color="auto"/>
        <w:left w:val="none" w:sz="0" w:space="0" w:color="auto"/>
        <w:bottom w:val="none" w:sz="0" w:space="0" w:color="auto"/>
        <w:right w:val="none" w:sz="0" w:space="0" w:color="auto"/>
      </w:divBdr>
      <w:divsChild>
        <w:div w:id="1619094820">
          <w:marLeft w:val="0"/>
          <w:marRight w:val="0"/>
          <w:marTop w:val="0"/>
          <w:marBottom w:val="0"/>
          <w:divBdr>
            <w:top w:val="none" w:sz="0" w:space="0" w:color="auto"/>
            <w:left w:val="none" w:sz="0" w:space="0" w:color="auto"/>
            <w:bottom w:val="none" w:sz="0" w:space="0" w:color="auto"/>
            <w:right w:val="none" w:sz="0" w:space="0" w:color="auto"/>
          </w:divBdr>
        </w:div>
      </w:divsChild>
    </w:div>
    <w:div w:id="328102074">
      <w:marLeft w:val="0"/>
      <w:marRight w:val="0"/>
      <w:marTop w:val="0"/>
      <w:marBottom w:val="0"/>
      <w:divBdr>
        <w:top w:val="none" w:sz="0" w:space="0" w:color="auto"/>
        <w:left w:val="none" w:sz="0" w:space="0" w:color="auto"/>
        <w:bottom w:val="none" w:sz="0" w:space="0" w:color="auto"/>
        <w:right w:val="none" w:sz="0" w:space="0" w:color="auto"/>
      </w:divBdr>
    </w:div>
    <w:div w:id="329600481">
      <w:marLeft w:val="0"/>
      <w:marRight w:val="0"/>
      <w:marTop w:val="0"/>
      <w:marBottom w:val="0"/>
      <w:divBdr>
        <w:top w:val="none" w:sz="0" w:space="0" w:color="auto"/>
        <w:left w:val="none" w:sz="0" w:space="0" w:color="auto"/>
        <w:bottom w:val="none" w:sz="0" w:space="0" w:color="auto"/>
        <w:right w:val="none" w:sz="0" w:space="0" w:color="auto"/>
      </w:divBdr>
    </w:div>
    <w:div w:id="330523989">
      <w:marLeft w:val="0"/>
      <w:marRight w:val="0"/>
      <w:marTop w:val="0"/>
      <w:marBottom w:val="0"/>
      <w:divBdr>
        <w:top w:val="none" w:sz="0" w:space="0" w:color="auto"/>
        <w:left w:val="none" w:sz="0" w:space="0" w:color="auto"/>
        <w:bottom w:val="none" w:sz="0" w:space="0" w:color="auto"/>
        <w:right w:val="none" w:sz="0" w:space="0" w:color="auto"/>
      </w:divBdr>
    </w:div>
    <w:div w:id="331179791">
      <w:marLeft w:val="0"/>
      <w:marRight w:val="0"/>
      <w:marTop w:val="0"/>
      <w:marBottom w:val="0"/>
      <w:divBdr>
        <w:top w:val="none" w:sz="0" w:space="0" w:color="auto"/>
        <w:left w:val="none" w:sz="0" w:space="0" w:color="auto"/>
        <w:bottom w:val="none" w:sz="0" w:space="0" w:color="auto"/>
        <w:right w:val="none" w:sz="0" w:space="0" w:color="auto"/>
      </w:divBdr>
    </w:div>
    <w:div w:id="333728278">
      <w:marLeft w:val="0"/>
      <w:marRight w:val="0"/>
      <w:marTop w:val="0"/>
      <w:marBottom w:val="0"/>
      <w:divBdr>
        <w:top w:val="none" w:sz="0" w:space="0" w:color="auto"/>
        <w:left w:val="none" w:sz="0" w:space="0" w:color="auto"/>
        <w:bottom w:val="none" w:sz="0" w:space="0" w:color="auto"/>
        <w:right w:val="none" w:sz="0" w:space="0" w:color="auto"/>
      </w:divBdr>
    </w:div>
    <w:div w:id="336157152">
      <w:marLeft w:val="0"/>
      <w:marRight w:val="0"/>
      <w:marTop w:val="0"/>
      <w:marBottom w:val="0"/>
      <w:divBdr>
        <w:top w:val="none" w:sz="0" w:space="0" w:color="auto"/>
        <w:left w:val="none" w:sz="0" w:space="0" w:color="auto"/>
        <w:bottom w:val="none" w:sz="0" w:space="0" w:color="auto"/>
        <w:right w:val="none" w:sz="0" w:space="0" w:color="auto"/>
      </w:divBdr>
    </w:div>
    <w:div w:id="337117514">
      <w:marLeft w:val="0"/>
      <w:marRight w:val="0"/>
      <w:marTop w:val="0"/>
      <w:marBottom w:val="0"/>
      <w:divBdr>
        <w:top w:val="none" w:sz="0" w:space="0" w:color="auto"/>
        <w:left w:val="none" w:sz="0" w:space="0" w:color="auto"/>
        <w:bottom w:val="none" w:sz="0" w:space="0" w:color="auto"/>
        <w:right w:val="none" w:sz="0" w:space="0" w:color="auto"/>
      </w:divBdr>
    </w:div>
    <w:div w:id="340474118">
      <w:marLeft w:val="0"/>
      <w:marRight w:val="0"/>
      <w:marTop w:val="0"/>
      <w:marBottom w:val="0"/>
      <w:divBdr>
        <w:top w:val="none" w:sz="0" w:space="0" w:color="auto"/>
        <w:left w:val="none" w:sz="0" w:space="0" w:color="auto"/>
        <w:bottom w:val="none" w:sz="0" w:space="0" w:color="auto"/>
        <w:right w:val="none" w:sz="0" w:space="0" w:color="auto"/>
      </w:divBdr>
    </w:div>
    <w:div w:id="342711296">
      <w:marLeft w:val="0"/>
      <w:marRight w:val="0"/>
      <w:marTop w:val="0"/>
      <w:marBottom w:val="0"/>
      <w:divBdr>
        <w:top w:val="none" w:sz="0" w:space="0" w:color="auto"/>
        <w:left w:val="none" w:sz="0" w:space="0" w:color="auto"/>
        <w:bottom w:val="none" w:sz="0" w:space="0" w:color="auto"/>
        <w:right w:val="none" w:sz="0" w:space="0" w:color="auto"/>
      </w:divBdr>
    </w:div>
    <w:div w:id="342973726">
      <w:marLeft w:val="0"/>
      <w:marRight w:val="0"/>
      <w:marTop w:val="0"/>
      <w:marBottom w:val="0"/>
      <w:divBdr>
        <w:top w:val="none" w:sz="0" w:space="0" w:color="auto"/>
        <w:left w:val="none" w:sz="0" w:space="0" w:color="auto"/>
        <w:bottom w:val="none" w:sz="0" w:space="0" w:color="auto"/>
        <w:right w:val="none" w:sz="0" w:space="0" w:color="auto"/>
      </w:divBdr>
    </w:div>
    <w:div w:id="344598213">
      <w:marLeft w:val="0"/>
      <w:marRight w:val="0"/>
      <w:marTop w:val="0"/>
      <w:marBottom w:val="0"/>
      <w:divBdr>
        <w:top w:val="none" w:sz="0" w:space="0" w:color="auto"/>
        <w:left w:val="none" w:sz="0" w:space="0" w:color="auto"/>
        <w:bottom w:val="none" w:sz="0" w:space="0" w:color="auto"/>
        <w:right w:val="none" w:sz="0" w:space="0" w:color="auto"/>
      </w:divBdr>
    </w:div>
    <w:div w:id="345642263">
      <w:marLeft w:val="0"/>
      <w:marRight w:val="0"/>
      <w:marTop w:val="0"/>
      <w:marBottom w:val="0"/>
      <w:divBdr>
        <w:top w:val="none" w:sz="0" w:space="0" w:color="auto"/>
        <w:left w:val="none" w:sz="0" w:space="0" w:color="auto"/>
        <w:bottom w:val="none" w:sz="0" w:space="0" w:color="auto"/>
        <w:right w:val="none" w:sz="0" w:space="0" w:color="auto"/>
      </w:divBdr>
    </w:div>
    <w:div w:id="346762137">
      <w:marLeft w:val="0"/>
      <w:marRight w:val="0"/>
      <w:marTop w:val="0"/>
      <w:marBottom w:val="0"/>
      <w:divBdr>
        <w:top w:val="none" w:sz="0" w:space="0" w:color="auto"/>
        <w:left w:val="none" w:sz="0" w:space="0" w:color="auto"/>
        <w:bottom w:val="none" w:sz="0" w:space="0" w:color="auto"/>
        <w:right w:val="none" w:sz="0" w:space="0" w:color="auto"/>
      </w:divBdr>
    </w:div>
    <w:div w:id="349065716">
      <w:marLeft w:val="0"/>
      <w:marRight w:val="0"/>
      <w:marTop w:val="0"/>
      <w:marBottom w:val="0"/>
      <w:divBdr>
        <w:top w:val="none" w:sz="0" w:space="0" w:color="auto"/>
        <w:left w:val="none" w:sz="0" w:space="0" w:color="auto"/>
        <w:bottom w:val="none" w:sz="0" w:space="0" w:color="auto"/>
        <w:right w:val="none" w:sz="0" w:space="0" w:color="auto"/>
      </w:divBdr>
    </w:div>
    <w:div w:id="352003167">
      <w:marLeft w:val="0"/>
      <w:marRight w:val="0"/>
      <w:marTop w:val="0"/>
      <w:marBottom w:val="0"/>
      <w:divBdr>
        <w:top w:val="none" w:sz="0" w:space="0" w:color="auto"/>
        <w:left w:val="none" w:sz="0" w:space="0" w:color="auto"/>
        <w:bottom w:val="none" w:sz="0" w:space="0" w:color="auto"/>
        <w:right w:val="none" w:sz="0" w:space="0" w:color="auto"/>
      </w:divBdr>
    </w:div>
    <w:div w:id="352077269">
      <w:marLeft w:val="0"/>
      <w:marRight w:val="0"/>
      <w:marTop w:val="0"/>
      <w:marBottom w:val="0"/>
      <w:divBdr>
        <w:top w:val="none" w:sz="0" w:space="0" w:color="auto"/>
        <w:left w:val="none" w:sz="0" w:space="0" w:color="auto"/>
        <w:bottom w:val="none" w:sz="0" w:space="0" w:color="auto"/>
        <w:right w:val="none" w:sz="0" w:space="0" w:color="auto"/>
      </w:divBdr>
    </w:div>
    <w:div w:id="354695147">
      <w:marLeft w:val="0"/>
      <w:marRight w:val="0"/>
      <w:marTop w:val="0"/>
      <w:marBottom w:val="0"/>
      <w:divBdr>
        <w:top w:val="none" w:sz="0" w:space="0" w:color="auto"/>
        <w:left w:val="none" w:sz="0" w:space="0" w:color="auto"/>
        <w:bottom w:val="none" w:sz="0" w:space="0" w:color="auto"/>
        <w:right w:val="none" w:sz="0" w:space="0" w:color="auto"/>
      </w:divBdr>
    </w:div>
    <w:div w:id="356927861">
      <w:marLeft w:val="0"/>
      <w:marRight w:val="0"/>
      <w:marTop w:val="0"/>
      <w:marBottom w:val="0"/>
      <w:divBdr>
        <w:top w:val="none" w:sz="0" w:space="0" w:color="auto"/>
        <w:left w:val="none" w:sz="0" w:space="0" w:color="auto"/>
        <w:bottom w:val="none" w:sz="0" w:space="0" w:color="auto"/>
        <w:right w:val="none" w:sz="0" w:space="0" w:color="auto"/>
      </w:divBdr>
    </w:div>
    <w:div w:id="359161123">
      <w:marLeft w:val="0"/>
      <w:marRight w:val="0"/>
      <w:marTop w:val="0"/>
      <w:marBottom w:val="0"/>
      <w:divBdr>
        <w:top w:val="none" w:sz="0" w:space="0" w:color="auto"/>
        <w:left w:val="none" w:sz="0" w:space="0" w:color="auto"/>
        <w:bottom w:val="none" w:sz="0" w:space="0" w:color="auto"/>
        <w:right w:val="none" w:sz="0" w:space="0" w:color="auto"/>
      </w:divBdr>
    </w:div>
    <w:div w:id="362100399">
      <w:marLeft w:val="0"/>
      <w:marRight w:val="0"/>
      <w:marTop w:val="0"/>
      <w:marBottom w:val="0"/>
      <w:divBdr>
        <w:top w:val="none" w:sz="0" w:space="0" w:color="auto"/>
        <w:left w:val="none" w:sz="0" w:space="0" w:color="auto"/>
        <w:bottom w:val="none" w:sz="0" w:space="0" w:color="auto"/>
        <w:right w:val="none" w:sz="0" w:space="0" w:color="auto"/>
      </w:divBdr>
    </w:div>
    <w:div w:id="362629943">
      <w:marLeft w:val="0"/>
      <w:marRight w:val="0"/>
      <w:marTop w:val="0"/>
      <w:marBottom w:val="0"/>
      <w:divBdr>
        <w:top w:val="none" w:sz="0" w:space="0" w:color="auto"/>
        <w:left w:val="none" w:sz="0" w:space="0" w:color="auto"/>
        <w:bottom w:val="none" w:sz="0" w:space="0" w:color="auto"/>
        <w:right w:val="none" w:sz="0" w:space="0" w:color="auto"/>
      </w:divBdr>
    </w:div>
    <w:div w:id="367220910">
      <w:marLeft w:val="0"/>
      <w:marRight w:val="0"/>
      <w:marTop w:val="0"/>
      <w:marBottom w:val="0"/>
      <w:divBdr>
        <w:top w:val="none" w:sz="0" w:space="0" w:color="auto"/>
        <w:left w:val="none" w:sz="0" w:space="0" w:color="auto"/>
        <w:bottom w:val="none" w:sz="0" w:space="0" w:color="auto"/>
        <w:right w:val="none" w:sz="0" w:space="0" w:color="auto"/>
      </w:divBdr>
    </w:div>
    <w:div w:id="370228872">
      <w:marLeft w:val="0"/>
      <w:marRight w:val="0"/>
      <w:marTop w:val="0"/>
      <w:marBottom w:val="0"/>
      <w:divBdr>
        <w:top w:val="none" w:sz="0" w:space="0" w:color="auto"/>
        <w:left w:val="none" w:sz="0" w:space="0" w:color="auto"/>
        <w:bottom w:val="none" w:sz="0" w:space="0" w:color="auto"/>
        <w:right w:val="none" w:sz="0" w:space="0" w:color="auto"/>
      </w:divBdr>
    </w:div>
    <w:div w:id="372076204">
      <w:marLeft w:val="0"/>
      <w:marRight w:val="0"/>
      <w:marTop w:val="0"/>
      <w:marBottom w:val="0"/>
      <w:divBdr>
        <w:top w:val="none" w:sz="0" w:space="0" w:color="auto"/>
        <w:left w:val="none" w:sz="0" w:space="0" w:color="auto"/>
        <w:bottom w:val="none" w:sz="0" w:space="0" w:color="auto"/>
        <w:right w:val="none" w:sz="0" w:space="0" w:color="auto"/>
      </w:divBdr>
    </w:div>
    <w:div w:id="374696897">
      <w:marLeft w:val="0"/>
      <w:marRight w:val="0"/>
      <w:marTop w:val="0"/>
      <w:marBottom w:val="0"/>
      <w:divBdr>
        <w:top w:val="none" w:sz="0" w:space="0" w:color="auto"/>
        <w:left w:val="none" w:sz="0" w:space="0" w:color="auto"/>
        <w:bottom w:val="none" w:sz="0" w:space="0" w:color="auto"/>
        <w:right w:val="none" w:sz="0" w:space="0" w:color="auto"/>
      </w:divBdr>
    </w:div>
    <w:div w:id="377122234">
      <w:marLeft w:val="0"/>
      <w:marRight w:val="0"/>
      <w:marTop w:val="0"/>
      <w:marBottom w:val="0"/>
      <w:divBdr>
        <w:top w:val="none" w:sz="0" w:space="0" w:color="auto"/>
        <w:left w:val="none" w:sz="0" w:space="0" w:color="auto"/>
        <w:bottom w:val="none" w:sz="0" w:space="0" w:color="auto"/>
        <w:right w:val="none" w:sz="0" w:space="0" w:color="auto"/>
      </w:divBdr>
    </w:div>
    <w:div w:id="377433671">
      <w:marLeft w:val="0"/>
      <w:marRight w:val="0"/>
      <w:marTop w:val="0"/>
      <w:marBottom w:val="0"/>
      <w:divBdr>
        <w:top w:val="none" w:sz="0" w:space="0" w:color="auto"/>
        <w:left w:val="none" w:sz="0" w:space="0" w:color="auto"/>
        <w:bottom w:val="none" w:sz="0" w:space="0" w:color="auto"/>
        <w:right w:val="none" w:sz="0" w:space="0" w:color="auto"/>
      </w:divBdr>
    </w:div>
    <w:div w:id="380250913">
      <w:marLeft w:val="0"/>
      <w:marRight w:val="0"/>
      <w:marTop w:val="0"/>
      <w:marBottom w:val="0"/>
      <w:divBdr>
        <w:top w:val="none" w:sz="0" w:space="0" w:color="auto"/>
        <w:left w:val="none" w:sz="0" w:space="0" w:color="auto"/>
        <w:bottom w:val="none" w:sz="0" w:space="0" w:color="auto"/>
        <w:right w:val="none" w:sz="0" w:space="0" w:color="auto"/>
      </w:divBdr>
    </w:div>
    <w:div w:id="382144388">
      <w:marLeft w:val="0"/>
      <w:marRight w:val="0"/>
      <w:marTop w:val="0"/>
      <w:marBottom w:val="0"/>
      <w:divBdr>
        <w:top w:val="none" w:sz="0" w:space="0" w:color="auto"/>
        <w:left w:val="none" w:sz="0" w:space="0" w:color="auto"/>
        <w:bottom w:val="none" w:sz="0" w:space="0" w:color="auto"/>
        <w:right w:val="none" w:sz="0" w:space="0" w:color="auto"/>
      </w:divBdr>
    </w:div>
    <w:div w:id="383794388">
      <w:marLeft w:val="0"/>
      <w:marRight w:val="0"/>
      <w:marTop w:val="0"/>
      <w:marBottom w:val="0"/>
      <w:divBdr>
        <w:top w:val="none" w:sz="0" w:space="0" w:color="auto"/>
        <w:left w:val="none" w:sz="0" w:space="0" w:color="auto"/>
        <w:bottom w:val="none" w:sz="0" w:space="0" w:color="auto"/>
        <w:right w:val="none" w:sz="0" w:space="0" w:color="auto"/>
      </w:divBdr>
    </w:div>
    <w:div w:id="384376566">
      <w:marLeft w:val="0"/>
      <w:marRight w:val="0"/>
      <w:marTop w:val="0"/>
      <w:marBottom w:val="0"/>
      <w:divBdr>
        <w:top w:val="none" w:sz="0" w:space="0" w:color="auto"/>
        <w:left w:val="none" w:sz="0" w:space="0" w:color="auto"/>
        <w:bottom w:val="none" w:sz="0" w:space="0" w:color="auto"/>
        <w:right w:val="none" w:sz="0" w:space="0" w:color="auto"/>
      </w:divBdr>
    </w:div>
    <w:div w:id="385490904">
      <w:marLeft w:val="0"/>
      <w:marRight w:val="0"/>
      <w:marTop w:val="0"/>
      <w:marBottom w:val="0"/>
      <w:divBdr>
        <w:top w:val="none" w:sz="0" w:space="0" w:color="auto"/>
        <w:left w:val="none" w:sz="0" w:space="0" w:color="auto"/>
        <w:bottom w:val="none" w:sz="0" w:space="0" w:color="auto"/>
        <w:right w:val="none" w:sz="0" w:space="0" w:color="auto"/>
      </w:divBdr>
    </w:div>
    <w:div w:id="386684388">
      <w:marLeft w:val="0"/>
      <w:marRight w:val="0"/>
      <w:marTop w:val="0"/>
      <w:marBottom w:val="0"/>
      <w:divBdr>
        <w:top w:val="none" w:sz="0" w:space="0" w:color="auto"/>
        <w:left w:val="none" w:sz="0" w:space="0" w:color="auto"/>
        <w:bottom w:val="none" w:sz="0" w:space="0" w:color="auto"/>
        <w:right w:val="none" w:sz="0" w:space="0" w:color="auto"/>
      </w:divBdr>
      <w:divsChild>
        <w:div w:id="850026473">
          <w:marLeft w:val="0"/>
          <w:marRight w:val="0"/>
          <w:marTop w:val="0"/>
          <w:marBottom w:val="0"/>
          <w:divBdr>
            <w:top w:val="none" w:sz="0" w:space="0" w:color="auto"/>
            <w:left w:val="none" w:sz="0" w:space="0" w:color="auto"/>
            <w:bottom w:val="none" w:sz="0" w:space="0" w:color="auto"/>
            <w:right w:val="none" w:sz="0" w:space="0" w:color="auto"/>
          </w:divBdr>
        </w:div>
      </w:divsChild>
    </w:div>
    <w:div w:id="386801296">
      <w:marLeft w:val="0"/>
      <w:marRight w:val="0"/>
      <w:marTop w:val="0"/>
      <w:marBottom w:val="0"/>
      <w:divBdr>
        <w:top w:val="none" w:sz="0" w:space="0" w:color="auto"/>
        <w:left w:val="none" w:sz="0" w:space="0" w:color="auto"/>
        <w:bottom w:val="none" w:sz="0" w:space="0" w:color="auto"/>
        <w:right w:val="none" w:sz="0" w:space="0" w:color="auto"/>
      </w:divBdr>
    </w:div>
    <w:div w:id="387148644">
      <w:marLeft w:val="0"/>
      <w:marRight w:val="0"/>
      <w:marTop w:val="0"/>
      <w:marBottom w:val="0"/>
      <w:divBdr>
        <w:top w:val="none" w:sz="0" w:space="0" w:color="auto"/>
        <w:left w:val="none" w:sz="0" w:space="0" w:color="auto"/>
        <w:bottom w:val="none" w:sz="0" w:space="0" w:color="auto"/>
        <w:right w:val="none" w:sz="0" w:space="0" w:color="auto"/>
      </w:divBdr>
    </w:div>
    <w:div w:id="389962942">
      <w:marLeft w:val="0"/>
      <w:marRight w:val="0"/>
      <w:marTop w:val="0"/>
      <w:marBottom w:val="0"/>
      <w:divBdr>
        <w:top w:val="none" w:sz="0" w:space="0" w:color="auto"/>
        <w:left w:val="none" w:sz="0" w:space="0" w:color="auto"/>
        <w:bottom w:val="none" w:sz="0" w:space="0" w:color="auto"/>
        <w:right w:val="none" w:sz="0" w:space="0" w:color="auto"/>
      </w:divBdr>
    </w:div>
    <w:div w:id="393283617">
      <w:marLeft w:val="0"/>
      <w:marRight w:val="0"/>
      <w:marTop w:val="0"/>
      <w:marBottom w:val="0"/>
      <w:divBdr>
        <w:top w:val="none" w:sz="0" w:space="0" w:color="auto"/>
        <w:left w:val="none" w:sz="0" w:space="0" w:color="auto"/>
        <w:bottom w:val="none" w:sz="0" w:space="0" w:color="auto"/>
        <w:right w:val="none" w:sz="0" w:space="0" w:color="auto"/>
      </w:divBdr>
    </w:div>
    <w:div w:id="394209764">
      <w:marLeft w:val="0"/>
      <w:marRight w:val="0"/>
      <w:marTop w:val="0"/>
      <w:marBottom w:val="0"/>
      <w:divBdr>
        <w:top w:val="none" w:sz="0" w:space="0" w:color="auto"/>
        <w:left w:val="none" w:sz="0" w:space="0" w:color="auto"/>
        <w:bottom w:val="none" w:sz="0" w:space="0" w:color="auto"/>
        <w:right w:val="none" w:sz="0" w:space="0" w:color="auto"/>
      </w:divBdr>
    </w:div>
    <w:div w:id="394665601">
      <w:marLeft w:val="0"/>
      <w:marRight w:val="0"/>
      <w:marTop w:val="0"/>
      <w:marBottom w:val="0"/>
      <w:divBdr>
        <w:top w:val="none" w:sz="0" w:space="0" w:color="auto"/>
        <w:left w:val="none" w:sz="0" w:space="0" w:color="auto"/>
        <w:bottom w:val="none" w:sz="0" w:space="0" w:color="auto"/>
        <w:right w:val="none" w:sz="0" w:space="0" w:color="auto"/>
      </w:divBdr>
      <w:divsChild>
        <w:div w:id="851382194">
          <w:marLeft w:val="0"/>
          <w:marRight w:val="0"/>
          <w:marTop w:val="0"/>
          <w:marBottom w:val="0"/>
          <w:divBdr>
            <w:top w:val="none" w:sz="0" w:space="0" w:color="auto"/>
            <w:left w:val="none" w:sz="0" w:space="0" w:color="auto"/>
            <w:bottom w:val="none" w:sz="0" w:space="0" w:color="auto"/>
            <w:right w:val="none" w:sz="0" w:space="0" w:color="auto"/>
          </w:divBdr>
        </w:div>
      </w:divsChild>
    </w:div>
    <w:div w:id="394934915">
      <w:marLeft w:val="0"/>
      <w:marRight w:val="0"/>
      <w:marTop w:val="0"/>
      <w:marBottom w:val="0"/>
      <w:divBdr>
        <w:top w:val="none" w:sz="0" w:space="0" w:color="auto"/>
        <w:left w:val="none" w:sz="0" w:space="0" w:color="auto"/>
        <w:bottom w:val="none" w:sz="0" w:space="0" w:color="auto"/>
        <w:right w:val="none" w:sz="0" w:space="0" w:color="auto"/>
      </w:divBdr>
    </w:div>
    <w:div w:id="398946502">
      <w:marLeft w:val="0"/>
      <w:marRight w:val="0"/>
      <w:marTop w:val="0"/>
      <w:marBottom w:val="0"/>
      <w:divBdr>
        <w:top w:val="none" w:sz="0" w:space="0" w:color="auto"/>
        <w:left w:val="none" w:sz="0" w:space="0" w:color="auto"/>
        <w:bottom w:val="none" w:sz="0" w:space="0" w:color="auto"/>
        <w:right w:val="none" w:sz="0" w:space="0" w:color="auto"/>
      </w:divBdr>
    </w:div>
    <w:div w:id="401101187">
      <w:marLeft w:val="0"/>
      <w:marRight w:val="0"/>
      <w:marTop w:val="0"/>
      <w:marBottom w:val="0"/>
      <w:divBdr>
        <w:top w:val="none" w:sz="0" w:space="0" w:color="auto"/>
        <w:left w:val="none" w:sz="0" w:space="0" w:color="auto"/>
        <w:bottom w:val="none" w:sz="0" w:space="0" w:color="auto"/>
        <w:right w:val="none" w:sz="0" w:space="0" w:color="auto"/>
      </w:divBdr>
    </w:div>
    <w:div w:id="405879023">
      <w:marLeft w:val="0"/>
      <w:marRight w:val="0"/>
      <w:marTop w:val="0"/>
      <w:marBottom w:val="0"/>
      <w:divBdr>
        <w:top w:val="none" w:sz="0" w:space="0" w:color="auto"/>
        <w:left w:val="none" w:sz="0" w:space="0" w:color="auto"/>
        <w:bottom w:val="none" w:sz="0" w:space="0" w:color="auto"/>
        <w:right w:val="none" w:sz="0" w:space="0" w:color="auto"/>
      </w:divBdr>
    </w:div>
    <w:div w:id="407266866">
      <w:marLeft w:val="0"/>
      <w:marRight w:val="0"/>
      <w:marTop w:val="0"/>
      <w:marBottom w:val="0"/>
      <w:divBdr>
        <w:top w:val="none" w:sz="0" w:space="0" w:color="auto"/>
        <w:left w:val="none" w:sz="0" w:space="0" w:color="auto"/>
        <w:bottom w:val="none" w:sz="0" w:space="0" w:color="auto"/>
        <w:right w:val="none" w:sz="0" w:space="0" w:color="auto"/>
      </w:divBdr>
    </w:div>
    <w:div w:id="411008971">
      <w:marLeft w:val="0"/>
      <w:marRight w:val="0"/>
      <w:marTop w:val="0"/>
      <w:marBottom w:val="0"/>
      <w:divBdr>
        <w:top w:val="none" w:sz="0" w:space="0" w:color="auto"/>
        <w:left w:val="none" w:sz="0" w:space="0" w:color="auto"/>
        <w:bottom w:val="none" w:sz="0" w:space="0" w:color="auto"/>
        <w:right w:val="none" w:sz="0" w:space="0" w:color="auto"/>
      </w:divBdr>
    </w:div>
    <w:div w:id="421292658">
      <w:marLeft w:val="0"/>
      <w:marRight w:val="0"/>
      <w:marTop w:val="0"/>
      <w:marBottom w:val="0"/>
      <w:divBdr>
        <w:top w:val="none" w:sz="0" w:space="0" w:color="auto"/>
        <w:left w:val="none" w:sz="0" w:space="0" w:color="auto"/>
        <w:bottom w:val="none" w:sz="0" w:space="0" w:color="auto"/>
        <w:right w:val="none" w:sz="0" w:space="0" w:color="auto"/>
      </w:divBdr>
    </w:div>
    <w:div w:id="421684346">
      <w:marLeft w:val="0"/>
      <w:marRight w:val="0"/>
      <w:marTop w:val="0"/>
      <w:marBottom w:val="0"/>
      <w:divBdr>
        <w:top w:val="none" w:sz="0" w:space="0" w:color="auto"/>
        <w:left w:val="none" w:sz="0" w:space="0" w:color="auto"/>
        <w:bottom w:val="none" w:sz="0" w:space="0" w:color="auto"/>
        <w:right w:val="none" w:sz="0" w:space="0" w:color="auto"/>
      </w:divBdr>
    </w:div>
    <w:div w:id="421685983">
      <w:marLeft w:val="0"/>
      <w:marRight w:val="0"/>
      <w:marTop w:val="0"/>
      <w:marBottom w:val="0"/>
      <w:divBdr>
        <w:top w:val="none" w:sz="0" w:space="0" w:color="auto"/>
        <w:left w:val="none" w:sz="0" w:space="0" w:color="auto"/>
        <w:bottom w:val="none" w:sz="0" w:space="0" w:color="auto"/>
        <w:right w:val="none" w:sz="0" w:space="0" w:color="auto"/>
      </w:divBdr>
    </w:div>
    <w:div w:id="422726128">
      <w:marLeft w:val="0"/>
      <w:marRight w:val="0"/>
      <w:marTop w:val="0"/>
      <w:marBottom w:val="0"/>
      <w:divBdr>
        <w:top w:val="none" w:sz="0" w:space="0" w:color="auto"/>
        <w:left w:val="none" w:sz="0" w:space="0" w:color="auto"/>
        <w:bottom w:val="none" w:sz="0" w:space="0" w:color="auto"/>
        <w:right w:val="none" w:sz="0" w:space="0" w:color="auto"/>
      </w:divBdr>
    </w:div>
    <w:div w:id="426004849">
      <w:marLeft w:val="0"/>
      <w:marRight w:val="0"/>
      <w:marTop w:val="0"/>
      <w:marBottom w:val="0"/>
      <w:divBdr>
        <w:top w:val="none" w:sz="0" w:space="0" w:color="auto"/>
        <w:left w:val="none" w:sz="0" w:space="0" w:color="auto"/>
        <w:bottom w:val="none" w:sz="0" w:space="0" w:color="auto"/>
        <w:right w:val="none" w:sz="0" w:space="0" w:color="auto"/>
      </w:divBdr>
    </w:div>
    <w:div w:id="427043904">
      <w:marLeft w:val="0"/>
      <w:marRight w:val="0"/>
      <w:marTop w:val="0"/>
      <w:marBottom w:val="0"/>
      <w:divBdr>
        <w:top w:val="none" w:sz="0" w:space="0" w:color="auto"/>
        <w:left w:val="none" w:sz="0" w:space="0" w:color="auto"/>
        <w:bottom w:val="none" w:sz="0" w:space="0" w:color="auto"/>
        <w:right w:val="none" w:sz="0" w:space="0" w:color="auto"/>
      </w:divBdr>
      <w:divsChild>
        <w:div w:id="1000700179">
          <w:marLeft w:val="0"/>
          <w:marRight w:val="0"/>
          <w:marTop w:val="0"/>
          <w:marBottom w:val="0"/>
          <w:divBdr>
            <w:top w:val="none" w:sz="0" w:space="0" w:color="auto"/>
            <w:left w:val="none" w:sz="0" w:space="0" w:color="auto"/>
            <w:bottom w:val="none" w:sz="0" w:space="0" w:color="auto"/>
            <w:right w:val="none" w:sz="0" w:space="0" w:color="auto"/>
          </w:divBdr>
        </w:div>
        <w:div w:id="67776270">
          <w:marLeft w:val="0"/>
          <w:marRight w:val="0"/>
          <w:marTop w:val="0"/>
          <w:marBottom w:val="0"/>
          <w:divBdr>
            <w:top w:val="none" w:sz="0" w:space="0" w:color="auto"/>
            <w:left w:val="none" w:sz="0" w:space="0" w:color="auto"/>
            <w:bottom w:val="none" w:sz="0" w:space="0" w:color="auto"/>
            <w:right w:val="none" w:sz="0" w:space="0" w:color="auto"/>
          </w:divBdr>
        </w:div>
        <w:div w:id="1020012875">
          <w:marLeft w:val="0"/>
          <w:marRight w:val="0"/>
          <w:marTop w:val="0"/>
          <w:marBottom w:val="0"/>
          <w:divBdr>
            <w:top w:val="none" w:sz="0" w:space="0" w:color="auto"/>
            <w:left w:val="none" w:sz="0" w:space="0" w:color="auto"/>
            <w:bottom w:val="none" w:sz="0" w:space="0" w:color="auto"/>
            <w:right w:val="none" w:sz="0" w:space="0" w:color="auto"/>
          </w:divBdr>
        </w:div>
        <w:div w:id="1209798303">
          <w:marLeft w:val="0"/>
          <w:marRight w:val="0"/>
          <w:marTop w:val="0"/>
          <w:marBottom w:val="0"/>
          <w:divBdr>
            <w:top w:val="none" w:sz="0" w:space="0" w:color="auto"/>
            <w:left w:val="none" w:sz="0" w:space="0" w:color="auto"/>
            <w:bottom w:val="none" w:sz="0" w:space="0" w:color="auto"/>
            <w:right w:val="none" w:sz="0" w:space="0" w:color="auto"/>
          </w:divBdr>
        </w:div>
      </w:divsChild>
    </w:div>
    <w:div w:id="430978022">
      <w:marLeft w:val="0"/>
      <w:marRight w:val="0"/>
      <w:marTop w:val="0"/>
      <w:marBottom w:val="0"/>
      <w:divBdr>
        <w:top w:val="none" w:sz="0" w:space="0" w:color="auto"/>
        <w:left w:val="none" w:sz="0" w:space="0" w:color="auto"/>
        <w:bottom w:val="none" w:sz="0" w:space="0" w:color="auto"/>
        <w:right w:val="none" w:sz="0" w:space="0" w:color="auto"/>
      </w:divBdr>
    </w:div>
    <w:div w:id="436296971">
      <w:marLeft w:val="0"/>
      <w:marRight w:val="0"/>
      <w:marTop w:val="0"/>
      <w:marBottom w:val="0"/>
      <w:divBdr>
        <w:top w:val="none" w:sz="0" w:space="0" w:color="auto"/>
        <w:left w:val="none" w:sz="0" w:space="0" w:color="auto"/>
        <w:bottom w:val="none" w:sz="0" w:space="0" w:color="auto"/>
        <w:right w:val="none" w:sz="0" w:space="0" w:color="auto"/>
      </w:divBdr>
    </w:div>
    <w:div w:id="436679255">
      <w:marLeft w:val="0"/>
      <w:marRight w:val="0"/>
      <w:marTop w:val="0"/>
      <w:marBottom w:val="0"/>
      <w:divBdr>
        <w:top w:val="none" w:sz="0" w:space="0" w:color="auto"/>
        <w:left w:val="none" w:sz="0" w:space="0" w:color="auto"/>
        <w:bottom w:val="none" w:sz="0" w:space="0" w:color="auto"/>
        <w:right w:val="none" w:sz="0" w:space="0" w:color="auto"/>
      </w:divBdr>
    </w:div>
    <w:div w:id="439573513">
      <w:marLeft w:val="0"/>
      <w:marRight w:val="0"/>
      <w:marTop w:val="0"/>
      <w:marBottom w:val="0"/>
      <w:divBdr>
        <w:top w:val="none" w:sz="0" w:space="0" w:color="auto"/>
        <w:left w:val="none" w:sz="0" w:space="0" w:color="auto"/>
        <w:bottom w:val="none" w:sz="0" w:space="0" w:color="auto"/>
        <w:right w:val="none" w:sz="0" w:space="0" w:color="auto"/>
      </w:divBdr>
    </w:div>
    <w:div w:id="441531739">
      <w:marLeft w:val="0"/>
      <w:marRight w:val="0"/>
      <w:marTop w:val="0"/>
      <w:marBottom w:val="0"/>
      <w:divBdr>
        <w:top w:val="none" w:sz="0" w:space="0" w:color="auto"/>
        <w:left w:val="none" w:sz="0" w:space="0" w:color="auto"/>
        <w:bottom w:val="none" w:sz="0" w:space="0" w:color="auto"/>
        <w:right w:val="none" w:sz="0" w:space="0" w:color="auto"/>
      </w:divBdr>
    </w:div>
    <w:div w:id="445273381">
      <w:marLeft w:val="0"/>
      <w:marRight w:val="0"/>
      <w:marTop w:val="0"/>
      <w:marBottom w:val="0"/>
      <w:divBdr>
        <w:top w:val="none" w:sz="0" w:space="0" w:color="auto"/>
        <w:left w:val="none" w:sz="0" w:space="0" w:color="auto"/>
        <w:bottom w:val="none" w:sz="0" w:space="0" w:color="auto"/>
        <w:right w:val="none" w:sz="0" w:space="0" w:color="auto"/>
      </w:divBdr>
    </w:div>
    <w:div w:id="447894764">
      <w:marLeft w:val="0"/>
      <w:marRight w:val="0"/>
      <w:marTop w:val="0"/>
      <w:marBottom w:val="0"/>
      <w:divBdr>
        <w:top w:val="none" w:sz="0" w:space="0" w:color="auto"/>
        <w:left w:val="none" w:sz="0" w:space="0" w:color="auto"/>
        <w:bottom w:val="none" w:sz="0" w:space="0" w:color="auto"/>
        <w:right w:val="none" w:sz="0" w:space="0" w:color="auto"/>
      </w:divBdr>
    </w:div>
    <w:div w:id="450586937">
      <w:marLeft w:val="0"/>
      <w:marRight w:val="0"/>
      <w:marTop w:val="0"/>
      <w:marBottom w:val="0"/>
      <w:divBdr>
        <w:top w:val="none" w:sz="0" w:space="0" w:color="auto"/>
        <w:left w:val="none" w:sz="0" w:space="0" w:color="auto"/>
        <w:bottom w:val="none" w:sz="0" w:space="0" w:color="auto"/>
        <w:right w:val="none" w:sz="0" w:space="0" w:color="auto"/>
      </w:divBdr>
    </w:div>
    <w:div w:id="452753444">
      <w:marLeft w:val="0"/>
      <w:marRight w:val="0"/>
      <w:marTop w:val="0"/>
      <w:marBottom w:val="0"/>
      <w:divBdr>
        <w:top w:val="none" w:sz="0" w:space="0" w:color="auto"/>
        <w:left w:val="none" w:sz="0" w:space="0" w:color="auto"/>
        <w:bottom w:val="none" w:sz="0" w:space="0" w:color="auto"/>
        <w:right w:val="none" w:sz="0" w:space="0" w:color="auto"/>
      </w:divBdr>
    </w:div>
    <w:div w:id="454374461">
      <w:marLeft w:val="0"/>
      <w:marRight w:val="0"/>
      <w:marTop w:val="0"/>
      <w:marBottom w:val="0"/>
      <w:divBdr>
        <w:top w:val="none" w:sz="0" w:space="0" w:color="auto"/>
        <w:left w:val="none" w:sz="0" w:space="0" w:color="auto"/>
        <w:bottom w:val="none" w:sz="0" w:space="0" w:color="auto"/>
        <w:right w:val="none" w:sz="0" w:space="0" w:color="auto"/>
      </w:divBdr>
    </w:div>
    <w:div w:id="455563351">
      <w:marLeft w:val="0"/>
      <w:marRight w:val="0"/>
      <w:marTop w:val="0"/>
      <w:marBottom w:val="0"/>
      <w:divBdr>
        <w:top w:val="none" w:sz="0" w:space="0" w:color="auto"/>
        <w:left w:val="none" w:sz="0" w:space="0" w:color="auto"/>
        <w:bottom w:val="none" w:sz="0" w:space="0" w:color="auto"/>
        <w:right w:val="none" w:sz="0" w:space="0" w:color="auto"/>
      </w:divBdr>
    </w:div>
    <w:div w:id="457720961">
      <w:marLeft w:val="0"/>
      <w:marRight w:val="0"/>
      <w:marTop w:val="0"/>
      <w:marBottom w:val="0"/>
      <w:divBdr>
        <w:top w:val="none" w:sz="0" w:space="0" w:color="auto"/>
        <w:left w:val="none" w:sz="0" w:space="0" w:color="auto"/>
        <w:bottom w:val="none" w:sz="0" w:space="0" w:color="auto"/>
        <w:right w:val="none" w:sz="0" w:space="0" w:color="auto"/>
      </w:divBdr>
    </w:div>
    <w:div w:id="460684139">
      <w:marLeft w:val="0"/>
      <w:marRight w:val="0"/>
      <w:marTop w:val="0"/>
      <w:marBottom w:val="0"/>
      <w:divBdr>
        <w:top w:val="none" w:sz="0" w:space="0" w:color="auto"/>
        <w:left w:val="none" w:sz="0" w:space="0" w:color="auto"/>
        <w:bottom w:val="none" w:sz="0" w:space="0" w:color="auto"/>
        <w:right w:val="none" w:sz="0" w:space="0" w:color="auto"/>
      </w:divBdr>
    </w:div>
    <w:div w:id="461271604">
      <w:marLeft w:val="0"/>
      <w:marRight w:val="0"/>
      <w:marTop w:val="0"/>
      <w:marBottom w:val="0"/>
      <w:divBdr>
        <w:top w:val="none" w:sz="0" w:space="0" w:color="auto"/>
        <w:left w:val="none" w:sz="0" w:space="0" w:color="auto"/>
        <w:bottom w:val="none" w:sz="0" w:space="0" w:color="auto"/>
        <w:right w:val="none" w:sz="0" w:space="0" w:color="auto"/>
      </w:divBdr>
    </w:div>
    <w:div w:id="461578707">
      <w:marLeft w:val="0"/>
      <w:marRight w:val="0"/>
      <w:marTop w:val="0"/>
      <w:marBottom w:val="0"/>
      <w:divBdr>
        <w:top w:val="none" w:sz="0" w:space="0" w:color="auto"/>
        <w:left w:val="none" w:sz="0" w:space="0" w:color="auto"/>
        <w:bottom w:val="none" w:sz="0" w:space="0" w:color="auto"/>
        <w:right w:val="none" w:sz="0" w:space="0" w:color="auto"/>
      </w:divBdr>
      <w:divsChild>
        <w:div w:id="949506985">
          <w:marLeft w:val="0"/>
          <w:marRight w:val="0"/>
          <w:marTop w:val="0"/>
          <w:marBottom w:val="0"/>
          <w:divBdr>
            <w:top w:val="none" w:sz="0" w:space="0" w:color="auto"/>
            <w:left w:val="none" w:sz="0" w:space="0" w:color="auto"/>
            <w:bottom w:val="none" w:sz="0" w:space="0" w:color="auto"/>
            <w:right w:val="none" w:sz="0" w:space="0" w:color="auto"/>
          </w:divBdr>
        </w:div>
        <w:div w:id="677270217">
          <w:marLeft w:val="0"/>
          <w:marRight w:val="0"/>
          <w:marTop w:val="0"/>
          <w:marBottom w:val="0"/>
          <w:divBdr>
            <w:top w:val="none" w:sz="0" w:space="0" w:color="auto"/>
            <w:left w:val="none" w:sz="0" w:space="0" w:color="auto"/>
            <w:bottom w:val="none" w:sz="0" w:space="0" w:color="auto"/>
            <w:right w:val="none" w:sz="0" w:space="0" w:color="auto"/>
          </w:divBdr>
        </w:div>
        <w:div w:id="2048677264">
          <w:marLeft w:val="0"/>
          <w:marRight w:val="0"/>
          <w:marTop w:val="0"/>
          <w:marBottom w:val="0"/>
          <w:divBdr>
            <w:top w:val="none" w:sz="0" w:space="0" w:color="auto"/>
            <w:left w:val="none" w:sz="0" w:space="0" w:color="auto"/>
            <w:bottom w:val="none" w:sz="0" w:space="0" w:color="auto"/>
            <w:right w:val="none" w:sz="0" w:space="0" w:color="auto"/>
          </w:divBdr>
        </w:div>
        <w:div w:id="407189007">
          <w:marLeft w:val="0"/>
          <w:marRight w:val="0"/>
          <w:marTop w:val="0"/>
          <w:marBottom w:val="0"/>
          <w:divBdr>
            <w:top w:val="none" w:sz="0" w:space="0" w:color="auto"/>
            <w:left w:val="none" w:sz="0" w:space="0" w:color="auto"/>
            <w:bottom w:val="none" w:sz="0" w:space="0" w:color="auto"/>
            <w:right w:val="none" w:sz="0" w:space="0" w:color="auto"/>
          </w:divBdr>
        </w:div>
        <w:div w:id="2125297612">
          <w:marLeft w:val="0"/>
          <w:marRight w:val="0"/>
          <w:marTop w:val="0"/>
          <w:marBottom w:val="0"/>
          <w:divBdr>
            <w:top w:val="none" w:sz="0" w:space="0" w:color="auto"/>
            <w:left w:val="none" w:sz="0" w:space="0" w:color="auto"/>
            <w:bottom w:val="none" w:sz="0" w:space="0" w:color="auto"/>
            <w:right w:val="none" w:sz="0" w:space="0" w:color="auto"/>
          </w:divBdr>
        </w:div>
        <w:div w:id="1862815022">
          <w:marLeft w:val="0"/>
          <w:marRight w:val="0"/>
          <w:marTop w:val="0"/>
          <w:marBottom w:val="0"/>
          <w:divBdr>
            <w:top w:val="none" w:sz="0" w:space="0" w:color="auto"/>
            <w:left w:val="none" w:sz="0" w:space="0" w:color="auto"/>
            <w:bottom w:val="none" w:sz="0" w:space="0" w:color="auto"/>
            <w:right w:val="none" w:sz="0" w:space="0" w:color="auto"/>
          </w:divBdr>
        </w:div>
        <w:div w:id="263198656">
          <w:marLeft w:val="0"/>
          <w:marRight w:val="0"/>
          <w:marTop w:val="0"/>
          <w:marBottom w:val="0"/>
          <w:divBdr>
            <w:top w:val="none" w:sz="0" w:space="0" w:color="auto"/>
            <w:left w:val="none" w:sz="0" w:space="0" w:color="auto"/>
            <w:bottom w:val="none" w:sz="0" w:space="0" w:color="auto"/>
            <w:right w:val="none" w:sz="0" w:space="0" w:color="auto"/>
          </w:divBdr>
        </w:div>
        <w:div w:id="917980714">
          <w:marLeft w:val="0"/>
          <w:marRight w:val="0"/>
          <w:marTop w:val="0"/>
          <w:marBottom w:val="0"/>
          <w:divBdr>
            <w:top w:val="none" w:sz="0" w:space="0" w:color="auto"/>
            <w:left w:val="none" w:sz="0" w:space="0" w:color="auto"/>
            <w:bottom w:val="none" w:sz="0" w:space="0" w:color="auto"/>
            <w:right w:val="none" w:sz="0" w:space="0" w:color="auto"/>
          </w:divBdr>
        </w:div>
        <w:div w:id="1504928004">
          <w:marLeft w:val="0"/>
          <w:marRight w:val="0"/>
          <w:marTop w:val="0"/>
          <w:marBottom w:val="0"/>
          <w:divBdr>
            <w:top w:val="none" w:sz="0" w:space="0" w:color="auto"/>
            <w:left w:val="none" w:sz="0" w:space="0" w:color="auto"/>
            <w:bottom w:val="none" w:sz="0" w:space="0" w:color="auto"/>
            <w:right w:val="none" w:sz="0" w:space="0" w:color="auto"/>
          </w:divBdr>
        </w:div>
      </w:divsChild>
    </w:div>
    <w:div w:id="463013057">
      <w:marLeft w:val="0"/>
      <w:marRight w:val="0"/>
      <w:marTop w:val="0"/>
      <w:marBottom w:val="0"/>
      <w:divBdr>
        <w:top w:val="none" w:sz="0" w:space="0" w:color="auto"/>
        <w:left w:val="none" w:sz="0" w:space="0" w:color="auto"/>
        <w:bottom w:val="none" w:sz="0" w:space="0" w:color="auto"/>
        <w:right w:val="none" w:sz="0" w:space="0" w:color="auto"/>
      </w:divBdr>
    </w:div>
    <w:div w:id="463432732">
      <w:marLeft w:val="0"/>
      <w:marRight w:val="0"/>
      <w:marTop w:val="0"/>
      <w:marBottom w:val="0"/>
      <w:divBdr>
        <w:top w:val="none" w:sz="0" w:space="0" w:color="auto"/>
        <w:left w:val="none" w:sz="0" w:space="0" w:color="auto"/>
        <w:bottom w:val="none" w:sz="0" w:space="0" w:color="auto"/>
        <w:right w:val="none" w:sz="0" w:space="0" w:color="auto"/>
      </w:divBdr>
    </w:div>
    <w:div w:id="464856084">
      <w:marLeft w:val="0"/>
      <w:marRight w:val="0"/>
      <w:marTop w:val="0"/>
      <w:marBottom w:val="0"/>
      <w:divBdr>
        <w:top w:val="none" w:sz="0" w:space="0" w:color="auto"/>
        <w:left w:val="none" w:sz="0" w:space="0" w:color="auto"/>
        <w:bottom w:val="none" w:sz="0" w:space="0" w:color="auto"/>
        <w:right w:val="none" w:sz="0" w:space="0" w:color="auto"/>
      </w:divBdr>
    </w:div>
    <w:div w:id="465391240">
      <w:marLeft w:val="0"/>
      <w:marRight w:val="0"/>
      <w:marTop w:val="0"/>
      <w:marBottom w:val="0"/>
      <w:divBdr>
        <w:top w:val="none" w:sz="0" w:space="0" w:color="auto"/>
        <w:left w:val="none" w:sz="0" w:space="0" w:color="auto"/>
        <w:bottom w:val="none" w:sz="0" w:space="0" w:color="auto"/>
        <w:right w:val="none" w:sz="0" w:space="0" w:color="auto"/>
      </w:divBdr>
    </w:div>
    <w:div w:id="465782695">
      <w:marLeft w:val="0"/>
      <w:marRight w:val="0"/>
      <w:marTop w:val="0"/>
      <w:marBottom w:val="0"/>
      <w:divBdr>
        <w:top w:val="none" w:sz="0" w:space="0" w:color="auto"/>
        <w:left w:val="none" w:sz="0" w:space="0" w:color="auto"/>
        <w:bottom w:val="none" w:sz="0" w:space="0" w:color="auto"/>
        <w:right w:val="none" w:sz="0" w:space="0" w:color="auto"/>
      </w:divBdr>
    </w:div>
    <w:div w:id="466319606">
      <w:marLeft w:val="0"/>
      <w:marRight w:val="0"/>
      <w:marTop w:val="0"/>
      <w:marBottom w:val="0"/>
      <w:divBdr>
        <w:top w:val="none" w:sz="0" w:space="0" w:color="auto"/>
        <w:left w:val="none" w:sz="0" w:space="0" w:color="auto"/>
        <w:bottom w:val="none" w:sz="0" w:space="0" w:color="auto"/>
        <w:right w:val="none" w:sz="0" w:space="0" w:color="auto"/>
      </w:divBdr>
    </w:div>
    <w:div w:id="467089355">
      <w:marLeft w:val="0"/>
      <w:marRight w:val="0"/>
      <w:marTop w:val="0"/>
      <w:marBottom w:val="0"/>
      <w:divBdr>
        <w:top w:val="none" w:sz="0" w:space="0" w:color="auto"/>
        <w:left w:val="none" w:sz="0" w:space="0" w:color="auto"/>
        <w:bottom w:val="none" w:sz="0" w:space="0" w:color="auto"/>
        <w:right w:val="none" w:sz="0" w:space="0" w:color="auto"/>
      </w:divBdr>
    </w:div>
    <w:div w:id="467480079">
      <w:marLeft w:val="0"/>
      <w:marRight w:val="0"/>
      <w:marTop w:val="0"/>
      <w:marBottom w:val="0"/>
      <w:divBdr>
        <w:top w:val="none" w:sz="0" w:space="0" w:color="auto"/>
        <w:left w:val="none" w:sz="0" w:space="0" w:color="auto"/>
        <w:bottom w:val="none" w:sz="0" w:space="0" w:color="auto"/>
        <w:right w:val="none" w:sz="0" w:space="0" w:color="auto"/>
      </w:divBdr>
    </w:div>
    <w:div w:id="469173752">
      <w:marLeft w:val="0"/>
      <w:marRight w:val="0"/>
      <w:marTop w:val="0"/>
      <w:marBottom w:val="0"/>
      <w:divBdr>
        <w:top w:val="none" w:sz="0" w:space="0" w:color="auto"/>
        <w:left w:val="none" w:sz="0" w:space="0" w:color="auto"/>
        <w:bottom w:val="none" w:sz="0" w:space="0" w:color="auto"/>
        <w:right w:val="none" w:sz="0" w:space="0" w:color="auto"/>
      </w:divBdr>
    </w:div>
    <w:div w:id="470900346">
      <w:marLeft w:val="0"/>
      <w:marRight w:val="0"/>
      <w:marTop w:val="0"/>
      <w:marBottom w:val="0"/>
      <w:divBdr>
        <w:top w:val="none" w:sz="0" w:space="0" w:color="auto"/>
        <w:left w:val="none" w:sz="0" w:space="0" w:color="auto"/>
        <w:bottom w:val="none" w:sz="0" w:space="0" w:color="auto"/>
        <w:right w:val="none" w:sz="0" w:space="0" w:color="auto"/>
      </w:divBdr>
    </w:div>
    <w:div w:id="473134207">
      <w:marLeft w:val="0"/>
      <w:marRight w:val="0"/>
      <w:marTop w:val="0"/>
      <w:marBottom w:val="0"/>
      <w:divBdr>
        <w:top w:val="none" w:sz="0" w:space="0" w:color="auto"/>
        <w:left w:val="none" w:sz="0" w:space="0" w:color="auto"/>
        <w:bottom w:val="none" w:sz="0" w:space="0" w:color="auto"/>
        <w:right w:val="none" w:sz="0" w:space="0" w:color="auto"/>
      </w:divBdr>
    </w:div>
    <w:div w:id="473722424">
      <w:marLeft w:val="0"/>
      <w:marRight w:val="0"/>
      <w:marTop w:val="0"/>
      <w:marBottom w:val="0"/>
      <w:divBdr>
        <w:top w:val="none" w:sz="0" w:space="0" w:color="auto"/>
        <w:left w:val="none" w:sz="0" w:space="0" w:color="auto"/>
        <w:bottom w:val="none" w:sz="0" w:space="0" w:color="auto"/>
        <w:right w:val="none" w:sz="0" w:space="0" w:color="auto"/>
      </w:divBdr>
    </w:div>
    <w:div w:id="474372011">
      <w:marLeft w:val="0"/>
      <w:marRight w:val="0"/>
      <w:marTop w:val="0"/>
      <w:marBottom w:val="0"/>
      <w:divBdr>
        <w:top w:val="none" w:sz="0" w:space="0" w:color="auto"/>
        <w:left w:val="none" w:sz="0" w:space="0" w:color="auto"/>
        <w:bottom w:val="none" w:sz="0" w:space="0" w:color="auto"/>
        <w:right w:val="none" w:sz="0" w:space="0" w:color="auto"/>
      </w:divBdr>
    </w:div>
    <w:div w:id="475072464">
      <w:marLeft w:val="0"/>
      <w:marRight w:val="0"/>
      <w:marTop w:val="0"/>
      <w:marBottom w:val="0"/>
      <w:divBdr>
        <w:top w:val="none" w:sz="0" w:space="0" w:color="auto"/>
        <w:left w:val="none" w:sz="0" w:space="0" w:color="auto"/>
        <w:bottom w:val="none" w:sz="0" w:space="0" w:color="auto"/>
        <w:right w:val="none" w:sz="0" w:space="0" w:color="auto"/>
      </w:divBdr>
    </w:div>
    <w:div w:id="475991066">
      <w:marLeft w:val="0"/>
      <w:marRight w:val="0"/>
      <w:marTop w:val="0"/>
      <w:marBottom w:val="120"/>
      <w:divBdr>
        <w:top w:val="none" w:sz="0" w:space="0" w:color="auto"/>
        <w:left w:val="none" w:sz="0" w:space="0" w:color="auto"/>
        <w:bottom w:val="none" w:sz="0" w:space="0" w:color="auto"/>
        <w:right w:val="none" w:sz="0" w:space="0" w:color="auto"/>
      </w:divBdr>
    </w:div>
    <w:div w:id="476146133">
      <w:marLeft w:val="0"/>
      <w:marRight w:val="0"/>
      <w:marTop w:val="0"/>
      <w:marBottom w:val="0"/>
      <w:divBdr>
        <w:top w:val="none" w:sz="0" w:space="0" w:color="auto"/>
        <w:left w:val="none" w:sz="0" w:space="0" w:color="auto"/>
        <w:bottom w:val="none" w:sz="0" w:space="0" w:color="auto"/>
        <w:right w:val="none" w:sz="0" w:space="0" w:color="auto"/>
      </w:divBdr>
    </w:div>
    <w:div w:id="478959139">
      <w:marLeft w:val="0"/>
      <w:marRight w:val="0"/>
      <w:marTop w:val="0"/>
      <w:marBottom w:val="0"/>
      <w:divBdr>
        <w:top w:val="none" w:sz="0" w:space="0" w:color="auto"/>
        <w:left w:val="none" w:sz="0" w:space="0" w:color="auto"/>
        <w:bottom w:val="none" w:sz="0" w:space="0" w:color="auto"/>
        <w:right w:val="none" w:sz="0" w:space="0" w:color="auto"/>
      </w:divBdr>
    </w:div>
    <w:div w:id="481191471">
      <w:marLeft w:val="0"/>
      <w:marRight w:val="0"/>
      <w:marTop w:val="0"/>
      <w:marBottom w:val="0"/>
      <w:divBdr>
        <w:top w:val="none" w:sz="0" w:space="0" w:color="auto"/>
        <w:left w:val="none" w:sz="0" w:space="0" w:color="auto"/>
        <w:bottom w:val="none" w:sz="0" w:space="0" w:color="auto"/>
        <w:right w:val="none" w:sz="0" w:space="0" w:color="auto"/>
      </w:divBdr>
    </w:div>
    <w:div w:id="481234648">
      <w:marLeft w:val="0"/>
      <w:marRight w:val="0"/>
      <w:marTop w:val="0"/>
      <w:marBottom w:val="0"/>
      <w:divBdr>
        <w:top w:val="none" w:sz="0" w:space="0" w:color="auto"/>
        <w:left w:val="none" w:sz="0" w:space="0" w:color="auto"/>
        <w:bottom w:val="none" w:sz="0" w:space="0" w:color="auto"/>
        <w:right w:val="none" w:sz="0" w:space="0" w:color="auto"/>
      </w:divBdr>
    </w:div>
    <w:div w:id="481427641">
      <w:marLeft w:val="0"/>
      <w:marRight w:val="0"/>
      <w:marTop w:val="0"/>
      <w:marBottom w:val="0"/>
      <w:divBdr>
        <w:top w:val="none" w:sz="0" w:space="0" w:color="auto"/>
        <w:left w:val="none" w:sz="0" w:space="0" w:color="auto"/>
        <w:bottom w:val="none" w:sz="0" w:space="0" w:color="auto"/>
        <w:right w:val="none" w:sz="0" w:space="0" w:color="auto"/>
      </w:divBdr>
    </w:div>
    <w:div w:id="481699683">
      <w:marLeft w:val="0"/>
      <w:marRight w:val="0"/>
      <w:marTop w:val="0"/>
      <w:marBottom w:val="0"/>
      <w:divBdr>
        <w:top w:val="none" w:sz="0" w:space="0" w:color="auto"/>
        <w:left w:val="none" w:sz="0" w:space="0" w:color="auto"/>
        <w:bottom w:val="none" w:sz="0" w:space="0" w:color="auto"/>
        <w:right w:val="none" w:sz="0" w:space="0" w:color="auto"/>
      </w:divBdr>
    </w:div>
    <w:div w:id="482040583">
      <w:marLeft w:val="0"/>
      <w:marRight w:val="0"/>
      <w:marTop w:val="0"/>
      <w:marBottom w:val="0"/>
      <w:divBdr>
        <w:top w:val="none" w:sz="0" w:space="0" w:color="auto"/>
        <w:left w:val="none" w:sz="0" w:space="0" w:color="auto"/>
        <w:bottom w:val="none" w:sz="0" w:space="0" w:color="auto"/>
        <w:right w:val="none" w:sz="0" w:space="0" w:color="auto"/>
      </w:divBdr>
    </w:div>
    <w:div w:id="482697765">
      <w:marLeft w:val="0"/>
      <w:marRight w:val="0"/>
      <w:marTop w:val="0"/>
      <w:marBottom w:val="0"/>
      <w:divBdr>
        <w:top w:val="none" w:sz="0" w:space="0" w:color="auto"/>
        <w:left w:val="none" w:sz="0" w:space="0" w:color="auto"/>
        <w:bottom w:val="none" w:sz="0" w:space="0" w:color="auto"/>
        <w:right w:val="none" w:sz="0" w:space="0" w:color="auto"/>
      </w:divBdr>
    </w:div>
    <w:div w:id="489561821">
      <w:marLeft w:val="0"/>
      <w:marRight w:val="0"/>
      <w:marTop w:val="0"/>
      <w:marBottom w:val="0"/>
      <w:divBdr>
        <w:top w:val="none" w:sz="0" w:space="0" w:color="auto"/>
        <w:left w:val="none" w:sz="0" w:space="0" w:color="auto"/>
        <w:bottom w:val="none" w:sz="0" w:space="0" w:color="auto"/>
        <w:right w:val="none" w:sz="0" w:space="0" w:color="auto"/>
      </w:divBdr>
    </w:div>
    <w:div w:id="490756051">
      <w:marLeft w:val="0"/>
      <w:marRight w:val="0"/>
      <w:marTop w:val="0"/>
      <w:marBottom w:val="0"/>
      <w:divBdr>
        <w:top w:val="none" w:sz="0" w:space="0" w:color="auto"/>
        <w:left w:val="none" w:sz="0" w:space="0" w:color="auto"/>
        <w:bottom w:val="none" w:sz="0" w:space="0" w:color="auto"/>
        <w:right w:val="none" w:sz="0" w:space="0" w:color="auto"/>
      </w:divBdr>
      <w:divsChild>
        <w:div w:id="166330534">
          <w:marLeft w:val="0"/>
          <w:marRight w:val="0"/>
          <w:marTop w:val="0"/>
          <w:marBottom w:val="0"/>
          <w:divBdr>
            <w:top w:val="none" w:sz="0" w:space="0" w:color="auto"/>
            <w:left w:val="none" w:sz="0" w:space="0" w:color="auto"/>
            <w:bottom w:val="none" w:sz="0" w:space="0" w:color="auto"/>
            <w:right w:val="none" w:sz="0" w:space="0" w:color="auto"/>
          </w:divBdr>
        </w:div>
        <w:div w:id="1631981845">
          <w:marLeft w:val="0"/>
          <w:marRight w:val="0"/>
          <w:marTop w:val="0"/>
          <w:marBottom w:val="0"/>
          <w:divBdr>
            <w:top w:val="none" w:sz="0" w:space="0" w:color="auto"/>
            <w:left w:val="none" w:sz="0" w:space="0" w:color="auto"/>
            <w:bottom w:val="none" w:sz="0" w:space="0" w:color="auto"/>
            <w:right w:val="none" w:sz="0" w:space="0" w:color="auto"/>
          </w:divBdr>
        </w:div>
        <w:div w:id="1787115303">
          <w:marLeft w:val="0"/>
          <w:marRight w:val="0"/>
          <w:marTop w:val="0"/>
          <w:marBottom w:val="0"/>
          <w:divBdr>
            <w:top w:val="none" w:sz="0" w:space="0" w:color="auto"/>
            <w:left w:val="none" w:sz="0" w:space="0" w:color="auto"/>
            <w:bottom w:val="none" w:sz="0" w:space="0" w:color="auto"/>
            <w:right w:val="none" w:sz="0" w:space="0" w:color="auto"/>
          </w:divBdr>
        </w:div>
        <w:div w:id="1590505028">
          <w:marLeft w:val="0"/>
          <w:marRight w:val="0"/>
          <w:marTop w:val="0"/>
          <w:marBottom w:val="0"/>
          <w:divBdr>
            <w:top w:val="none" w:sz="0" w:space="0" w:color="auto"/>
            <w:left w:val="none" w:sz="0" w:space="0" w:color="auto"/>
            <w:bottom w:val="none" w:sz="0" w:space="0" w:color="auto"/>
            <w:right w:val="none" w:sz="0" w:space="0" w:color="auto"/>
          </w:divBdr>
        </w:div>
        <w:div w:id="105660569">
          <w:marLeft w:val="0"/>
          <w:marRight w:val="0"/>
          <w:marTop w:val="0"/>
          <w:marBottom w:val="0"/>
          <w:divBdr>
            <w:top w:val="none" w:sz="0" w:space="0" w:color="auto"/>
            <w:left w:val="none" w:sz="0" w:space="0" w:color="auto"/>
            <w:bottom w:val="none" w:sz="0" w:space="0" w:color="auto"/>
            <w:right w:val="none" w:sz="0" w:space="0" w:color="auto"/>
          </w:divBdr>
        </w:div>
        <w:div w:id="902107355">
          <w:marLeft w:val="0"/>
          <w:marRight w:val="0"/>
          <w:marTop w:val="0"/>
          <w:marBottom w:val="0"/>
          <w:divBdr>
            <w:top w:val="none" w:sz="0" w:space="0" w:color="auto"/>
            <w:left w:val="none" w:sz="0" w:space="0" w:color="auto"/>
            <w:bottom w:val="none" w:sz="0" w:space="0" w:color="auto"/>
            <w:right w:val="none" w:sz="0" w:space="0" w:color="auto"/>
          </w:divBdr>
        </w:div>
        <w:div w:id="498155306">
          <w:marLeft w:val="0"/>
          <w:marRight w:val="0"/>
          <w:marTop w:val="0"/>
          <w:marBottom w:val="0"/>
          <w:divBdr>
            <w:top w:val="none" w:sz="0" w:space="0" w:color="auto"/>
            <w:left w:val="none" w:sz="0" w:space="0" w:color="auto"/>
            <w:bottom w:val="none" w:sz="0" w:space="0" w:color="auto"/>
            <w:right w:val="none" w:sz="0" w:space="0" w:color="auto"/>
          </w:divBdr>
        </w:div>
        <w:div w:id="943151231">
          <w:marLeft w:val="0"/>
          <w:marRight w:val="0"/>
          <w:marTop w:val="0"/>
          <w:marBottom w:val="0"/>
          <w:divBdr>
            <w:top w:val="none" w:sz="0" w:space="0" w:color="auto"/>
            <w:left w:val="none" w:sz="0" w:space="0" w:color="auto"/>
            <w:bottom w:val="none" w:sz="0" w:space="0" w:color="auto"/>
            <w:right w:val="none" w:sz="0" w:space="0" w:color="auto"/>
          </w:divBdr>
        </w:div>
      </w:divsChild>
    </w:div>
    <w:div w:id="495069385">
      <w:marLeft w:val="0"/>
      <w:marRight w:val="0"/>
      <w:marTop w:val="0"/>
      <w:marBottom w:val="0"/>
      <w:divBdr>
        <w:top w:val="none" w:sz="0" w:space="0" w:color="auto"/>
        <w:left w:val="none" w:sz="0" w:space="0" w:color="auto"/>
        <w:bottom w:val="none" w:sz="0" w:space="0" w:color="auto"/>
        <w:right w:val="none" w:sz="0" w:space="0" w:color="auto"/>
      </w:divBdr>
    </w:div>
    <w:div w:id="497383317">
      <w:marLeft w:val="0"/>
      <w:marRight w:val="0"/>
      <w:marTop w:val="0"/>
      <w:marBottom w:val="0"/>
      <w:divBdr>
        <w:top w:val="none" w:sz="0" w:space="0" w:color="auto"/>
        <w:left w:val="none" w:sz="0" w:space="0" w:color="auto"/>
        <w:bottom w:val="none" w:sz="0" w:space="0" w:color="auto"/>
        <w:right w:val="none" w:sz="0" w:space="0" w:color="auto"/>
      </w:divBdr>
    </w:div>
    <w:div w:id="504708810">
      <w:marLeft w:val="0"/>
      <w:marRight w:val="0"/>
      <w:marTop w:val="0"/>
      <w:marBottom w:val="0"/>
      <w:divBdr>
        <w:top w:val="none" w:sz="0" w:space="0" w:color="auto"/>
        <w:left w:val="none" w:sz="0" w:space="0" w:color="auto"/>
        <w:bottom w:val="none" w:sz="0" w:space="0" w:color="auto"/>
        <w:right w:val="none" w:sz="0" w:space="0" w:color="auto"/>
      </w:divBdr>
    </w:div>
    <w:div w:id="504713360">
      <w:marLeft w:val="0"/>
      <w:marRight w:val="0"/>
      <w:marTop w:val="0"/>
      <w:marBottom w:val="0"/>
      <w:divBdr>
        <w:top w:val="none" w:sz="0" w:space="0" w:color="auto"/>
        <w:left w:val="none" w:sz="0" w:space="0" w:color="auto"/>
        <w:bottom w:val="none" w:sz="0" w:space="0" w:color="auto"/>
        <w:right w:val="none" w:sz="0" w:space="0" w:color="auto"/>
      </w:divBdr>
    </w:div>
    <w:div w:id="506989177">
      <w:marLeft w:val="0"/>
      <w:marRight w:val="0"/>
      <w:marTop w:val="0"/>
      <w:marBottom w:val="0"/>
      <w:divBdr>
        <w:top w:val="none" w:sz="0" w:space="0" w:color="auto"/>
        <w:left w:val="none" w:sz="0" w:space="0" w:color="auto"/>
        <w:bottom w:val="none" w:sz="0" w:space="0" w:color="auto"/>
        <w:right w:val="none" w:sz="0" w:space="0" w:color="auto"/>
      </w:divBdr>
    </w:div>
    <w:div w:id="507139429">
      <w:marLeft w:val="0"/>
      <w:marRight w:val="0"/>
      <w:marTop w:val="0"/>
      <w:marBottom w:val="0"/>
      <w:divBdr>
        <w:top w:val="none" w:sz="0" w:space="0" w:color="auto"/>
        <w:left w:val="none" w:sz="0" w:space="0" w:color="auto"/>
        <w:bottom w:val="none" w:sz="0" w:space="0" w:color="auto"/>
        <w:right w:val="none" w:sz="0" w:space="0" w:color="auto"/>
      </w:divBdr>
    </w:div>
    <w:div w:id="507208219">
      <w:marLeft w:val="0"/>
      <w:marRight w:val="0"/>
      <w:marTop w:val="0"/>
      <w:marBottom w:val="0"/>
      <w:divBdr>
        <w:top w:val="none" w:sz="0" w:space="0" w:color="auto"/>
        <w:left w:val="none" w:sz="0" w:space="0" w:color="auto"/>
        <w:bottom w:val="none" w:sz="0" w:space="0" w:color="auto"/>
        <w:right w:val="none" w:sz="0" w:space="0" w:color="auto"/>
      </w:divBdr>
    </w:div>
    <w:div w:id="514267124">
      <w:marLeft w:val="0"/>
      <w:marRight w:val="0"/>
      <w:marTop w:val="0"/>
      <w:marBottom w:val="0"/>
      <w:divBdr>
        <w:top w:val="none" w:sz="0" w:space="0" w:color="auto"/>
        <w:left w:val="none" w:sz="0" w:space="0" w:color="auto"/>
        <w:bottom w:val="none" w:sz="0" w:space="0" w:color="auto"/>
        <w:right w:val="none" w:sz="0" w:space="0" w:color="auto"/>
      </w:divBdr>
    </w:div>
    <w:div w:id="514274453">
      <w:marLeft w:val="0"/>
      <w:marRight w:val="0"/>
      <w:marTop w:val="0"/>
      <w:marBottom w:val="0"/>
      <w:divBdr>
        <w:top w:val="none" w:sz="0" w:space="0" w:color="auto"/>
        <w:left w:val="none" w:sz="0" w:space="0" w:color="auto"/>
        <w:bottom w:val="none" w:sz="0" w:space="0" w:color="auto"/>
        <w:right w:val="none" w:sz="0" w:space="0" w:color="auto"/>
      </w:divBdr>
    </w:div>
    <w:div w:id="514655921">
      <w:marLeft w:val="0"/>
      <w:marRight w:val="0"/>
      <w:marTop w:val="0"/>
      <w:marBottom w:val="0"/>
      <w:divBdr>
        <w:top w:val="none" w:sz="0" w:space="0" w:color="auto"/>
        <w:left w:val="none" w:sz="0" w:space="0" w:color="auto"/>
        <w:bottom w:val="none" w:sz="0" w:space="0" w:color="auto"/>
        <w:right w:val="none" w:sz="0" w:space="0" w:color="auto"/>
      </w:divBdr>
    </w:div>
    <w:div w:id="517819243">
      <w:marLeft w:val="0"/>
      <w:marRight w:val="0"/>
      <w:marTop w:val="0"/>
      <w:marBottom w:val="0"/>
      <w:divBdr>
        <w:top w:val="none" w:sz="0" w:space="0" w:color="auto"/>
        <w:left w:val="none" w:sz="0" w:space="0" w:color="auto"/>
        <w:bottom w:val="none" w:sz="0" w:space="0" w:color="auto"/>
        <w:right w:val="none" w:sz="0" w:space="0" w:color="auto"/>
      </w:divBdr>
      <w:divsChild>
        <w:div w:id="915675675">
          <w:marLeft w:val="0"/>
          <w:marRight w:val="0"/>
          <w:marTop w:val="0"/>
          <w:marBottom w:val="0"/>
          <w:divBdr>
            <w:top w:val="none" w:sz="0" w:space="0" w:color="auto"/>
            <w:left w:val="none" w:sz="0" w:space="0" w:color="auto"/>
            <w:bottom w:val="none" w:sz="0" w:space="0" w:color="auto"/>
            <w:right w:val="none" w:sz="0" w:space="0" w:color="auto"/>
          </w:divBdr>
        </w:div>
      </w:divsChild>
    </w:div>
    <w:div w:id="520125798">
      <w:marLeft w:val="0"/>
      <w:marRight w:val="0"/>
      <w:marTop w:val="0"/>
      <w:marBottom w:val="0"/>
      <w:divBdr>
        <w:top w:val="none" w:sz="0" w:space="0" w:color="auto"/>
        <w:left w:val="none" w:sz="0" w:space="0" w:color="auto"/>
        <w:bottom w:val="none" w:sz="0" w:space="0" w:color="auto"/>
        <w:right w:val="none" w:sz="0" w:space="0" w:color="auto"/>
      </w:divBdr>
    </w:div>
    <w:div w:id="521018993">
      <w:marLeft w:val="0"/>
      <w:marRight w:val="0"/>
      <w:marTop w:val="0"/>
      <w:marBottom w:val="0"/>
      <w:divBdr>
        <w:top w:val="none" w:sz="0" w:space="0" w:color="auto"/>
        <w:left w:val="none" w:sz="0" w:space="0" w:color="auto"/>
        <w:bottom w:val="none" w:sz="0" w:space="0" w:color="auto"/>
        <w:right w:val="none" w:sz="0" w:space="0" w:color="auto"/>
      </w:divBdr>
    </w:div>
    <w:div w:id="524052156">
      <w:marLeft w:val="0"/>
      <w:marRight w:val="0"/>
      <w:marTop w:val="0"/>
      <w:marBottom w:val="0"/>
      <w:divBdr>
        <w:top w:val="none" w:sz="0" w:space="0" w:color="auto"/>
        <w:left w:val="none" w:sz="0" w:space="0" w:color="auto"/>
        <w:bottom w:val="none" w:sz="0" w:space="0" w:color="auto"/>
        <w:right w:val="none" w:sz="0" w:space="0" w:color="auto"/>
      </w:divBdr>
    </w:div>
    <w:div w:id="525362544">
      <w:marLeft w:val="0"/>
      <w:marRight w:val="0"/>
      <w:marTop w:val="0"/>
      <w:marBottom w:val="0"/>
      <w:divBdr>
        <w:top w:val="none" w:sz="0" w:space="0" w:color="auto"/>
        <w:left w:val="none" w:sz="0" w:space="0" w:color="auto"/>
        <w:bottom w:val="none" w:sz="0" w:space="0" w:color="auto"/>
        <w:right w:val="none" w:sz="0" w:space="0" w:color="auto"/>
      </w:divBdr>
    </w:div>
    <w:div w:id="528494954">
      <w:marLeft w:val="0"/>
      <w:marRight w:val="0"/>
      <w:marTop w:val="0"/>
      <w:marBottom w:val="0"/>
      <w:divBdr>
        <w:top w:val="none" w:sz="0" w:space="0" w:color="auto"/>
        <w:left w:val="none" w:sz="0" w:space="0" w:color="auto"/>
        <w:bottom w:val="none" w:sz="0" w:space="0" w:color="auto"/>
        <w:right w:val="none" w:sz="0" w:space="0" w:color="auto"/>
      </w:divBdr>
    </w:div>
    <w:div w:id="530149473">
      <w:marLeft w:val="0"/>
      <w:marRight w:val="0"/>
      <w:marTop w:val="0"/>
      <w:marBottom w:val="0"/>
      <w:divBdr>
        <w:top w:val="none" w:sz="0" w:space="0" w:color="auto"/>
        <w:left w:val="none" w:sz="0" w:space="0" w:color="auto"/>
        <w:bottom w:val="none" w:sz="0" w:space="0" w:color="auto"/>
        <w:right w:val="none" w:sz="0" w:space="0" w:color="auto"/>
      </w:divBdr>
    </w:div>
    <w:div w:id="530924550">
      <w:marLeft w:val="0"/>
      <w:marRight w:val="0"/>
      <w:marTop w:val="0"/>
      <w:marBottom w:val="0"/>
      <w:divBdr>
        <w:top w:val="none" w:sz="0" w:space="0" w:color="auto"/>
        <w:left w:val="none" w:sz="0" w:space="0" w:color="auto"/>
        <w:bottom w:val="none" w:sz="0" w:space="0" w:color="auto"/>
        <w:right w:val="none" w:sz="0" w:space="0" w:color="auto"/>
      </w:divBdr>
      <w:divsChild>
        <w:div w:id="274598256">
          <w:marLeft w:val="0"/>
          <w:marRight w:val="0"/>
          <w:marTop w:val="0"/>
          <w:marBottom w:val="0"/>
          <w:divBdr>
            <w:top w:val="none" w:sz="0" w:space="0" w:color="auto"/>
            <w:left w:val="none" w:sz="0" w:space="0" w:color="auto"/>
            <w:bottom w:val="none" w:sz="0" w:space="0" w:color="auto"/>
            <w:right w:val="none" w:sz="0" w:space="0" w:color="auto"/>
          </w:divBdr>
        </w:div>
      </w:divsChild>
    </w:div>
    <w:div w:id="533659819">
      <w:marLeft w:val="0"/>
      <w:marRight w:val="0"/>
      <w:marTop w:val="0"/>
      <w:marBottom w:val="0"/>
      <w:divBdr>
        <w:top w:val="none" w:sz="0" w:space="0" w:color="auto"/>
        <w:left w:val="none" w:sz="0" w:space="0" w:color="auto"/>
        <w:bottom w:val="none" w:sz="0" w:space="0" w:color="auto"/>
        <w:right w:val="none" w:sz="0" w:space="0" w:color="auto"/>
      </w:divBdr>
    </w:div>
    <w:div w:id="537014802">
      <w:marLeft w:val="0"/>
      <w:marRight w:val="0"/>
      <w:marTop w:val="0"/>
      <w:marBottom w:val="0"/>
      <w:divBdr>
        <w:top w:val="none" w:sz="0" w:space="0" w:color="auto"/>
        <w:left w:val="none" w:sz="0" w:space="0" w:color="auto"/>
        <w:bottom w:val="none" w:sz="0" w:space="0" w:color="auto"/>
        <w:right w:val="none" w:sz="0" w:space="0" w:color="auto"/>
      </w:divBdr>
    </w:div>
    <w:div w:id="537090346">
      <w:marLeft w:val="0"/>
      <w:marRight w:val="0"/>
      <w:marTop w:val="0"/>
      <w:marBottom w:val="0"/>
      <w:divBdr>
        <w:top w:val="none" w:sz="0" w:space="0" w:color="auto"/>
        <w:left w:val="none" w:sz="0" w:space="0" w:color="auto"/>
        <w:bottom w:val="none" w:sz="0" w:space="0" w:color="auto"/>
        <w:right w:val="none" w:sz="0" w:space="0" w:color="auto"/>
      </w:divBdr>
    </w:div>
    <w:div w:id="540829003">
      <w:marLeft w:val="0"/>
      <w:marRight w:val="0"/>
      <w:marTop w:val="0"/>
      <w:marBottom w:val="0"/>
      <w:divBdr>
        <w:top w:val="none" w:sz="0" w:space="0" w:color="auto"/>
        <w:left w:val="none" w:sz="0" w:space="0" w:color="auto"/>
        <w:bottom w:val="none" w:sz="0" w:space="0" w:color="auto"/>
        <w:right w:val="none" w:sz="0" w:space="0" w:color="auto"/>
      </w:divBdr>
    </w:div>
    <w:div w:id="543103786">
      <w:marLeft w:val="0"/>
      <w:marRight w:val="0"/>
      <w:marTop w:val="0"/>
      <w:marBottom w:val="0"/>
      <w:divBdr>
        <w:top w:val="none" w:sz="0" w:space="0" w:color="auto"/>
        <w:left w:val="none" w:sz="0" w:space="0" w:color="auto"/>
        <w:bottom w:val="none" w:sz="0" w:space="0" w:color="auto"/>
        <w:right w:val="none" w:sz="0" w:space="0" w:color="auto"/>
      </w:divBdr>
    </w:div>
    <w:div w:id="544878151">
      <w:marLeft w:val="0"/>
      <w:marRight w:val="0"/>
      <w:marTop w:val="0"/>
      <w:marBottom w:val="0"/>
      <w:divBdr>
        <w:top w:val="none" w:sz="0" w:space="0" w:color="auto"/>
        <w:left w:val="none" w:sz="0" w:space="0" w:color="auto"/>
        <w:bottom w:val="none" w:sz="0" w:space="0" w:color="auto"/>
        <w:right w:val="none" w:sz="0" w:space="0" w:color="auto"/>
      </w:divBdr>
    </w:div>
    <w:div w:id="549464504">
      <w:marLeft w:val="0"/>
      <w:marRight w:val="0"/>
      <w:marTop w:val="0"/>
      <w:marBottom w:val="0"/>
      <w:divBdr>
        <w:top w:val="none" w:sz="0" w:space="0" w:color="auto"/>
        <w:left w:val="none" w:sz="0" w:space="0" w:color="auto"/>
        <w:bottom w:val="none" w:sz="0" w:space="0" w:color="auto"/>
        <w:right w:val="none" w:sz="0" w:space="0" w:color="auto"/>
      </w:divBdr>
    </w:div>
    <w:div w:id="549536083">
      <w:marLeft w:val="0"/>
      <w:marRight w:val="0"/>
      <w:marTop w:val="0"/>
      <w:marBottom w:val="0"/>
      <w:divBdr>
        <w:top w:val="none" w:sz="0" w:space="0" w:color="auto"/>
        <w:left w:val="none" w:sz="0" w:space="0" w:color="auto"/>
        <w:bottom w:val="none" w:sz="0" w:space="0" w:color="auto"/>
        <w:right w:val="none" w:sz="0" w:space="0" w:color="auto"/>
      </w:divBdr>
    </w:div>
    <w:div w:id="549923541">
      <w:marLeft w:val="0"/>
      <w:marRight w:val="0"/>
      <w:marTop w:val="0"/>
      <w:marBottom w:val="0"/>
      <w:divBdr>
        <w:top w:val="none" w:sz="0" w:space="0" w:color="auto"/>
        <w:left w:val="none" w:sz="0" w:space="0" w:color="auto"/>
        <w:bottom w:val="none" w:sz="0" w:space="0" w:color="auto"/>
        <w:right w:val="none" w:sz="0" w:space="0" w:color="auto"/>
      </w:divBdr>
    </w:div>
    <w:div w:id="550651291">
      <w:marLeft w:val="0"/>
      <w:marRight w:val="0"/>
      <w:marTop w:val="0"/>
      <w:marBottom w:val="0"/>
      <w:divBdr>
        <w:top w:val="none" w:sz="0" w:space="0" w:color="auto"/>
        <w:left w:val="none" w:sz="0" w:space="0" w:color="auto"/>
        <w:bottom w:val="none" w:sz="0" w:space="0" w:color="auto"/>
        <w:right w:val="none" w:sz="0" w:space="0" w:color="auto"/>
      </w:divBdr>
    </w:div>
    <w:div w:id="550927162">
      <w:marLeft w:val="0"/>
      <w:marRight w:val="0"/>
      <w:marTop w:val="0"/>
      <w:marBottom w:val="0"/>
      <w:divBdr>
        <w:top w:val="none" w:sz="0" w:space="0" w:color="auto"/>
        <w:left w:val="none" w:sz="0" w:space="0" w:color="auto"/>
        <w:bottom w:val="none" w:sz="0" w:space="0" w:color="auto"/>
        <w:right w:val="none" w:sz="0" w:space="0" w:color="auto"/>
      </w:divBdr>
    </w:div>
    <w:div w:id="551036520">
      <w:marLeft w:val="0"/>
      <w:marRight w:val="0"/>
      <w:marTop w:val="0"/>
      <w:marBottom w:val="0"/>
      <w:divBdr>
        <w:top w:val="none" w:sz="0" w:space="0" w:color="auto"/>
        <w:left w:val="none" w:sz="0" w:space="0" w:color="auto"/>
        <w:bottom w:val="none" w:sz="0" w:space="0" w:color="auto"/>
        <w:right w:val="none" w:sz="0" w:space="0" w:color="auto"/>
      </w:divBdr>
    </w:div>
    <w:div w:id="552158720">
      <w:marLeft w:val="0"/>
      <w:marRight w:val="0"/>
      <w:marTop w:val="0"/>
      <w:marBottom w:val="0"/>
      <w:divBdr>
        <w:top w:val="none" w:sz="0" w:space="0" w:color="auto"/>
        <w:left w:val="none" w:sz="0" w:space="0" w:color="auto"/>
        <w:bottom w:val="none" w:sz="0" w:space="0" w:color="auto"/>
        <w:right w:val="none" w:sz="0" w:space="0" w:color="auto"/>
      </w:divBdr>
    </w:div>
    <w:div w:id="552542237">
      <w:marLeft w:val="0"/>
      <w:marRight w:val="0"/>
      <w:marTop w:val="0"/>
      <w:marBottom w:val="0"/>
      <w:divBdr>
        <w:top w:val="none" w:sz="0" w:space="0" w:color="auto"/>
        <w:left w:val="none" w:sz="0" w:space="0" w:color="auto"/>
        <w:bottom w:val="none" w:sz="0" w:space="0" w:color="auto"/>
        <w:right w:val="none" w:sz="0" w:space="0" w:color="auto"/>
      </w:divBdr>
    </w:div>
    <w:div w:id="553397910">
      <w:marLeft w:val="0"/>
      <w:marRight w:val="0"/>
      <w:marTop w:val="0"/>
      <w:marBottom w:val="0"/>
      <w:divBdr>
        <w:top w:val="none" w:sz="0" w:space="0" w:color="auto"/>
        <w:left w:val="none" w:sz="0" w:space="0" w:color="auto"/>
        <w:bottom w:val="none" w:sz="0" w:space="0" w:color="auto"/>
        <w:right w:val="none" w:sz="0" w:space="0" w:color="auto"/>
      </w:divBdr>
    </w:div>
    <w:div w:id="553856397">
      <w:marLeft w:val="0"/>
      <w:marRight w:val="0"/>
      <w:marTop w:val="0"/>
      <w:marBottom w:val="0"/>
      <w:divBdr>
        <w:top w:val="none" w:sz="0" w:space="0" w:color="auto"/>
        <w:left w:val="none" w:sz="0" w:space="0" w:color="auto"/>
        <w:bottom w:val="none" w:sz="0" w:space="0" w:color="auto"/>
        <w:right w:val="none" w:sz="0" w:space="0" w:color="auto"/>
      </w:divBdr>
      <w:divsChild>
        <w:div w:id="1700357621">
          <w:marLeft w:val="0"/>
          <w:marRight w:val="0"/>
          <w:marTop w:val="0"/>
          <w:marBottom w:val="0"/>
          <w:divBdr>
            <w:top w:val="none" w:sz="0" w:space="0" w:color="auto"/>
            <w:left w:val="none" w:sz="0" w:space="0" w:color="auto"/>
            <w:bottom w:val="none" w:sz="0" w:space="0" w:color="auto"/>
            <w:right w:val="none" w:sz="0" w:space="0" w:color="auto"/>
          </w:divBdr>
        </w:div>
      </w:divsChild>
    </w:div>
    <w:div w:id="555894541">
      <w:marLeft w:val="0"/>
      <w:marRight w:val="0"/>
      <w:marTop w:val="0"/>
      <w:marBottom w:val="0"/>
      <w:divBdr>
        <w:top w:val="none" w:sz="0" w:space="0" w:color="auto"/>
        <w:left w:val="none" w:sz="0" w:space="0" w:color="auto"/>
        <w:bottom w:val="none" w:sz="0" w:space="0" w:color="auto"/>
        <w:right w:val="none" w:sz="0" w:space="0" w:color="auto"/>
      </w:divBdr>
    </w:div>
    <w:div w:id="556431858">
      <w:marLeft w:val="0"/>
      <w:marRight w:val="0"/>
      <w:marTop w:val="0"/>
      <w:marBottom w:val="0"/>
      <w:divBdr>
        <w:top w:val="none" w:sz="0" w:space="0" w:color="auto"/>
        <w:left w:val="none" w:sz="0" w:space="0" w:color="auto"/>
        <w:bottom w:val="none" w:sz="0" w:space="0" w:color="auto"/>
        <w:right w:val="none" w:sz="0" w:space="0" w:color="auto"/>
      </w:divBdr>
    </w:div>
    <w:div w:id="560671765">
      <w:marLeft w:val="0"/>
      <w:marRight w:val="0"/>
      <w:marTop w:val="0"/>
      <w:marBottom w:val="0"/>
      <w:divBdr>
        <w:top w:val="none" w:sz="0" w:space="0" w:color="auto"/>
        <w:left w:val="none" w:sz="0" w:space="0" w:color="auto"/>
        <w:bottom w:val="none" w:sz="0" w:space="0" w:color="auto"/>
        <w:right w:val="none" w:sz="0" w:space="0" w:color="auto"/>
      </w:divBdr>
      <w:divsChild>
        <w:div w:id="1082601573">
          <w:marLeft w:val="0"/>
          <w:marRight w:val="0"/>
          <w:marTop w:val="0"/>
          <w:marBottom w:val="0"/>
          <w:divBdr>
            <w:top w:val="none" w:sz="0" w:space="0" w:color="auto"/>
            <w:left w:val="none" w:sz="0" w:space="0" w:color="auto"/>
            <w:bottom w:val="none" w:sz="0" w:space="0" w:color="auto"/>
            <w:right w:val="none" w:sz="0" w:space="0" w:color="auto"/>
          </w:divBdr>
        </w:div>
      </w:divsChild>
    </w:div>
    <w:div w:id="560947768">
      <w:marLeft w:val="0"/>
      <w:marRight w:val="0"/>
      <w:marTop w:val="0"/>
      <w:marBottom w:val="0"/>
      <w:divBdr>
        <w:top w:val="none" w:sz="0" w:space="0" w:color="auto"/>
        <w:left w:val="none" w:sz="0" w:space="0" w:color="auto"/>
        <w:bottom w:val="none" w:sz="0" w:space="0" w:color="auto"/>
        <w:right w:val="none" w:sz="0" w:space="0" w:color="auto"/>
      </w:divBdr>
    </w:div>
    <w:div w:id="561253529">
      <w:marLeft w:val="0"/>
      <w:marRight w:val="0"/>
      <w:marTop w:val="0"/>
      <w:marBottom w:val="0"/>
      <w:divBdr>
        <w:top w:val="none" w:sz="0" w:space="0" w:color="auto"/>
        <w:left w:val="none" w:sz="0" w:space="0" w:color="auto"/>
        <w:bottom w:val="none" w:sz="0" w:space="0" w:color="auto"/>
        <w:right w:val="none" w:sz="0" w:space="0" w:color="auto"/>
      </w:divBdr>
    </w:div>
    <w:div w:id="562067104">
      <w:marLeft w:val="0"/>
      <w:marRight w:val="0"/>
      <w:marTop w:val="0"/>
      <w:marBottom w:val="0"/>
      <w:divBdr>
        <w:top w:val="none" w:sz="0" w:space="0" w:color="auto"/>
        <w:left w:val="none" w:sz="0" w:space="0" w:color="auto"/>
        <w:bottom w:val="none" w:sz="0" w:space="0" w:color="auto"/>
        <w:right w:val="none" w:sz="0" w:space="0" w:color="auto"/>
      </w:divBdr>
    </w:div>
    <w:div w:id="568925014">
      <w:marLeft w:val="0"/>
      <w:marRight w:val="0"/>
      <w:marTop w:val="0"/>
      <w:marBottom w:val="0"/>
      <w:divBdr>
        <w:top w:val="none" w:sz="0" w:space="0" w:color="auto"/>
        <w:left w:val="none" w:sz="0" w:space="0" w:color="auto"/>
        <w:bottom w:val="none" w:sz="0" w:space="0" w:color="auto"/>
        <w:right w:val="none" w:sz="0" w:space="0" w:color="auto"/>
      </w:divBdr>
    </w:div>
    <w:div w:id="571351727">
      <w:marLeft w:val="0"/>
      <w:marRight w:val="0"/>
      <w:marTop w:val="0"/>
      <w:marBottom w:val="0"/>
      <w:divBdr>
        <w:top w:val="none" w:sz="0" w:space="0" w:color="auto"/>
        <w:left w:val="none" w:sz="0" w:space="0" w:color="auto"/>
        <w:bottom w:val="none" w:sz="0" w:space="0" w:color="auto"/>
        <w:right w:val="none" w:sz="0" w:space="0" w:color="auto"/>
      </w:divBdr>
    </w:div>
    <w:div w:id="572085632">
      <w:marLeft w:val="0"/>
      <w:marRight w:val="0"/>
      <w:marTop w:val="0"/>
      <w:marBottom w:val="0"/>
      <w:divBdr>
        <w:top w:val="none" w:sz="0" w:space="0" w:color="auto"/>
        <w:left w:val="none" w:sz="0" w:space="0" w:color="auto"/>
        <w:bottom w:val="none" w:sz="0" w:space="0" w:color="auto"/>
        <w:right w:val="none" w:sz="0" w:space="0" w:color="auto"/>
      </w:divBdr>
    </w:div>
    <w:div w:id="572391871">
      <w:marLeft w:val="0"/>
      <w:marRight w:val="0"/>
      <w:marTop w:val="0"/>
      <w:marBottom w:val="0"/>
      <w:divBdr>
        <w:top w:val="none" w:sz="0" w:space="0" w:color="auto"/>
        <w:left w:val="none" w:sz="0" w:space="0" w:color="auto"/>
        <w:bottom w:val="none" w:sz="0" w:space="0" w:color="auto"/>
        <w:right w:val="none" w:sz="0" w:space="0" w:color="auto"/>
      </w:divBdr>
    </w:div>
    <w:div w:id="572668493">
      <w:marLeft w:val="0"/>
      <w:marRight w:val="0"/>
      <w:marTop w:val="0"/>
      <w:marBottom w:val="0"/>
      <w:divBdr>
        <w:top w:val="none" w:sz="0" w:space="0" w:color="auto"/>
        <w:left w:val="none" w:sz="0" w:space="0" w:color="auto"/>
        <w:bottom w:val="none" w:sz="0" w:space="0" w:color="auto"/>
        <w:right w:val="none" w:sz="0" w:space="0" w:color="auto"/>
      </w:divBdr>
    </w:div>
    <w:div w:id="576284030">
      <w:marLeft w:val="0"/>
      <w:marRight w:val="0"/>
      <w:marTop w:val="0"/>
      <w:marBottom w:val="0"/>
      <w:divBdr>
        <w:top w:val="none" w:sz="0" w:space="0" w:color="auto"/>
        <w:left w:val="none" w:sz="0" w:space="0" w:color="auto"/>
        <w:bottom w:val="none" w:sz="0" w:space="0" w:color="auto"/>
        <w:right w:val="none" w:sz="0" w:space="0" w:color="auto"/>
      </w:divBdr>
    </w:div>
    <w:div w:id="577061163">
      <w:marLeft w:val="0"/>
      <w:marRight w:val="0"/>
      <w:marTop w:val="0"/>
      <w:marBottom w:val="0"/>
      <w:divBdr>
        <w:top w:val="none" w:sz="0" w:space="0" w:color="auto"/>
        <w:left w:val="none" w:sz="0" w:space="0" w:color="auto"/>
        <w:bottom w:val="none" w:sz="0" w:space="0" w:color="auto"/>
        <w:right w:val="none" w:sz="0" w:space="0" w:color="auto"/>
      </w:divBdr>
    </w:div>
    <w:div w:id="577787012">
      <w:marLeft w:val="0"/>
      <w:marRight w:val="0"/>
      <w:marTop w:val="0"/>
      <w:marBottom w:val="0"/>
      <w:divBdr>
        <w:top w:val="none" w:sz="0" w:space="0" w:color="auto"/>
        <w:left w:val="none" w:sz="0" w:space="0" w:color="auto"/>
        <w:bottom w:val="none" w:sz="0" w:space="0" w:color="auto"/>
        <w:right w:val="none" w:sz="0" w:space="0" w:color="auto"/>
      </w:divBdr>
    </w:div>
    <w:div w:id="578059180">
      <w:marLeft w:val="0"/>
      <w:marRight w:val="0"/>
      <w:marTop w:val="0"/>
      <w:marBottom w:val="0"/>
      <w:divBdr>
        <w:top w:val="none" w:sz="0" w:space="0" w:color="auto"/>
        <w:left w:val="none" w:sz="0" w:space="0" w:color="auto"/>
        <w:bottom w:val="none" w:sz="0" w:space="0" w:color="auto"/>
        <w:right w:val="none" w:sz="0" w:space="0" w:color="auto"/>
      </w:divBdr>
    </w:div>
    <w:div w:id="579027106">
      <w:marLeft w:val="0"/>
      <w:marRight w:val="0"/>
      <w:marTop w:val="0"/>
      <w:marBottom w:val="0"/>
      <w:divBdr>
        <w:top w:val="none" w:sz="0" w:space="0" w:color="auto"/>
        <w:left w:val="none" w:sz="0" w:space="0" w:color="auto"/>
        <w:bottom w:val="none" w:sz="0" w:space="0" w:color="auto"/>
        <w:right w:val="none" w:sz="0" w:space="0" w:color="auto"/>
      </w:divBdr>
      <w:divsChild>
        <w:div w:id="1782919189">
          <w:marLeft w:val="0"/>
          <w:marRight w:val="0"/>
          <w:marTop w:val="0"/>
          <w:marBottom w:val="0"/>
          <w:divBdr>
            <w:top w:val="none" w:sz="0" w:space="0" w:color="auto"/>
            <w:left w:val="none" w:sz="0" w:space="0" w:color="auto"/>
            <w:bottom w:val="none" w:sz="0" w:space="0" w:color="auto"/>
            <w:right w:val="none" w:sz="0" w:space="0" w:color="auto"/>
          </w:divBdr>
        </w:div>
        <w:div w:id="903100703">
          <w:marLeft w:val="0"/>
          <w:marRight w:val="0"/>
          <w:marTop w:val="0"/>
          <w:marBottom w:val="0"/>
          <w:divBdr>
            <w:top w:val="none" w:sz="0" w:space="0" w:color="auto"/>
            <w:left w:val="none" w:sz="0" w:space="0" w:color="auto"/>
            <w:bottom w:val="none" w:sz="0" w:space="0" w:color="auto"/>
            <w:right w:val="none" w:sz="0" w:space="0" w:color="auto"/>
          </w:divBdr>
        </w:div>
        <w:div w:id="9795061">
          <w:marLeft w:val="0"/>
          <w:marRight w:val="0"/>
          <w:marTop w:val="0"/>
          <w:marBottom w:val="0"/>
          <w:divBdr>
            <w:top w:val="none" w:sz="0" w:space="0" w:color="auto"/>
            <w:left w:val="none" w:sz="0" w:space="0" w:color="auto"/>
            <w:bottom w:val="none" w:sz="0" w:space="0" w:color="auto"/>
            <w:right w:val="none" w:sz="0" w:space="0" w:color="auto"/>
          </w:divBdr>
        </w:div>
        <w:div w:id="1513375120">
          <w:marLeft w:val="0"/>
          <w:marRight w:val="0"/>
          <w:marTop w:val="0"/>
          <w:marBottom w:val="0"/>
          <w:divBdr>
            <w:top w:val="none" w:sz="0" w:space="0" w:color="auto"/>
            <w:left w:val="none" w:sz="0" w:space="0" w:color="auto"/>
            <w:bottom w:val="none" w:sz="0" w:space="0" w:color="auto"/>
            <w:right w:val="none" w:sz="0" w:space="0" w:color="auto"/>
          </w:divBdr>
        </w:div>
        <w:div w:id="1182091460">
          <w:marLeft w:val="0"/>
          <w:marRight w:val="0"/>
          <w:marTop w:val="0"/>
          <w:marBottom w:val="0"/>
          <w:divBdr>
            <w:top w:val="none" w:sz="0" w:space="0" w:color="auto"/>
            <w:left w:val="none" w:sz="0" w:space="0" w:color="auto"/>
            <w:bottom w:val="none" w:sz="0" w:space="0" w:color="auto"/>
            <w:right w:val="none" w:sz="0" w:space="0" w:color="auto"/>
          </w:divBdr>
        </w:div>
        <w:div w:id="704137409">
          <w:marLeft w:val="0"/>
          <w:marRight w:val="0"/>
          <w:marTop w:val="0"/>
          <w:marBottom w:val="0"/>
          <w:divBdr>
            <w:top w:val="none" w:sz="0" w:space="0" w:color="auto"/>
            <w:left w:val="none" w:sz="0" w:space="0" w:color="auto"/>
            <w:bottom w:val="none" w:sz="0" w:space="0" w:color="auto"/>
            <w:right w:val="none" w:sz="0" w:space="0" w:color="auto"/>
          </w:divBdr>
        </w:div>
      </w:divsChild>
    </w:div>
    <w:div w:id="580914853">
      <w:marLeft w:val="0"/>
      <w:marRight w:val="0"/>
      <w:marTop w:val="0"/>
      <w:marBottom w:val="0"/>
      <w:divBdr>
        <w:top w:val="none" w:sz="0" w:space="0" w:color="auto"/>
        <w:left w:val="none" w:sz="0" w:space="0" w:color="auto"/>
        <w:bottom w:val="none" w:sz="0" w:space="0" w:color="auto"/>
        <w:right w:val="none" w:sz="0" w:space="0" w:color="auto"/>
      </w:divBdr>
    </w:div>
    <w:div w:id="582958842">
      <w:marLeft w:val="0"/>
      <w:marRight w:val="0"/>
      <w:marTop w:val="0"/>
      <w:marBottom w:val="0"/>
      <w:divBdr>
        <w:top w:val="none" w:sz="0" w:space="0" w:color="auto"/>
        <w:left w:val="none" w:sz="0" w:space="0" w:color="auto"/>
        <w:bottom w:val="none" w:sz="0" w:space="0" w:color="auto"/>
        <w:right w:val="none" w:sz="0" w:space="0" w:color="auto"/>
      </w:divBdr>
    </w:div>
    <w:div w:id="583613104">
      <w:marLeft w:val="0"/>
      <w:marRight w:val="0"/>
      <w:marTop w:val="0"/>
      <w:marBottom w:val="0"/>
      <w:divBdr>
        <w:top w:val="none" w:sz="0" w:space="0" w:color="auto"/>
        <w:left w:val="none" w:sz="0" w:space="0" w:color="auto"/>
        <w:bottom w:val="none" w:sz="0" w:space="0" w:color="auto"/>
        <w:right w:val="none" w:sz="0" w:space="0" w:color="auto"/>
      </w:divBdr>
    </w:div>
    <w:div w:id="584536866">
      <w:marLeft w:val="0"/>
      <w:marRight w:val="0"/>
      <w:marTop w:val="0"/>
      <w:marBottom w:val="0"/>
      <w:divBdr>
        <w:top w:val="none" w:sz="0" w:space="0" w:color="auto"/>
        <w:left w:val="none" w:sz="0" w:space="0" w:color="auto"/>
        <w:bottom w:val="none" w:sz="0" w:space="0" w:color="auto"/>
        <w:right w:val="none" w:sz="0" w:space="0" w:color="auto"/>
      </w:divBdr>
    </w:div>
    <w:div w:id="586035769">
      <w:marLeft w:val="0"/>
      <w:marRight w:val="0"/>
      <w:marTop w:val="0"/>
      <w:marBottom w:val="0"/>
      <w:divBdr>
        <w:top w:val="none" w:sz="0" w:space="0" w:color="auto"/>
        <w:left w:val="none" w:sz="0" w:space="0" w:color="auto"/>
        <w:bottom w:val="none" w:sz="0" w:space="0" w:color="auto"/>
        <w:right w:val="none" w:sz="0" w:space="0" w:color="auto"/>
      </w:divBdr>
    </w:div>
    <w:div w:id="587228200">
      <w:marLeft w:val="0"/>
      <w:marRight w:val="0"/>
      <w:marTop w:val="0"/>
      <w:marBottom w:val="0"/>
      <w:divBdr>
        <w:top w:val="none" w:sz="0" w:space="0" w:color="auto"/>
        <w:left w:val="none" w:sz="0" w:space="0" w:color="auto"/>
        <w:bottom w:val="none" w:sz="0" w:space="0" w:color="auto"/>
        <w:right w:val="none" w:sz="0" w:space="0" w:color="auto"/>
      </w:divBdr>
    </w:div>
    <w:div w:id="593979034">
      <w:marLeft w:val="0"/>
      <w:marRight w:val="0"/>
      <w:marTop w:val="0"/>
      <w:marBottom w:val="0"/>
      <w:divBdr>
        <w:top w:val="none" w:sz="0" w:space="0" w:color="auto"/>
        <w:left w:val="none" w:sz="0" w:space="0" w:color="auto"/>
        <w:bottom w:val="none" w:sz="0" w:space="0" w:color="auto"/>
        <w:right w:val="none" w:sz="0" w:space="0" w:color="auto"/>
      </w:divBdr>
    </w:div>
    <w:div w:id="595600860">
      <w:marLeft w:val="0"/>
      <w:marRight w:val="0"/>
      <w:marTop w:val="0"/>
      <w:marBottom w:val="0"/>
      <w:divBdr>
        <w:top w:val="none" w:sz="0" w:space="0" w:color="auto"/>
        <w:left w:val="none" w:sz="0" w:space="0" w:color="auto"/>
        <w:bottom w:val="none" w:sz="0" w:space="0" w:color="auto"/>
        <w:right w:val="none" w:sz="0" w:space="0" w:color="auto"/>
      </w:divBdr>
    </w:div>
    <w:div w:id="599728602">
      <w:marLeft w:val="0"/>
      <w:marRight w:val="0"/>
      <w:marTop w:val="0"/>
      <w:marBottom w:val="0"/>
      <w:divBdr>
        <w:top w:val="none" w:sz="0" w:space="0" w:color="auto"/>
        <w:left w:val="none" w:sz="0" w:space="0" w:color="auto"/>
        <w:bottom w:val="none" w:sz="0" w:space="0" w:color="auto"/>
        <w:right w:val="none" w:sz="0" w:space="0" w:color="auto"/>
      </w:divBdr>
    </w:div>
    <w:div w:id="601567146">
      <w:marLeft w:val="0"/>
      <w:marRight w:val="0"/>
      <w:marTop w:val="0"/>
      <w:marBottom w:val="0"/>
      <w:divBdr>
        <w:top w:val="none" w:sz="0" w:space="0" w:color="auto"/>
        <w:left w:val="none" w:sz="0" w:space="0" w:color="auto"/>
        <w:bottom w:val="none" w:sz="0" w:space="0" w:color="auto"/>
        <w:right w:val="none" w:sz="0" w:space="0" w:color="auto"/>
      </w:divBdr>
    </w:div>
    <w:div w:id="603610751">
      <w:marLeft w:val="0"/>
      <w:marRight w:val="0"/>
      <w:marTop w:val="0"/>
      <w:marBottom w:val="0"/>
      <w:divBdr>
        <w:top w:val="none" w:sz="0" w:space="0" w:color="auto"/>
        <w:left w:val="none" w:sz="0" w:space="0" w:color="auto"/>
        <w:bottom w:val="none" w:sz="0" w:space="0" w:color="auto"/>
        <w:right w:val="none" w:sz="0" w:space="0" w:color="auto"/>
      </w:divBdr>
    </w:div>
    <w:div w:id="605234981">
      <w:marLeft w:val="0"/>
      <w:marRight w:val="0"/>
      <w:marTop w:val="0"/>
      <w:marBottom w:val="0"/>
      <w:divBdr>
        <w:top w:val="none" w:sz="0" w:space="0" w:color="auto"/>
        <w:left w:val="none" w:sz="0" w:space="0" w:color="auto"/>
        <w:bottom w:val="none" w:sz="0" w:space="0" w:color="auto"/>
        <w:right w:val="none" w:sz="0" w:space="0" w:color="auto"/>
      </w:divBdr>
      <w:divsChild>
        <w:div w:id="450129021">
          <w:marLeft w:val="0"/>
          <w:marRight w:val="0"/>
          <w:marTop w:val="0"/>
          <w:marBottom w:val="0"/>
          <w:divBdr>
            <w:top w:val="none" w:sz="0" w:space="0" w:color="auto"/>
            <w:left w:val="none" w:sz="0" w:space="0" w:color="auto"/>
            <w:bottom w:val="none" w:sz="0" w:space="0" w:color="auto"/>
            <w:right w:val="none" w:sz="0" w:space="0" w:color="auto"/>
          </w:divBdr>
        </w:div>
      </w:divsChild>
    </w:div>
    <w:div w:id="605815251">
      <w:marLeft w:val="0"/>
      <w:marRight w:val="0"/>
      <w:marTop w:val="0"/>
      <w:marBottom w:val="0"/>
      <w:divBdr>
        <w:top w:val="none" w:sz="0" w:space="0" w:color="auto"/>
        <w:left w:val="none" w:sz="0" w:space="0" w:color="auto"/>
        <w:bottom w:val="none" w:sz="0" w:space="0" w:color="auto"/>
        <w:right w:val="none" w:sz="0" w:space="0" w:color="auto"/>
      </w:divBdr>
    </w:div>
    <w:div w:id="608582573">
      <w:marLeft w:val="0"/>
      <w:marRight w:val="0"/>
      <w:marTop w:val="0"/>
      <w:marBottom w:val="0"/>
      <w:divBdr>
        <w:top w:val="none" w:sz="0" w:space="0" w:color="auto"/>
        <w:left w:val="none" w:sz="0" w:space="0" w:color="auto"/>
        <w:bottom w:val="none" w:sz="0" w:space="0" w:color="auto"/>
        <w:right w:val="none" w:sz="0" w:space="0" w:color="auto"/>
      </w:divBdr>
    </w:div>
    <w:div w:id="610819636">
      <w:marLeft w:val="0"/>
      <w:marRight w:val="0"/>
      <w:marTop w:val="0"/>
      <w:marBottom w:val="0"/>
      <w:divBdr>
        <w:top w:val="none" w:sz="0" w:space="0" w:color="auto"/>
        <w:left w:val="none" w:sz="0" w:space="0" w:color="auto"/>
        <w:bottom w:val="none" w:sz="0" w:space="0" w:color="auto"/>
        <w:right w:val="none" w:sz="0" w:space="0" w:color="auto"/>
      </w:divBdr>
    </w:div>
    <w:div w:id="611982937">
      <w:marLeft w:val="0"/>
      <w:marRight w:val="0"/>
      <w:marTop w:val="0"/>
      <w:marBottom w:val="0"/>
      <w:divBdr>
        <w:top w:val="none" w:sz="0" w:space="0" w:color="auto"/>
        <w:left w:val="none" w:sz="0" w:space="0" w:color="auto"/>
        <w:bottom w:val="none" w:sz="0" w:space="0" w:color="auto"/>
        <w:right w:val="none" w:sz="0" w:space="0" w:color="auto"/>
      </w:divBdr>
    </w:div>
    <w:div w:id="613439435">
      <w:marLeft w:val="0"/>
      <w:marRight w:val="0"/>
      <w:marTop w:val="0"/>
      <w:marBottom w:val="0"/>
      <w:divBdr>
        <w:top w:val="none" w:sz="0" w:space="0" w:color="auto"/>
        <w:left w:val="none" w:sz="0" w:space="0" w:color="auto"/>
        <w:bottom w:val="none" w:sz="0" w:space="0" w:color="auto"/>
        <w:right w:val="none" w:sz="0" w:space="0" w:color="auto"/>
      </w:divBdr>
    </w:div>
    <w:div w:id="614213701">
      <w:marLeft w:val="0"/>
      <w:marRight w:val="0"/>
      <w:marTop w:val="0"/>
      <w:marBottom w:val="0"/>
      <w:divBdr>
        <w:top w:val="none" w:sz="0" w:space="0" w:color="auto"/>
        <w:left w:val="none" w:sz="0" w:space="0" w:color="auto"/>
        <w:bottom w:val="none" w:sz="0" w:space="0" w:color="auto"/>
        <w:right w:val="none" w:sz="0" w:space="0" w:color="auto"/>
      </w:divBdr>
    </w:div>
    <w:div w:id="618610122">
      <w:marLeft w:val="0"/>
      <w:marRight w:val="0"/>
      <w:marTop w:val="0"/>
      <w:marBottom w:val="0"/>
      <w:divBdr>
        <w:top w:val="none" w:sz="0" w:space="0" w:color="auto"/>
        <w:left w:val="none" w:sz="0" w:space="0" w:color="auto"/>
        <w:bottom w:val="none" w:sz="0" w:space="0" w:color="auto"/>
        <w:right w:val="none" w:sz="0" w:space="0" w:color="auto"/>
      </w:divBdr>
      <w:divsChild>
        <w:div w:id="1227959730">
          <w:marLeft w:val="0"/>
          <w:marRight w:val="0"/>
          <w:marTop w:val="0"/>
          <w:marBottom w:val="0"/>
          <w:divBdr>
            <w:top w:val="none" w:sz="0" w:space="0" w:color="auto"/>
            <w:left w:val="none" w:sz="0" w:space="0" w:color="auto"/>
            <w:bottom w:val="none" w:sz="0" w:space="0" w:color="auto"/>
            <w:right w:val="none" w:sz="0" w:space="0" w:color="auto"/>
          </w:divBdr>
        </w:div>
      </w:divsChild>
    </w:div>
    <w:div w:id="622806856">
      <w:marLeft w:val="0"/>
      <w:marRight w:val="0"/>
      <w:marTop w:val="0"/>
      <w:marBottom w:val="0"/>
      <w:divBdr>
        <w:top w:val="none" w:sz="0" w:space="0" w:color="auto"/>
        <w:left w:val="none" w:sz="0" w:space="0" w:color="auto"/>
        <w:bottom w:val="none" w:sz="0" w:space="0" w:color="auto"/>
        <w:right w:val="none" w:sz="0" w:space="0" w:color="auto"/>
      </w:divBdr>
    </w:div>
    <w:div w:id="623080665">
      <w:marLeft w:val="0"/>
      <w:marRight w:val="0"/>
      <w:marTop w:val="0"/>
      <w:marBottom w:val="0"/>
      <w:divBdr>
        <w:top w:val="none" w:sz="0" w:space="0" w:color="auto"/>
        <w:left w:val="none" w:sz="0" w:space="0" w:color="auto"/>
        <w:bottom w:val="none" w:sz="0" w:space="0" w:color="auto"/>
        <w:right w:val="none" w:sz="0" w:space="0" w:color="auto"/>
      </w:divBdr>
      <w:divsChild>
        <w:div w:id="1472405008">
          <w:marLeft w:val="0"/>
          <w:marRight w:val="0"/>
          <w:marTop w:val="0"/>
          <w:marBottom w:val="0"/>
          <w:divBdr>
            <w:top w:val="none" w:sz="0" w:space="0" w:color="auto"/>
            <w:left w:val="none" w:sz="0" w:space="0" w:color="auto"/>
            <w:bottom w:val="none" w:sz="0" w:space="0" w:color="auto"/>
            <w:right w:val="none" w:sz="0" w:space="0" w:color="auto"/>
          </w:divBdr>
        </w:div>
        <w:div w:id="1781414430">
          <w:marLeft w:val="0"/>
          <w:marRight w:val="0"/>
          <w:marTop w:val="0"/>
          <w:marBottom w:val="0"/>
          <w:divBdr>
            <w:top w:val="none" w:sz="0" w:space="0" w:color="auto"/>
            <w:left w:val="none" w:sz="0" w:space="0" w:color="auto"/>
            <w:bottom w:val="none" w:sz="0" w:space="0" w:color="auto"/>
            <w:right w:val="none" w:sz="0" w:space="0" w:color="auto"/>
          </w:divBdr>
        </w:div>
        <w:div w:id="709915178">
          <w:marLeft w:val="0"/>
          <w:marRight w:val="0"/>
          <w:marTop w:val="0"/>
          <w:marBottom w:val="0"/>
          <w:divBdr>
            <w:top w:val="none" w:sz="0" w:space="0" w:color="auto"/>
            <w:left w:val="none" w:sz="0" w:space="0" w:color="auto"/>
            <w:bottom w:val="none" w:sz="0" w:space="0" w:color="auto"/>
            <w:right w:val="none" w:sz="0" w:space="0" w:color="auto"/>
          </w:divBdr>
        </w:div>
        <w:div w:id="1812476352">
          <w:marLeft w:val="0"/>
          <w:marRight w:val="0"/>
          <w:marTop w:val="0"/>
          <w:marBottom w:val="0"/>
          <w:divBdr>
            <w:top w:val="none" w:sz="0" w:space="0" w:color="auto"/>
            <w:left w:val="none" w:sz="0" w:space="0" w:color="auto"/>
            <w:bottom w:val="none" w:sz="0" w:space="0" w:color="auto"/>
            <w:right w:val="none" w:sz="0" w:space="0" w:color="auto"/>
          </w:divBdr>
        </w:div>
        <w:div w:id="886839004">
          <w:marLeft w:val="0"/>
          <w:marRight w:val="0"/>
          <w:marTop w:val="0"/>
          <w:marBottom w:val="0"/>
          <w:divBdr>
            <w:top w:val="none" w:sz="0" w:space="0" w:color="auto"/>
            <w:left w:val="none" w:sz="0" w:space="0" w:color="auto"/>
            <w:bottom w:val="none" w:sz="0" w:space="0" w:color="auto"/>
            <w:right w:val="none" w:sz="0" w:space="0" w:color="auto"/>
          </w:divBdr>
        </w:div>
        <w:div w:id="319966045">
          <w:marLeft w:val="0"/>
          <w:marRight w:val="0"/>
          <w:marTop w:val="0"/>
          <w:marBottom w:val="0"/>
          <w:divBdr>
            <w:top w:val="none" w:sz="0" w:space="0" w:color="auto"/>
            <w:left w:val="none" w:sz="0" w:space="0" w:color="auto"/>
            <w:bottom w:val="none" w:sz="0" w:space="0" w:color="auto"/>
            <w:right w:val="none" w:sz="0" w:space="0" w:color="auto"/>
          </w:divBdr>
        </w:div>
        <w:div w:id="1385980939">
          <w:marLeft w:val="0"/>
          <w:marRight w:val="0"/>
          <w:marTop w:val="0"/>
          <w:marBottom w:val="0"/>
          <w:divBdr>
            <w:top w:val="none" w:sz="0" w:space="0" w:color="auto"/>
            <w:left w:val="none" w:sz="0" w:space="0" w:color="auto"/>
            <w:bottom w:val="none" w:sz="0" w:space="0" w:color="auto"/>
            <w:right w:val="none" w:sz="0" w:space="0" w:color="auto"/>
          </w:divBdr>
        </w:div>
        <w:div w:id="297299101">
          <w:marLeft w:val="0"/>
          <w:marRight w:val="0"/>
          <w:marTop w:val="0"/>
          <w:marBottom w:val="0"/>
          <w:divBdr>
            <w:top w:val="none" w:sz="0" w:space="0" w:color="auto"/>
            <w:left w:val="none" w:sz="0" w:space="0" w:color="auto"/>
            <w:bottom w:val="none" w:sz="0" w:space="0" w:color="auto"/>
            <w:right w:val="none" w:sz="0" w:space="0" w:color="auto"/>
          </w:divBdr>
        </w:div>
        <w:div w:id="1812480852">
          <w:marLeft w:val="0"/>
          <w:marRight w:val="0"/>
          <w:marTop w:val="0"/>
          <w:marBottom w:val="0"/>
          <w:divBdr>
            <w:top w:val="none" w:sz="0" w:space="0" w:color="auto"/>
            <w:left w:val="none" w:sz="0" w:space="0" w:color="auto"/>
            <w:bottom w:val="none" w:sz="0" w:space="0" w:color="auto"/>
            <w:right w:val="none" w:sz="0" w:space="0" w:color="auto"/>
          </w:divBdr>
        </w:div>
        <w:div w:id="130053050">
          <w:marLeft w:val="0"/>
          <w:marRight w:val="0"/>
          <w:marTop w:val="0"/>
          <w:marBottom w:val="0"/>
          <w:divBdr>
            <w:top w:val="none" w:sz="0" w:space="0" w:color="auto"/>
            <w:left w:val="none" w:sz="0" w:space="0" w:color="auto"/>
            <w:bottom w:val="none" w:sz="0" w:space="0" w:color="auto"/>
            <w:right w:val="none" w:sz="0" w:space="0" w:color="auto"/>
          </w:divBdr>
        </w:div>
        <w:div w:id="1576629371">
          <w:marLeft w:val="0"/>
          <w:marRight w:val="0"/>
          <w:marTop w:val="0"/>
          <w:marBottom w:val="0"/>
          <w:divBdr>
            <w:top w:val="none" w:sz="0" w:space="0" w:color="auto"/>
            <w:left w:val="none" w:sz="0" w:space="0" w:color="auto"/>
            <w:bottom w:val="none" w:sz="0" w:space="0" w:color="auto"/>
            <w:right w:val="none" w:sz="0" w:space="0" w:color="auto"/>
          </w:divBdr>
        </w:div>
      </w:divsChild>
    </w:div>
    <w:div w:id="624240073">
      <w:marLeft w:val="0"/>
      <w:marRight w:val="0"/>
      <w:marTop w:val="0"/>
      <w:marBottom w:val="0"/>
      <w:divBdr>
        <w:top w:val="none" w:sz="0" w:space="0" w:color="auto"/>
        <w:left w:val="none" w:sz="0" w:space="0" w:color="auto"/>
        <w:bottom w:val="none" w:sz="0" w:space="0" w:color="auto"/>
        <w:right w:val="none" w:sz="0" w:space="0" w:color="auto"/>
      </w:divBdr>
    </w:div>
    <w:div w:id="626200419">
      <w:marLeft w:val="0"/>
      <w:marRight w:val="0"/>
      <w:marTop w:val="0"/>
      <w:marBottom w:val="0"/>
      <w:divBdr>
        <w:top w:val="none" w:sz="0" w:space="0" w:color="auto"/>
        <w:left w:val="none" w:sz="0" w:space="0" w:color="auto"/>
        <w:bottom w:val="none" w:sz="0" w:space="0" w:color="auto"/>
        <w:right w:val="none" w:sz="0" w:space="0" w:color="auto"/>
      </w:divBdr>
    </w:div>
    <w:div w:id="627204127">
      <w:marLeft w:val="0"/>
      <w:marRight w:val="0"/>
      <w:marTop w:val="0"/>
      <w:marBottom w:val="0"/>
      <w:divBdr>
        <w:top w:val="none" w:sz="0" w:space="0" w:color="auto"/>
        <w:left w:val="none" w:sz="0" w:space="0" w:color="auto"/>
        <w:bottom w:val="none" w:sz="0" w:space="0" w:color="auto"/>
        <w:right w:val="none" w:sz="0" w:space="0" w:color="auto"/>
      </w:divBdr>
    </w:div>
    <w:div w:id="629359573">
      <w:marLeft w:val="0"/>
      <w:marRight w:val="0"/>
      <w:marTop w:val="0"/>
      <w:marBottom w:val="0"/>
      <w:divBdr>
        <w:top w:val="none" w:sz="0" w:space="0" w:color="auto"/>
        <w:left w:val="none" w:sz="0" w:space="0" w:color="auto"/>
        <w:bottom w:val="none" w:sz="0" w:space="0" w:color="auto"/>
        <w:right w:val="none" w:sz="0" w:space="0" w:color="auto"/>
      </w:divBdr>
      <w:divsChild>
        <w:div w:id="763647006">
          <w:marLeft w:val="0"/>
          <w:marRight w:val="0"/>
          <w:marTop w:val="0"/>
          <w:marBottom w:val="0"/>
          <w:divBdr>
            <w:top w:val="none" w:sz="0" w:space="0" w:color="auto"/>
            <w:left w:val="none" w:sz="0" w:space="0" w:color="auto"/>
            <w:bottom w:val="none" w:sz="0" w:space="0" w:color="auto"/>
            <w:right w:val="none" w:sz="0" w:space="0" w:color="auto"/>
          </w:divBdr>
        </w:div>
      </w:divsChild>
    </w:div>
    <w:div w:id="630403815">
      <w:marLeft w:val="0"/>
      <w:marRight w:val="0"/>
      <w:marTop w:val="0"/>
      <w:marBottom w:val="0"/>
      <w:divBdr>
        <w:top w:val="none" w:sz="0" w:space="0" w:color="auto"/>
        <w:left w:val="none" w:sz="0" w:space="0" w:color="auto"/>
        <w:bottom w:val="none" w:sz="0" w:space="0" w:color="auto"/>
        <w:right w:val="none" w:sz="0" w:space="0" w:color="auto"/>
      </w:divBdr>
    </w:div>
    <w:div w:id="631596749">
      <w:marLeft w:val="0"/>
      <w:marRight w:val="0"/>
      <w:marTop w:val="0"/>
      <w:marBottom w:val="0"/>
      <w:divBdr>
        <w:top w:val="none" w:sz="0" w:space="0" w:color="auto"/>
        <w:left w:val="none" w:sz="0" w:space="0" w:color="auto"/>
        <w:bottom w:val="none" w:sz="0" w:space="0" w:color="auto"/>
        <w:right w:val="none" w:sz="0" w:space="0" w:color="auto"/>
      </w:divBdr>
    </w:div>
    <w:div w:id="631712545">
      <w:marLeft w:val="0"/>
      <w:marRight w:val="0"/>
      <w:marTop w:val="0"/>
      <w:marBottom w:val="0"/>
      <w:divBdr>
        <w:top w:val="none" w:sz="0" w:space="0" w:color="auto"/>
        <w:left w:val="none" w:sz="0" w:space="0" w:color="auto"/>
        <w:bottom w:val="none" w:sz="0" w:space="0" w:color="auto"/>
        <w:right w:val="none" w:sz="0" w:space="0" w:color="auto"/>
      </w:divBdr>
    </w:div>
    <w:div w:id="634263069">
      <w:marLeft w:val="0"/>
      <w:marRight w:val="0"/>
      <w:marTop w:val="0"/>
      <w:marBottom w:val="0"/>
      <w:divBdr>
        <w:top w:val="none" w:sz="0" w:space="0" w:color="auto"/>
        <w:left w:val="none" w:sz="0" w:space="0" w:color="auto"/>
        <w:bottom w:val="none" w:sz="0" w:space="0" w:color="auto"/>
        <w:right w:val="none" w:sz="0" w:space="0" w:color="auto"/>
      </w:divBdr>
    </w:div>
    <w:div w:id="635838670">
      <w:marLeft w:val="0"/>
      <w:marRight w:val="0"/>
      <w:marTop w:val="0"/>
      <w:marBottom w:val="0"/>
      <w:divBdr>
        <w:top w:val="none" w:sz="0" w:space="0" w:color="auto"/>
        <w:left w:val="none" w:sz="0" w:space="0" w:color="auto"/>
        <w:bottom w:val="none" w:sz="0" w:space="0" w:color="auto"/>
        <w:right w:val="none" w:sz="0" w:space="0" w:color="auto"/>
      </w:divBdr>
    </w:div>
    <w:div w:id="638001741">
      <w:marLeft w:val="0"/>
      <w:marRight w:val="0"/>
      <w:marTop w:val="0"/>
      <w:marBottom w:val="0"/>
      <w:divBdr>
        <w:top w:val="none" w:sz="0" w:space="0" w:color="auto"/>
        <w:left w:val="none" w:sz="0" w:space="0" w:color="auto"/>
        <w:bottom w:val="none" w:sz="0" w:space="0" w:color="auto"/>
        <w:right w:val="none" w:sz="0" w:space="0" w:color="auto"/>
      </w:divBdr>
    </w:div>
    <w:div w:id="640421904">
      <w:marLeft w:val="0"/>
      <w:marRight w:val="0"/>
      <w:marTop w:val="0"/>
      <w:marBottom w:val="0"/>
      <w:divBdr>
        <w:top w:val="none" w:sz="0" w:space="0" w:color="auto"/>
        <w:left w:val="none" w:sz="0" w:space="0" w:color="auto"/>
        <w:bottom w:val="none" w:sz="0" w:space="0" w:color="auto"/>
        <w:right w:val="none" w:sz="0" w:space="0" w:color="auto"/>
      </w:divBdr>
      <w:divsChild>
        <w:div w:id="1041128228">
          <w:marLeft w:val="0"/>
          <w:marRight w:val="0"/>
          <w:marTop w:val="0"/>
          <w:marBottom w:val="0"/>
          <w:divBdr>
            <w:top w:val="none" w:sz="0" w:space="0" w:color="auto"/>
            <w:left w:val="none" w:sz="0" w:space="0" w:color="auto"/>
            <w:bottom w:val="none" w:sz="0" w:space="0" w:color="auto"/>
            <w:right w:val="none" w:sz="0" w:space="0" w:color="auto"/>
          </w:divBdr>
        </w:div>
      </w:divsChild>
    </w:div>
    <w:div w:id="640840370">
      <w:marLeft w:val="0"/>
      <w:marRight w:val="0"/>
      <w:marTop w:val="0"/>
      <w:marBottom w:val="0"/>
      <w:divBdr>
        <w:top w:val="none" w:sz="0" w:space="0" w:color="auto"/>
        <w:left w:val="none" w:sz="0" w:space="0" w:color="auto"/>
        <w:bottom w:val="none" w:sz="0" w:space="0" w:color="auto"/>
        <w:right w:val="none" w:sz="0" w:space="0" w:color="auto"/>
      </w:divBdr>
    </w:div>
    <w:div w:id="641161059">
      <w:marLeft w:val="0"/>
      <w:marRight w:val="0"/>
      <w:marTop w:val="0"/>
      <w:marBottom w:val="0"/>
      <w:divBdr>
        <w:top w:val="none" w:sz="0" w:space="0" w:color="auto"/>
        <w:left w:val="none" w:sz="0" w:space="0" w:color="auto"/>
        <w:bottom w:val="none" w:sz="0" w:space="0" w:color="auto"/>
        <w:right w:val="none" w:sz="0" w:space="0" w:color="auto"/>
      </w:divBdr>
    </w:div>
    <w:div w:id="641739661">
      <w:marLeft w:val="0"/>
      <w:marRight w:val="0"/>
      <w:marTop w:val="0"/>
      <w:marBottom w:val="0"/>
      <w:divBdr>
        <w:top w:val="none" w:sz="0" w:space="0" w:color="auto"/>
        <w:left w:val="none" w:sz="0" w:space="0" w:color="auto"/>
        <w:bottom w:val="none" w:sz="0" w:space="0" w:color="auto"/>
        <w:right w:val="none" w:sz="0" w:space="0" w:color="auto"/>
      </w:divBdr>
    </w:div>
    <w:div w:id="645010497">
      <w:marLeft w:val="0"/>
      <w:marRight w:val="0"/>
      <w:marTop w:val="0"/>
      <w:marBottom w:val="0"/>
      <w:divBdr>
        <w:top w:val="none" w:sz="0" w:space="0" w:color="auto"/>
        <w:left w:val="none" w:sz="0" w:space="0" w:color="auto"/>
        <w:bottom w:val="none" w:sz="0" w:space="0" w:color="auto"/>
        <w:right w:val="none" w:sz="0" w:space="0" w:color="auto"/>
      </w:divBdr>
    </w:div>
    <w:div w:id="645010520">
      <w:marLeft w:val="0"/>
      <w:marRight w:val="0"/>
      <w:marTop w:val="0"/>
      <w:marBottom w:val="0"/>
      <w:divBdr>
        <w:top w:val="none" w:sz="0" w:space="0" w:color="auto"/>
        <w:left w:val="none" w:sz="0" w:space="0" w:color="auto"/>
        <w:bottom w:val="none" w:sz="0" w:space="0" w:color="auto"/>
        <w:right w:val="none" w:sz="0" w:space="0" w:color="auto"/>
      </w:divBdr>
    </w:div>
    <w:div w:id="648166267">
      <w:marLeft w:val="0"/>
      <w:marRight w:val="0"/>
      <w:marTop w:val="0"/>
      <w:marBottom w:val="0"/>
      <w:divBdr>
        <w:top w:val="none" w:sz="0" w:space="0" w:color="auto"/>
        <w:left w:val="none" w:sz="0" w:space="0" w:color="auto"/>
        <w:bottom w:val="none" w:sz="0" w:space="0" w:color="auto"/>
        <w:right w:val="none" w:sz="0" w:space="0" w:color="auto"/>
      </w:divBdr>
    </w:div>
    <w:div w:id="651061302">
      <w:marLeft w:val="0"/>
      <w:marRight w:val="0"/>
      <w:marTop w:val="0"/>
      <w:marBottom w:val="0"/>
      <w:divBdr>
        <w:top w:val="none" w:sz="0" w:space="0" w:color="auto"/>
        <w:left w:val="none" w:sz="0" w:space="0" w:color="auto"/>
        <w:bottom w:val="none" w:sz="0" w:space="0" w:color="auto"/>
        <w:right w:val="none" w:sz="0" w:space="0" w:color="auto"/>
      </w:divBdr>
    </w:div>
    <w:div w:id="651904758">
      <w:marLeft w:val="0"/>
      <w:marRight w:val="0"/>
      <w:marTop w:val="0"/>
      <w:marBottom w:val="0"/>
      <w:divBdr>
        <w:top w:val="none" w:sz="0" w:space="0" w:color="auto"/>
        <w:left w:val="none" w:sz="0" w:space="0" w:color="auto"/>
        <w:bottom w:val="none" w:sz="0" w:space="0" w:color="auto"/>
        <w:right w:val="none" w:sz="0" w:space="0" w:color="auto"/>
      </w:divBdr>
    </w:div>
    <w:div w:id="653685590">
      <w:marLeft w:val="0"/>
      <w:marRight w:val="0"/>
      <w:marTop w:val="0"/>
      <w:marBottom w:val="0"/>
      <w:divBdr>
        <w:top w:val="none" w:sz="0" w:space="0" w:color="auto"/>
        <w:left w:val="none" w:sz="0" w:space="0" w:color="auto"/>
        <w:bottom w:val="none" w:sz="0" w:space="0" w:color="auto"/>
        <w:right w:val="none" w:sz="0" w:space="0" w:color="auto"/>
      </w:divBdr>
    </w:div>
    <w:div w:id="654261190">
      <w:marLeft w:val="0"/>
      <w:marRight w:val="0"/>
      <w:marTop w:val="0"/>
      <w:marBottom w:val="0"/>
      <w:divBdr>
        <w:top w:val="none" w:sz="0" w:space="0" w:color="auto"/>
        <w:left w:val="none" w:sz="0" w:space="0" w:color="auto"/>
        <w:bottom w:val="none" w:sz="0" w:space="0" w:color="auto"/>
        <w:right w:val="none" w:sz="0" w:space="0" w:color="auto"/>
      </w:divBdr>
    </w:div>
    <w:div w:id="655229693">
      <w:marLeft w:val="0"/>
      <w:marRight w:val="0"/>
      <w:marTop w:val="0"/>
      <w:marBottom w:val="0"/>
      <w:divBdr>
        <w:top w:val="none" w:sz="0" w:space="0" w:color="auto"/>
        <w:left w:val="none" w:sz="0" w:space="0" w:color="auto"/>
        <w:bottom w:val="none" w:sz="0" w:space="0" w:color="auto"/>
        <w:right w:val="none" w:sz="0" w:space="0" w:color="auto"/>
      </w:divBdr>
    </w:div>
    <w:div w:id="656687687">
      <w:marLeft w:val="0"/>
      <w:marRight w:val="0"/>
      <w:marTop w:val="0"/>
      <w:marBottom w:val="0"/>
      <w:divBdr>
        <w:top w:val="none" w:sz="0" w:space="0" w:color="auto"/>
        <w:left w:val="none" w:sz="0" w:space="0" w:color="auto"/>
        <w:bottom w:val="none" w:sz="0" w:space="0" w:color="auto"/>
        <w:right w:val="none" w:sz="0" w:space="0" w:color="auto"/>
      </w:divBdr>
      <w:divsChild>
        <w:div w:id="265119572">
          <w:marLeft w:val="0"/>
          <w:marRight w:val="0"/>
          <w:marTop w:val="0"/>
          <w:marBottom w:val="0"/>
          <w:divBdr>
            <w:top w:val="none" w:sz="0" w:space="0" w:color="auto"/>
            <w:left w:val="none" w:sz="0" w:space="0" w:color="auto"/>
            <w:bottom w:val="none" w:sz="0" w:space="0" w:color="auto"/>
            <w:right w:val="none" w:sz="0" w:space="0" w:color="auto"/>
          </w:divBdr>
        </w:div>
      </w:divsChild>
    </w:div>
    <w:div w:id="656807983">
      <w:marLeft w:val="0"/>
      <w:marRight w:val="0"/>
      <w:marTop w:val="0"/>
      <w:marBottom w:val="0"/>
      <w:divBdr>
        <w:top w:val="none" w:sz="0" w:space="0" w:color="auto"/>
        <w:left w:val="none" w:sz="0" w:space="0" w:color="auto"/>
        <w:bottom w:val="none" w:sz="0" w:space="0" w:color="auto"/>
        <w:right w:val="none" w:sz="0" w:space="0" w:color="auto"/>
      </w:divBdr>
    </w:div>
    <w:div w:id="656955283">
      <w:marLeft w:val="0"/>
      <w:marRight w:val="0"/>
      <w:marTop w:val="0"/>
      <w:marBottom w:val="0"/>
      <w:divBdr>
        <w:top w:val="none" w:sz="0" w:space="0" w:color="auto"/>
        <w:left w:val="none" w:sz="0" w:space="0" w:color="auto"/>
        <w:bottom w:val="none" w:sz="0" w:space="0" w:color="auto"/>
        <w:right w:val="none" w:sz="0" w:space="0" w:color="auto"/>
      </w:divBdr>
    </w:div>
    <w:div w:id="661199778">
      <w:marLeft w:val="0"/>
      <w:marRight w:val="0"/>
      <w:marTop w:val="0"/>
      <w:marBottom w:val="0"/>
      <w:divBdr>
        <w:top w:val="none" w:sz="0" w:space="0" w:color="auto"/>
        <w:left w:val="none" w:sz="0" w:space="0" w:color="auto"/>
        <w:bottom w:val="none" w:sz="0" w:space="0" w:color="auto"/>
        <w:right w:val="none" w:sz="0" w:space="0" w:color="auto"/>
      </w:divBdr>
    </w:div>
    <w:div w:id="667906019">
      <w:marLeft w:val="0"/>
      <w:marRight w:val="0"/>
      <w:marTop w:val="0"/>
      <w:marBottom w:val="0"/>
      <w:divBdr>
        <w:top w:val="none" w:sz="0" w:space="0" w:color="auto"/>
        <w:left w:val="none" w:sz="0" w:space="0" w:color="auto"/>
        <w:bottom w:val="none" w:sz="0" w:space="0" w:color="auto"/>
        <w:right w:val="none" w:sz="0" w:space="0" w:color="auto"/>
      </w:divBdr>
    </w:div>
    <w:div w:id="668946527">
      <w:marLeft w:val="0"/>
      <w:marRight w:val="0"/>
      <w:marTop w:val="0"/>
      <w:marBottom w:val="0"/>
      <w:divBdr>
        <w:top w:val="none" w:sz="0" w:space="0" w:color="auto"/>
        <w:left w:val="none" w:sz="0" w:space="0" w:color="auto"/>
        <w:bottom w:val="none" w:sz="0" w:space="0" w:color="auto"/>
        <w:right w:val="none" w:sz="0" w:space="0" w:color="auto"/>
      </w:divBdr>
    </w:div>
    <w:div w:id="670064904">
      <w:marLeft w:val="0"/>
      <w:marRight w:val="0"/>
      <w:marTop w:val="0"/>
      <w:marBottom w:val="0"/>
      <w:divBdr>
        <w:top w:val="none" w:sz="0" w:space="0" w:color="auto"/>
        <w:left w:val="none" w:sz="0" w:space="0" w:color="auto"/>
        <w:bottom w:val="none" w:sz="0" w:space="0" w:color="auto"/>
        <w:right w:val="none" w:sz="0" w:space="0" w:color="auto"/>
      </w:divBdr>
      <w:divsChild>
        <w:div w:id="1730181049">
          <w:marLeft w:val="0"/>
          <w:marRight w:val="0"/>
          <w:marTop w:val="0"/>
          <w:marBottom w:val="0"/>
          <w:divBdr>
            <w:top w:val="none" w:sz="0" w:space="0" w:color="auto"/>
            <w:left w:val="none" w:sz="0" w:space="0" w:color="auto"/>
            <w:bottom w:val="none" w:sz="0" w:space="0" w:color="auto"/>
            <w:right w:val="none" w:sz="0" w:space="0" w:color="auto"/>
          </w:divBdr>
        </w:div>
      </w:divsChild>
    </w:div>
    <w:div w:id="672149365">
      <w:marLeft w:val="0"/>
      <w:marRight w:val="0"/>
      <w:marTop w:val="0"/>
      <w:marBottom w:val="0"/>
      <w:divBdr>
        <w:top w:val="none" w:sz="0" w:space="0" w:color="auto"/>
        <w:left w:val="none" w:sz="0" w:space="0" w:color="auto"/>
        <w:bottom w:val="none" w:sz="0" w:space="0" w:color="auto"/>
        <w:right w:val="none" w:sz="0" w:space="0" w:color="auto"/>
      </w:divBdr>
      <w:divsChild>
        <w:div w:id="307321686">
          <w:marLeft w:val="0"/>
          <w:marRight w:val="0"/>
          <w:marTop w:val="0"/>
          <w:marBottom w:val="0"/>
          <w:divBdr>
            <w:top w:val="none" w:sz="0" w:space="0" w:color="auto"/>
            <w:left w:val="none" w:sz="0" w:space="0" w:color="auto"/>
            <w:bottom w:val="none" w:sz="0" w:space="0" w:color="auto"/>
            <w:right w:val="none" w:sz="0" w:space="0" w:color="auto"/>
          </w:divBdr>
        </w:div>
      </w:divsChild>
    </w:div>
    <w:div w:id="677118101">
      <w:marLeft w:val="0"/>
      <w:marRight w:val="0"/>
      <w:marTop w:val="0"/>
      <w:marBottom w:val="0"/>
      <w:divBdr>
        <w:top w:val="none" w:sz="0" w:space="0" w:color="auto"/>
        <w:left w:val="none" w:sz="0" w:space="0" w:color="auto"/>
        <w:bottom w:val="none" w:sz="0" w:space="0" w:color="auto"/>
        <w:right w:val="none" w:sz="0" w:space="0" w:color="auto"/>
      </w:divBdr>
    </w:div>
    <w:div w:id="677118706">
      <w:marLeft w:val="0"/>
      <w:marRight w:val="0"/>
      <w:marTop w:val="0"/>
      <w:marBottom w:val="0"/>
      <w:divBdr>
        <w:top w:val="none" w:sz="0" w:space="0" w:color="auto"/>
        <w:left w:val="none" w:sz="0" w:space="0" w:color="auto"/>
        <w:bottom w:val="none" w:sz="0" w:space="0" w:color="auto"/>
        <w:right w:val="none" w:sz="0" w:space="0" w:color="auto"/>
      </w:divBdr>
    </w:div>
    <w:div w:id="678389482">
      <w:marLeft w:val="0"/>
      <w:marRight w:val="0"/>
      <w:marTop w:val="0"/>
      <w:marBottom w:val="0"/>
      <w:divBdr>
        <w:top w:val="none" w:sz="0" w:space="0" w:color="auto"/>
        <w:left w:val="none" w:sz="0" w:space="0" w:color="auto"/>
        <w:bottom w:val="none" w:sz="0" w:space="0" w:color="auto"/>
        <w:right w:val="none" w:sz="0" w:space="0" w:color="auto"/>
      </w:divBdr>
    </w:div>
    <w:div w:id="678703384">
      <w:marLeft w:val="0"/>
      <w:marRight w:val="0"/>
      <w:marTop w:val="0"/>
      <w:marBottom w:val="0"/>
      <w:divBdr>
        <w:top w:val="none" w:sz="0" w:space="0" w:color="auto"/>
        <w:left w:val="none" w:sz="0" w:space="0" w:color="auto"/>
        <w:bottom w:val="none" w:sz="0" w:space="0" w:color="auto"/>
        <w:right w:val="none" w:sz="0" w:space="0" w:color="auto"/>
      </w:divBdr>
    </w:div>
    <w:div w:id="680544056">
      <w:marLeft w:val="0"/>
      <w:marRight w:val="0"/>
      <w:marTop w:val="0"/>
      <w:marBottom w:val="0"/>
      <w:divBdr>
        <w:top w:val="none" w:sz="0" w:space="0" w:color="auto"/>
        <w:left w:val="none" w:sz="0" w:space="0" w:color="auto"/>
        <w:bottom w:val="none" w:sz="0" w:space="0" w:color="auto"/>
        <w:right w:val="none" w:sz="0" w:space="0" w:color="auto"/>
      </w:divBdr>
    </w:div>
    <w:div w:id="682362899">
      <w:marLeft w:val="0"/>
      <w:marRight w:val="0"/>
      <w:marTop w:val="0"/>
      <w:marBottom w:val="0"/>
      <w:divBdr>
        <w:top w:val="none" w:sz="0" w:space="0" w:color="auto"/>
        <w:left w:val="none" w:sz="0" w:space="0" w:color="auto"/>
        <w:bottom w:val="none" w:sz="0" w:space="0" w:color="auto"/>
        <w:right w:val="none" w:sz="0" w:space="0" w:color="auto"/>
      </w:divBdr>
    </w:div>
    <w:div w:id="682627877">
      <w:marLeft w:val="0"/>
      <w:marRight w:val="0"/>
      <w:marTop w:val="0"/>
      <w:marBottom w:val="0"/>
      <w:divBdr>
        <w:top w:val="none" w:sz="0" w:space="0" w:color="auto"/>
        <w:left w:val="none" w:sz="0" w:space="0" w:color="auto"/>
        <w:bottom w:val="none" w:sz="0" w:space="0" w:color="auto"/>
        <w:right w:val="none" w:sz="0" w:space="0" w:color="auto"/>
      </w:divBdr>
    </w:div>
    <w:div w:id="684940993">
      <w:marLeft w:val="0"/>
      <w:marRight w:val="0"/>
      <w:marTop w:val="0"/>
      <w:marBottom w:val="0"/>
      <w:divBdr>
        <w:top w:val="none" w:sz="0" w:space="0" w:color="auto"/>
        <w:left w:val="none" w:sz="0" w:space="0" w:color="auto"/>
        <w:bottom w:val="none" w:sz="0" w:space="0" w:color="auto"/>
        <w:right w:val="none" w:sz="0" w:space="0" w:color="auto"/>
      </w:divBdr>
    </w:div>
    <w:div w:id="686104978">
      <w:marLeft w:val="0"/>
      <w:marRight w:val="0"/>
      <w:marTop w:val="0"/>
      <w:marBottom w:val="0"/>
      <w:divBdr>
        <w:top w:val="none" w:sz="0" w:space="0" w:color="auto"/>
        <w:left w:val="none" w:sz="0" w:space="0" w:color="auto"/>
        <w:bottom w:val="none" w:sz="0" w:space="0" w:color="auto"/>
        <w:right w:val="none" w:sz="0" w:space="0" w:color="auto"/>
      </w:divBdr>
    </w:div>
    <w:div w:id="687369134">
      <w:marLeft w:val="0"/>
      <w:marRight w:val="0"/>
      <w:marTop w:val="0"/>
      <w:marBottom w:val="0"/>
      <w:divBdr>
        <w:top w:val="none" w:sz="0" w:space="0" w:color="auto"/>
        <w:left w:val="none" w:sz="0" w:space="0" w:color="auto"/>
        <w:bottom w:val="none" w:sz="0" w:space="0" w:color="auto"/>
        <w:right w:val="none" w:sz="0" w:space="0" w:color="auto"/>
      </w:divBdr>
    </w:div>
    <w:div w:id="689835689">
      <w:marLeft w:val="0"/>
      <w:marRight w:val="0"/>
      <w:marTop w:val="0"/>
      <w:marBottom w:val="0"/>
      <w:divBdr>
        <w:top w:val="none" w:sz="0" w:space="0" w:color="auto"/>
        <w:left w:val="none" w:sz="0" w:space="0" w:color="auto"/>
        <w:bottom w:val="none" w:sz="0" w:space="0" w:color="auto"/>
        <w:right w:val="none" w:sz="0" w:space="0" w:color="auto"/>
      </w:divBdr>
    </w:div>
    <w:div w:id="691612096">
      <w:marLeft w:val="0"/>
      <w:marRight w:val="0"/>
      <w:marTop w:val="0"/>
      <w:marBottom w:val="0"/>
      <w:divBdr>
        <w:top w:val="none" w:sz="0" w:space="0" w:color="auto"/>
        <w:left w:val="none" w:sz="0" w:space="0" w:color="auto"/>
        <w:bottom w:val="none" w:sz="0" w:space="0" w:color="auto"/>
        <w:right w:val="none" w:sz="0" w:space="0" w:color="auto"/>
      </w:divBdr>
    </w:div>
    <w:div w:id="691684725">
      <w:marLeft w:val="0"/>
      <w:marRight w:val="0"/>
      <w:marTop w:val="0"/>
      <w:marBottom w:val="0"/>
      <w:divBdr>
        <w:top w:val="none" w:sz="0" w:space="0" w:color="auto"/>
        <w:left w:val="none" w:sz="0" w:space="0" w:color="auto"/>
        <w:bottom w:val="none" w:sz="0" w:space="0" w:color="auto"/>
        <w:right w:val="none" w:sz="0" w:space="0" w:color="auto"/>
      </w:divBdr>
    </w:div>
    <w:div w:id="692339522">
      <w:marLeft w:val="0"/>
      <w:marRight w:val="0"/>
      <w:marTop w:val="40"/>
      <w:marBottom w:val="40"/>
      <w:divBdr>
        <w:top w:val="none" w:sz="0" w:space="0" w:color="auto"/>
        <w:left w:val="none" w:sz="0" w:space="0" w:color="auto"/>
        <w:bottom w:val="none" w:sz="0" w:space="0" w:color="auto"/>
        <w:right w:val="none" w:sz="0" w:space="0" w:color="auto"/>
      </w:divBdr>
    </w:div>
    <w:div w:id="692416598">
      <w:marLeft w:val="0"/>
      <w:marRight w:val="0"/>
      <w:marTop w:val="0"/>
      <w:marBottom w:val="0"/>
      <w:divBdr>
        <w:top w:val="none" w:sz="0" w:space="0" w:color="auto"/>
        <w:left w:val="none" w:sz="0" w:space="0" w:color="auto"/>
        <w:bottom w:val="none" w:sz="0" w:space="0" w:color="auto"/>
        <w:right w:val="none" w:sz="0" w:space="0" w:color="auto"/>
      </w:divBdr>
    </w:div>
    <w:div w:id="692536898">
      <w:marLeft w:val="0"/>
      <w:marRight w:val="0"/>
      <w:marTop w:val="0"/>
      <w:marBottom w:val="0"/>
      <w:divBdr>
        <w:top w:val="none" w:sz="0" w:space="0" w:color="auto"/>
        <w:left w:val="none" w:sz="0" w:space="0" w:color="auto"/>
        <w:bottom w:val="none" w:sz="0" w:space="0" w:color="auto"/>
        <w:right w:val="none" w:sz="0" w:space="0" w:color="auto"/>
      </w:divBdr>
    </w:div>
    <w:div w:id="693651354">
      <w:marLeft w:val="0"/>
      <w:marRight w:val="0"/>
      <w:marTop w:val="0"/>
      <w:marBottom w:val="0"/>
      <w:divBdr>
        <w:top w:val="none" w:sz="0" w:space="0" w:color="auto"/>
        <w:left w:val="none" w:sz="0" w:space="0" w:color="auto"/>
        <w:bottom w:val="none" w:sz="0" w:space="0" w:color="auto"/>
        <w:right w:val="none" w:sz="0" w:space="0" w:color="auto"/>
      </w:divBdr>
    </w:div>
    <w:div w:id="695890150">
      <w:marLeft w:val="0"/>
      <w:marRight w:val="0"/>
      <w:marTop w:val="0"/>
      <w:marBottom w:val="0"/>
      <w:divBdr>
        <w:top w:val="none" w:sz="0" w:space="0" w:color="auto"/>
        <w:left w:val="none" w:sz="0" w:space="0" w:color="auto"/>
        <w:bottom w:val="none" w:sz="0" w:space="0" w:color="auto"/>
        <w:right w:val="none" w:sz="0" w:space="0" w:color="auto"/>
      </w:divBdr>
    </w:div>
    <w:div w:id="696859110">
      <w:marLeft w:val="0"/>
      <w:marRight w:val="0"/>
      <w:marTop w:val="0"/>
      <w:marBottom w:val="0"/>
      <w:divBdr>
        <w:top w:val="none" w:sz="0" w:space="0" w:color="auto"/>
        <w:left w:val="none" w:sz="0" w:space="0" w:color="auto"/>
        <w:bottom w:val="none" w:sz="0" w:space="0" w:color="auto"/>
        <w:right w:val="none" w:sz="0" w:space="0" w:color="auto"/>
      </w:divBdr>
    </w:div>
    <w:div w:id="699091884">
      <w:marLeft w:val="0"/>
      <w:marRight w:val="0"/>
      <w:marTop w:val="0"/>
      <w:marBottom w:val="0"/>
      <w:divBdr>
        <w:top w:val="none" w:sz="0" w:space="0" w:color="auto"/>
        <w:left w:val="none" w:sz="0" w:space="0" w:color="auto"/>
        <w:bottom w:val="none" w:sz="0" w:space="0" w:color="auto"/>
        <w:right w:val="none" w:sz="0" w:space="0" w:color="auto"/>
      </w:divBdr>
    </w:div>
    <w:div w:id="701827260">
      <w:marLeft w:val="0"/>
      <w:marRight w:val="0"/>
      <w:marTop w:val="0"/>
      <w:marBottom w:val="0"/>
      <w:divBdr>
        <w:top w:val="none" w:sz="0" w:space="0" w:color="auto"/>
        <w:left w:val="none" w:sz="0" w:space="0" w:color="auto"/>
        <w:bottom w:val="none" w:sz="0" w:space="0" w:color="auto"/>
        <w:right w:val="none" w:sz="0" w:space="0" w:color="auto"/>
      </w:divBdr>
    </w:div>
    <w:div w:id="702248853">
      <w:marLeft w:val="0"/>
      <w:marRight w:val="0"/>
      <w:marTop w:val="0"/>
      <w:marBottom w:val="0"/>
      <w:divBdr>
        <w:top w:val="none" w:sz="0" w:space="0" w:color="auto"/>
        <w:left w:val="none" w:sz="0" w:space="0" w:color="auto"/>
        <w:bottom w:val="none" w:sz="0" w:space="0" w:color="auto"/>
        <w:right w:val="none" w:sz="0" w:space="0" w:color="auto"/>
      </w:divBdr>
    </w:div>
    <w:div w:id="703797470">
      <w:marLeft w:val="0"/>
      <w:marRight w:val="0"/>
      <w:marTop w:val="0"/>
      <w:marBottom w:val="0"/>
      <w:divBdr>
        <w:top w:val="none" w:sz="0" w:space="0" w:color="auto"/>
        <w:left w:val="none" w:sz="0" w:space="0" w:color="auto"/>
        <w:bottom w:val="none" w:sz="0" w:space="0" w:color="auto"/>
        <w:right w:val="none" w:sz="0" w:space="0" w:color="auto"/>
      </w:divBdr>
    </w:div>
    <w:div w:id="704333218">
      <w:marLeft w:val="0"/>
      <w:marRight w:val="0"/>
      <w:marTop w:val="0"/>
      <w:marBottom w:val="0"/>
      <w:divBdr>
        <w:top w:val="none" w:sz="0" w:space="0" w:color="auto"/>
        <w:left w:val="none" w:sz="0" w:space="0" w:color="auto"/>
        <w:bottom w:val="none" w:sz="0" w:space="0" w:color="auto"/>
        <w:right w:val="none" w:sz="0" w:space="0" w:color="auto"/>
      </w:divBdr>
    </w:div>
    <w:div w:id="705645334">
      <w:marLeft w:val="0"/>
      <w:marRight w:val="0"/>
      <w:marTop w:val="0"/>
      <w:marBottom w:val="0"/>
      <w:divBdr>
        <w:top w:val="none" w:sz="0" w:space="0" w:color="auto"/>
        <w:left w:val="none" w:sz="0" w:space="0" w:color="auto"/>
        <w:bottom w:val="none" w:sz="0" w:space="0" w:color="auto"/>
        <w:right w:val="none" w:sz="0" w:space="0" w:color="auto"/>
      </w:divBdr>
    </w:div>
    <w:div w:id="706491943">
      <w:marLeft w:val="0"/>
      <w:marRight w:val="0"/>
      <w:marTop w:val="0"/>
      <w:marBottom w:val="0"/>
      <w:divBdr>
        <w:top w:val="none" w:sz="0" w:space="0" w:color="auto"/>
        <w:left w:val="none" w:sz="0" w:space="0" w:color="auto"/>
        <w:bottom w:val="none" w:sz="0" w:space="0" w:color="auto"/>
        <w:right w:val="none" w:sz="0" w:space="0" w:color="auto"/>
      </w:divBdr>
      <w:divsChild>
        <w:div w:id="106580652">
          <w:marLeft w:val="0"/>
          <w:marRight w:val="0"/>
          <w:marTop w:val="0"/>
          <w:marBottom w:val="0"/>
          <w:divBdr>
            <w:top w:val="none" w:sz="0" w:space="0" w:color="auto"/>
            <w:left w:val="none" w:sz="0" w:space="0" w:color="auto"/>
            <w:bottom w:val="none" w:sz="0" w:space="0" w:color="auto"/>
            <w:right w:val="none" w:sz="0" w:space="0" w:color="auto"/>
          </w:divBdr>
        </w:div>
        <w:div w:id="899904698">
          <w:marLeft w:val="0"/>
          <w:marRight w:val="0"/>
          <w:marTop w:val="0"/>
          <w:marBottom w:val="0"/>
          <w:divBdr>
            <w:top w:val="none" w:sz="0" w:space="0" w:color="auto"/>
            <w:left w:val="none" w:sz="0" w:space="0" w:color="auto"/>
            <w:bottom w:val="none" w:sz="0" w:space="0" w:color="auto"/>
            <w:right w:val="none" w:sz="0" w:space="0" w:color="auto"/>
          </w:divBdr>
        </w:div>
        <w:div w:id="673845310">
          <w:marLeft w:val="0"/>
          <w:marRight w:val="0"/>
          <w:marTop w:val="0"/>
          <w:marBottom w:val="0"/>
          <w:divBdr>
            <w:top w:val="none" w:sz="0" w:space="0" w:color="auto"/>
            <w:left w:val="none" w:sz="0" w:space="0" w:color="auto"/>
            <w:bottom w:val="none" w:sz="0" w:space="0" w:color="auto"/>
            <w:right w:val="none" w:sz="0" w:space="0" w:color="auto"/>
          </w:divBdr>
        </w:div>
      </w:divsChild>
    </w:div>
    <w:div w:id="706685223">
      <w:marLeft w:val="0"/>
      <w:marRight w:val="0"/>
      <w:marTop w:val="0"/>
      <w:marBottom w:val="0"/>
      <w:divBdr>
        <w:top w:val="none" w:sz="0" w:space="0" w:color="auto"/>
        <w:left w:val="none" w:sz="0" w:space="0" w:color="auto"/>
        <w:bottom w:val="none" w:sz="0" w:space="0" w:color="auto"/>
        <w:right w:val="none" w:sz="0" w:space="0" w:color="auto"/>
      </w:divBdr>
    </w:div>
    <w:div w:id="707491822">
      <w:marLeft w:val="0"/>
      <w:marRight w:val="0"/>
      <w:marTop w:val="0"/>
      <w:marBottom w:val="0"/>
      <w:divBdr>
        <w:top w:val="none" w:sz="0" w:space="0" w:color="auto"/>
        <w:left w:val="none" w:sz="0" w:space="0" w:color="auto"/>
        <w:bottom w:val="none" w:sz="0" w:space="0" w:color="auto"/>
        <w:right w:val="none" w:sz="0" w:space="0" w:color="auto"/>
      </w:divBdr>
    </w:div>
    <w:div w:id="713583091">
      <w:marLeft w:val="0"/>
      <w:marRight w:val="0"/>
      <w:marTop w:val="0"/>
      <w:marBottom w:val="0"/>
      <w:divBdr>
        <w:top w:val="none" w:sz="0" w:space="0" w:color="auto"/>
        <w:left w:val="none" w:sz="0" w:space="0" w:color="auto"/>
        <w:bottom w:val="none" w:sz="0" w:space="0" w:color="auto"/>
        <w:right w:val="none" w:sz="0" w:space="0" w:color="auto"/>
      </w:divBdr>
    </w:div>
    <w:div w:id="717438891">
      <w:marLeft w:val="0"/>
      <w:marRight w:val="0"/>
      <w:marTop w:val="0"/>
      <w:marBottom w:val="0"/>
      <w:divBdr>
        <w:top w:val="none" w:sz="0" w:space="0" w:color="auto"/>
        <w:left w:val="none" w:sz="0" w:space="0" w:color="auto"/>
        <w:bottom w:val="none" w:sz="0" w:space="0" w:color="auto"/>
        <w:right w:val="none" w:sz="0" w:space="0" w:color="auto"/>
      </w:divBdr>
    </w:div>
    <w:div w:id="717700546">
      <w:marLeft w:val="0"/>
      <w:marRight w:val="0"/>
      <w:marTop w:val="0"/>
      <w:marBottom w:val="0"/>
      <w:divBdr>
        <w:top w:val="none" w:sz="0" w:space="0" w:color="auto"/>
        <w:left w:val="none" w:sz="0" w:space="0" w:color="auto"/>
        <w:bottom w:val="none" w:sz="0" w:space="0" w:color="auto"/>
        <w:right w:val="none" w:sz="0" w:space="0" w:color="auto"/>
      </w:divBdr>
    </w:div>
    <w:div w:id="717701299">
      <w:marLeft w:val="0"/>
      <w:marRight w:val="0"/>
      <w:marTop w:val="0"/>
      <w:marBottom w:val="0"/>
      <w:divBdr>
        <w:top w:val="none" w:sz="0" w:space="0" w:color="auto"/>
        <w:left w:val="none" w:sz="0" w:space="0" w:color="auto"/>
        <w:bottom w:val="none" w:sz="0" w:space="0" w:color="auto"/>
        <w:right w:val="none" w:sz="0" w:space="0" w:color="auto"/>
      </w:divBdr>
      <w:divsChild>
        <w:div w:id="704018986">
          <w:marLeft w:val="0"/>
          <w:marRight w:val="0"/>
          <w:marTop w:val="0"/>
          <w:marBottom w:val="0"/>
          <w:divBdr>
            <w:top w:val="none" w:sz="0" w:space="0" w:color="auto"/>
            <w:left w:val="none" w:sz="0" w:space="0" w:color="auto"/>
            <w:bottom w:val="none" w:sz="0" w:space="0" w:color="auto"/>
            <w:right w:val="none" w:sz="0" w:space="0" w:color="auto"/>
          </w:divBdr>
        </w:div>
      </w:divsChild>
    </w:div>
    <w:div w:id="722752211">
      <w:marLeft w:val="0"/>
      <w:marRight w:val="0"/>
      <w:marTop w:val="0"/>
      <w:marBottom w:val="0"/>
      <w:divBdr>
        <w:top w:val="none" w:sz="0" w:space="0" w:color="auto"/>
        <w:left w:val="none" w:sz="0" w:space="0" w:color="auto"/>
        <w:bottom w:val="none" w:sz="0" w:space="0" w:color="auto"/>
        <w:right w:val="none" w:sz="0" w:space="0" w:color="auto"/>
      </w:divBdr>
    </w:div>
    <w:div w:id="725302766">
      <w:marLeft w:val="0"/>
      <w:marRight w:val="0"/>
      <w:marTop w:val="0"/>
      <w:marBottom w:val="0"/>
      <w:divBdr>
        <w:top w:val="none" w:sz="0" w:space="0" w:color="auto"/>
        <w:left w:val="none" w:sz="0" w:space="0" w:color="auto"/>
        <w:bottom w:val="none" w:sz="0" w:space="0" w:color="auto"/>
        <w:right w:val="none" w:sz="0" w:space="0" w:color="auto"/>
      </w:divBdr>
      <w:divsChild>
        <w:div w:id="773401854">
          <w:marLeft w:val="0"/>
          <w:marRight w:val="0"/>
          <w:marTop w:val="0"/>
          <w:marBottom w:val="0"/>
          <w:divBdr>
            <w:top w:val="none" w:sz="0" w:space="0" w:color="auto"/>
            <w:left w:val="none" w:sz="0" w:space="0" w:color="auto"/>
            <w:bottom w:val="none" w:sz="0" w:space="0" w:color="auto"/>
            <w:right w:val="none" w:sz="0" w:space="0" w:color="auto"/>
          </w:divBdr>
        </w:div>
      </w:divsChild>
    </w:div>
    <w:div w:id="727070720">
      <w:marLeft w:val="0"/>
      <w:marRight w:val="0"/>
      <w:marTop w:val="0"/>
      <w:marBottom w:val="0"/>
      <w:divBdr>
        <w:top w:val="none" w:sz="0" w:space="0" w:color="auto"/>
        <w:left w:val="none" w:sz="0" w:space="0" w:color="auto"/>
        <w:bottom w:val="none" w:sz="0" w:space="0" w:color="auto"/>
        <w:right w:val="none" w:sz="0" w:space="0" w:color="auto"/>
      </w:divBdr>
    </w:div>
    <w:div w:id="729811507">
      <w:marLeft w:val="0"/>
      <w:marRight w:val="0"/>
      <w:marTop w:val="0"/>
      <w:marBottom w:val="0"/>
      <w:divBdr>
        <w:top w:val="none" w:sz="0" w:space="0" w:color="auto"/>
        <w:left w:val="none" w:sz="0" w:space="0" w:color="auto"/>
        <w:bottom w:val="none" w:sz="0" w:space="0" w:color="auto"/>
        <w:right w:val="none" w:sz="0" w:space="0" w:color="auto"/>
      </w:divBdr>
    </w:div>
    <w:div w:id="730152162">
      <w:marLeft w:val="0"/>
      <w:marRight w:val="0"/>
      <w:marTop w:val="0"/>
      <w:marBottom w:val="0"/>
      <w:divBdr>
        <w:top w:val="none" w:sz="0" w:space="0" w:color="auto"/>
        <w:left w:val="none" w:sz="0" w:space="0" w:color="auto"/>
        <w:bottom w:val="none" w:sz="0" w:space="0" w:color="auto"/>
        <w:right w:val="none" w:sz="0" w:space="0" w:color="auto"/>
      </w:divBdr>
    </w:div>
    <w:div w:id="731199999">
      <w:marLeft w:val="0"/>
      <w:marRight w:val="0"/>
      <w:marTop w:val="0"/>
      <w:marBottom w:val="0"/>
      <w:divBdr>
        <w:top w:val="none" w:sz="0" w:space="0" w:color="auto"/>
        <w:left w:val="none" w:sz="0" w:space="0" w:color="auto"/>
        <w:bottom w:val="none" w:sz="0" w:space="0" w:color="auto"/>
        <w:right w:val="none" w:sz="0" w:space="0" w:color="auto"/>
      </w:divBdr>
    </w:div>
    <w:div w:id="732193399">
      <w:marLeft w:val="0"/>
      <w:marRight w:val="0"/>
      <w:marTop w:val="0"/>
      <w:marBottom w:val="0"/>
      <w:divBdr>
        <w:top w:val="none" w:sz="0" w:space="0" w:color="auto"/>
        <w:left w:val="none" w:sz="0" w:space="0" w:color="auto"/>
        <w:bottom w:val="none" w:sz="0" w:space="0" w:color="auto"/>
        <w:right w:val="none" w:sz="0" w:space="0" w:color="auto"/>
      </w:divBdr>
    </w:div>
    <w:div w:id="732389341">
      <w:marLeft w:val="0"/>
      <w:marRight w:val="0"/>
      <w:marTop w:val="0"/>
      <w:marBottom w:val="0"/>
      <w:divBdr>
        <w:top w:val="none" w:sz="0" w:space="0" w:color="auto"/>
        <w:left w:val="none" w:sz="0" w:space="0" w:color="auto"/>
        <w:bottom w:val="none" w:sz="0" w:space="0" w:color="auto"/>
        <w:right w:val="none" w:sz="0" w:space="0" w:color="auto"/>
      </w:divBdr>
    </w:div>
    <w:div w:id="732968868">
      <w:marLeft w:val="0"/>
      <w:marRight w:val="0"/>
      <w:marTop w:val="0"/>
      <w:marBottom w:val="0"/>
      <w:divBdr>
        <w:top w:val="none" w:sz="0" w:space="0" w:color="auto"/>
        <w:left w:val="none" w:sz="0" w:space="0" w:color="auto"/>
        <w:bottom w:val="none" w:sz="0" w:space="0" w:color="auto"/>
        <w:right w:val="none" w:sz="0" w:space="0" w:color="auto"/>
      </w:divBdr>
    </w:div>
    <w:div w:id="741945740">
      <w:marLeft w:val="0"/>
      <w:marRight w:val="0"/>
      <w:marTop w:val="0"/>
      <w:marBottom w:val="0"/>
      <w:divBdr>
        <w:top w:val="none" w:sz="0" w:space="0" w:color="auto"/>
        <w:left w:val="none" w:sz="0" w:space="0" w:color="auto"/>
        <w:bottom w:val="none" w:sz="0" w:space="0" w:color="auto"/>
        <w:right w:val="none" w:sz="0" w:space="0" w:color="auto"/>
      </w:divBdr>
    </w:div>
    <w:div w:id="742222218">
      <w:marLeft w:val="0"/>
      <w:marRight w:val="0"/>
      <w:marTop w:val="0"/>
      <w:marBottom w:val="0"/>
      <w:divBdr>
        <w:top w:val="none" w:sz="0" w:space="0" w:color="auto"/>
        <w:left w:val="none" w:sz="0" w:space="0" w:color="auto"/>
        <w:bottom w:val="none" w:sz="0" w:space="0" w:color="auto"/>
        <w:right w:val="none" w:sz="0" w:space="0" w:color="auto"/>
      </w:divBdr>
    </w:div>
    <w:div w:id="743796257">
      <w:marLeft w:val="0"/>
      <w:marRight w:val="0"/>
      <w:marTop w:val="0"/>
      <w:marBottom w:val="120"/>
      <w:divBdr>
        <w:top w:val="none" w:sz="0" w:space="0" w:color="auto"/>
        <w:left w:val="none" w:sz="0" w:space="0" w:color="auto"/>
        <w:bottom w:val="none" w:sz="0" w:space="0" w:color="auto"/>
        <w:right w:val="none" w:sz="0" w:space="0" w:color="auto"/>
      </w:divBdr>
    </w:div>
    <w:div w:id="743920391">
      <w:marLeft w:val="0"/>
      <w:marRight w:val="0"/>
      <w:marTop w:val="0"/>
      <w:marBottom w:val="0"/>
      <w:divBdr>
        <w:top w:val="none" w:sz="0" w:space="0" w:color="auto"/>
        <w:left w:val="none" w:sz="0" w:space="0" w:color="auto"/>
        <w:bottom w:val="none" w:sz="0" w:space="0" w:color="auto"/>
        <w:right w:val="none" w:sz="0" w:space="0" w:color="auto"/>
      </w:divBdr>
    </w:div>
    <w:div w:id="747995097">
      <w:marLeft w:val="0"/>
      <w:marRight w:val="0"/>
      <w:marTop w:val="0"/>
      <w:marBottom w:val="0"/>
      <w:divBdr>
        <w:top w:val="none" w:sz="0" w:space="0" w:color="auto"/>
        <w:left w:val="none" w:sz="0" w:space="0" w:color="auto"/>
        <w:bottom w:val="none" w:sz="0" w:space="0" w:color="auto"/>
        <w:right w:val="none" w:sz="0" w:space="0" w:color="auto"/>
      </w:divBdr>
      <w:divsChild>
        <w:div w:id="22100827">
          <w:marLeft w:val="0"/>
          <w:marRight w:val="0"/>
          <w:marTop w:val="0"/>
          <w:marBottom w:val="0"/>
          <w:divBdr>
            <w:top w:val="none" w:sz="0" w:space="0" w:color="auto"/>
            <w:left w:val="none" w:sz="0" w:space="0" w:color="auto"/>
            <w:bottom w:val="none" w:sz="0" w:space="0" w:color="auto"/>
            <w:right w:val="none" w:sz="0" w:space="0" w:color="auto"/>
          </w:divBdr>
        </w:div>
      </w:divsChild>
    </w:div>
    <w:div w:id="750464815">
      <w:marLeft w:val="0"/>
      <w:marRight w:val="0"/>
      <w:marTop w:val="0"/>
      <w:marBottom w:val="0"/>
      <w:divBdr>
        <w:top w:val="none" w:sz="0" w:space="0" w:color="auto"/>
        <w:left w:val="none" w:sz="0" w:space="0" w:color="auto"/>
        <w:bottom w:val="none" w:sz="0" w:space="0" w:color="auto"/>
        <w:right w:val="none" w:sz="0" w:space="0" w:color="auto"/>
      </w:divBdr>
    </w:div>
    <w:div w:id="753086842">
      <w:marLeft w:val="0"/>
      <w:marRight w:val="0"/>
      <w:marTop w:val="0"/>
      <w:marBottom w:val="0"/>
      <w:divBdr>
        <w:top w:val="none" w:sz="0" w:space="0" w:color="auto"/>
        <w:left w:val="none" w:sz="0" w:space="0" w:color="auto"/>
        <w:bottom w:val="none" w:sz="0" w:space="0" w:color="auto"/>
        <w:right w:val="none" w:sz="0" w:space="0" w:color="auto"/>
      </w:divBdr>
    </w:div>
    <w:div w:id="754977862">
      <w:marLeft w:val="0"/>
      <w:marRight w:val="0"/>
      <w:marTop w:val="0"/>
      <w:marBottom w:val="0"/>
      <w:divBdr>
        <w:top w:val="none" w:sz="0" w:space="0" w:color="auto"/>
        <w:left w:val="none" w:sz="0" w:space="0" w:color="auto"/>
        <w:bottom w:val="none" w:sz="0" w:space="0" w:color="auto"/>
        <w:right w:val="none" w:sz="0" w:space="0" w:color="auto"/>
      </w:divBdr>
    </w:div>
    <w:div w:id="756097522">
      <w:marLeft w:val="0"/>
      <w:marRight w:val="0"/>
      <w:marTop w:val="0"/>
      <w:marBottom w:val="0"/>
      <w:divBdr>
        <w:top w:val="none" w:sz="0" w:space="0" w:color="auto"/>
        <w:left w:val="none" w:sz="0" w:space="0" w:color="auto"/>
        <w:bottom w:val="none" w:sz="0" w:space="0" w:color="auto"/>
        <w:right w:val="none" w:sz="0" w:space="0" w:color="auto"/>
      </w:divBdr>
    </w:div>
    <w:div w:id="758021566">
      <w:marLeft w:val="0"/>
      <w:marRight w:val="0"/>
      <w:marTop w:val="0"/>
      <w:marBottom w:val="0"/>
      <w:divBdr>
        <w:top w:val="none" w:sz="0" w:space="0" w:color="auto"/>
        <w:left w:val="none" w:sz="0" w:space="0" w:color="auto"/>
        <w:bottom w:val="none" w:sz="0" w:space="0" w:color="auto"/>
        <w:right w:val="none" w:sz="0" w:space="0" w:color="auto"/>
      </w:divBdr>
    </w:div>
    <w:div w:id="759181660">
      <w:marLeft w:val="0"/>
      <w:marRight w:val="0"/>
      <w:marTop w:val="0"/>
      <w:marBottom w:val="0"/>
      <w:divBdr>
        <w:top w:val="none" w:sz="0" w:space="0" w:color="auto"/>
        <w:left w:val="none" w:sz="0" w:space="0" w:color="auto"/>
        <w:bottom w:val="none" w:sz="0" w:space="0" w:color="auto"/>
        <w:right w:val="none" w:sz="0" w:space="0" w:color="auto"/>
      </w:divBdr>
    </w:div>
    <w:div w:id="761606652">
      <w:marLeft w:val="0"/>
      <w:marRight w:val="0"/>
      <w:marTop w:val="0"/>
      <w:marBottom w:val="0"/>
      <w:divBdr>
        <w:top w:val="none" w:sz="0" w:space="0" w:color="auto"/>
        <w:left w:val="none" w:sz="0" w:space="0" w:color="auto"/>
        <w:bottom w:val="none" w:sz="0" w:space="0" w:color="auto"/>
        <w:right w:val="none" w:sz="0" w:space="0" w:color="auto"/>
      </w:divBdr>
    </w:div>
    <w:div w:id="763037851">
      <w:marLeft w:val="0"/>
      <w:marRight w:val="0"/>
      <w:marTop w:val="0"/>
      <w:marBottom w:val="0"/>
      <w:divBdr>
        <w:top w:val="none" w:sz="0" w:space="0" w:color="auto"/>
        <w:left w:val="none" w:sz="0" w:space="0" w:color="auto"/>
        <w:bottom w:val="none" w:sz="0" w:space="0" w:color="auto"/>
        <w:right w:val="none" w:sz="0" w:space="0" w:color="auto"/>
      </w:divBdr>
    </w:div>
    <w:div w:id="767386863">
      <w:marLeft w:val="0"/>
      <w:marRight w:val="0"/>
      <w:marTop w:val="0"/>
      <w:marBottom w:val="0"/>
      <w:divBdr>
        <w:top w:val="none" w:sz="0" w:space="0" w:color="auto"/>
        <w:left w:val="none" w:sz="0" w:space="0" w:color="auto"/>
        <w:bottom w:val="none" w:sz="0" w:space="0" w:color="auto"/>
        <w:right w:val="none" w:sz="0" w:space="0" w:color="auto"/>
      </w:divBdr>
    </w:div>
    <w:div w:id="767852277">
      <w:marLeft w:val="0"/>
      <w:marRight w:val="0"/>
      <w:marTop w:val="0"/>
      <w:marBottom w:val="0"/>
      <w:divBdr>
        <w:top w:val="none" w:sz="0" w:space="0" w:color="auto"/>
        <w:left w:val="none" w:sz="0" w:space="0" w:color="auto"/>
        <w:bottom w:val="none" w:sz="0" w:space="0" w:color="auto"/>
        <w:right w:val="none" w:sz="0" w:space="0" w:color="auto"/>
      </w:divBdr>
    </w:div>
    <w:div w:id="768700782">
      <w:marLeft w:val="0"/>
      <w:marRight w:val="0"/>
      <w:marTop w:val="0"/>
      <w:marBottom w:val="0"/>
      <w:divBdr>
        <w:top w:val="none" w:sz="0" w:space="0" w:color="auto"/>
        <w:left w:val="none" w:sz="0" w:space="0" w:color="auto"/>
        <w:bottom w:val="none" w:sz="0" w:space="0" w:color="auto"/>
        <w:right w:val="none" w:sz="0" w:space="0" w:color="auto"/>
      </w:divBdr>
    </w:div>
    <w:div w:id="772284908">
      <w:marLeft w:val="0"/>
      <w:marRight w:val="0"/>
      <w:marTop w:val="0"/>
      <w:marBottom w:val="0"/>
      <w:divBdr>
        <w:top w:val="none" w:sz="0" w:space="0" w:color="auto"/>
        <w:left w:val="none" w:sz="0" w:space="0" w:color="auto"/>
        <w:bottom w:val="none" w:sz="0" w:space="0" w:color="auto"/>
        <w:right w:val="none" w:sz="0" w:space="0" w:color="auto"/>
      </w:divBdr>
    </w:div>
    <w:div w:id="776411598">
      <w:marLeft w:val="0"/>
      <w:marRight w:val="0"/>
      <w:marTop w:val="0"/>
      <w:marBottom w:val="0"/>
      <w:divBdr>
        <w:top w:val="none" w:sz="0" w:space="0" w:color="auto"/>
        <w:left w:val="none" w:sz="0" w:space="0" w:color="auto"/>
        <w:bottom w:val="none" w:sz="0" w:space="0" w:color="auto"/>
        <w:right w:val="none" w:sz="0" w:space="0" w:color="auto"/>
      </w:divBdr>
    </w:div>
    <w:div w:id="778524244">
      <w:marLeft w:val="0"/>
      <w:marRight w:val="0"/>
      <w:marTop w:val="0"/>
      <w:marBottom w:val="0"/>
      <w:divBdr>
        <w:top w:val="none" w:sz="0" w:space="0" w:color="auto"/>
        <w:left w:val="none" w:sz="0" w:space="0" w:color="auto"/>
        <w:bottom w:val="none" w:sz="0" w:space="0" w:color="auto"/>
        <w:right w:val="none" w:sz="0" w:space="0" w:color="auto"/>
      </w:divBdr>
    </w:div>
    <w:div w:id="778527144">
      <w:marLeft w:val="0"/>
      <w:marRight w:val="0"/>
      <w:marTop w:val="0"/>
      <w:marBottom w:val="0"/>
      <w:divBdr>
        <w:top w:val="none" w:sz="0" w:space="0" w:color="auto"/>
        <w:left w:val="none" w:sz="0" w:space="0" w:color="auto"/>
        <w:bottom w:val="none" w:sz="0" w:space="0" w:color="auto"/>
        <w:right w:val="none" w:sz="0" w:space="0" w:color="auto"/>
      </w:divBdr>
    </w:div>
    <w:div w:id="784230952">
      <w:marLeft w:val="0"/>
      <w:marRight w:val="0"/>
      <w:marTop w:val="0"/>
      <w:marBottom w:val="0"/>
      <w:divBdr>
        <w:top w:val="none" w:sz="0" w:space="0" w:color="auto"/>
        <w:left w:val="none" w:sz="0" w:space="0" w:color="auto"/>
        <w:bottom w:val="none" w:sz="0" w:space="0" w:color="auto"/>
        <w:right w:val="none" w:sz="0" w:space="0" w:color="auto"/>
      </w:divBdr>
    </w:div>
    <w:div w:id="785580098">
      <w:marLeft w:val="0"/>
      <w:marRight w:val="0"/>
      <w:marTop w:val="0"/>
      <w:marBottom w:val="0"/>
      <w:divBdr>
        <w:top w:val="none" w:sz="0" w:space="0" w:color="auto"/>
        <w:left w:val="none" w:sz="0" w:space="0" w:color="auto"/>
        <w:bottom w:val="none" w:sz="0" w:space="0" w:color="auto"/>
        <w:right w:val="none" w:sz="0" w:space="0" w:color="auto"/>
      </w:divBdr>
    </w:div>
    <w:div w:id="786779596">
      <w:marLeft w:val="0"/>
      <w:marRight w:val="0"/>
      <w:marTop w:val="0"/>
      <w:marBottom w:val="0"/>
      <w:divBdr>
        <w:top w:val="none" w:sz="0" w:space="0" w:color="auto"/>
        <w:left w:val="none" w:sz="0" w:space="0" w:color="auto"/>
        <w:bottom w:val="none" w:sz="0" w:space="0" w:color="auto"/>
        <w:right w:val="none" w:sz="0" w:space="0" w:color="auto"/>
      </w:divBdr>
    </w:div>
    <w:div w:id="788596455">
      <w:marLeft w:val="0"/>
      <w:marRight w:val="0"/>
      <w:marTop w:val="0"/>
      <w:marBottom w:val="0"/>
      <w:divBdr>
        <w:top w:val="none" w:sz="0" w:space="0" w:color="auto"/>
        <w:left w:val="none" w:sz="0" w:space="0" w:color="auto"/>
        <w:bottom w:val="none" w:sz="0" w:space="0" w:color="auto"/>
        <w:right w:val="none" w:sz="0" w:space="0" w:color="auto"/>
      </w:divBdr>
    </w:div>
    <w:div w:id="789515952">
      <w:marLeft w:val="0"/>
      <w:marRight w:val="0"/>
      <w:marTop w:val="0"/>
      <w:marBottom w:val="0"/>
      <w:divBdr>
        <w:top w:val="none" w:sz="0" w:space="0" w:color="auto"/>
        <w:left w:val="none" w:sz="0" w:space="0" w:color="auto"/>
        <w:bottom w:val="none" w:sz="0" w:space="0" w:color="auto"/>
        <w:right w:val="none" w:sz="0" w:space="0" w:color="auto"/>
      </w:divBdr>
    </w:div>
    <w:div w:id="789973050">
      <w:marLeft w:val="0"/>
      <w:marRight w:val="0"/>
      <w:marTop w:val="0"/>
      <w:marBottom w:val="0"/>
      <w:divBdr>
        <w:top w:val="none" w:sz="0" w:space="0" w:color="auto"/>
        <w:left w:val="none" w:sz="0" w:space="0" w:color="auto"/>
        <w:bottom w:val="none" w:sz="0" w:space="0" w:color="auto"/>
        <w:right w:val="none" w:sz="0" w:space="0" w:color="auto"/>
      </w:divBdr>
    </w:div>
    <w:div w:id="790320823">
      <w:marLeft w:val="0"/>
      <w:marRight w:val="0"/>
      <w:marTop w:val="0"/>
      <w:marBottom w:val="0"/>
      <w:divBdr>
        <w:top w:val="none" w:sz="0" w:space="0" w:color="auto"/>
        <w:left w:val="none" w:sz="0" w:space="0" w:color="auto"/>
        <w:bottom w:val="none" w:sz="0" w:space="0" w:color="auto"/>
        <w:right w:val="none" w:sz="0" w:space="0" w:color="auto"/>
      </w:divBdr>
      <w:divsChild>
        <w:div w:id="689911903">
          <w:marLeft w:val="0"/>
          <w:marRight w:val="0"/>
          <w:marTop w:val="0"/>
          <w:marBottom w:val="0"/>
          <w:divBdr>
            <w:top w:val="none" w:sz="0" w:space="0" w:color="auto"/>
            <w:left w:val="none" w:sz="0" w:space="0" w:color="auto"/>
            <w:bottom w:val="none" w:sz="0" w:space="0" w:color="auto"/>
            <w:right w:val="none" w:sz="0" w:space="0" w:color="auto"/>
          </w:divBdr>
        </w:div>
      </w:divsChild>
    </w:div>
    <w:div w:id="792479649">
      <w:marLeft w:val="0"/>
      <w:marRight w:val="0"/>
      <w:marTop w:val="0"/>
      <w:marBottom w:val="0"/>
      <w:divBdr>
        <w:top w:val="none" w:sz="0" w:space="0" w:color="auto"/>
        <w:left w:val="none" w:sz="0" w:space="0" w:color="auto"/>
        <w:bottom w:val="none" w:sz="0" w:space="0" w:color="auto"/>
        <w:right w:val="none" w:sz="0" w:space="0" w:color="auto"/>
      </w:divBdr>
    </w:div>
    <w:div w:id="793717598">
      <w:marLeft w:val="0"/>
      <w:marRight w:val="0"/>
      <w:marTop w:val="0"/>
      <w:marBottom w:val="0"/>
      <w:divBdr>
        <w:top w:val="none" w:sz="0" w:space="0" w:color="auto"/>
        <w:left w:val="none" w:sz="0" w:space="0" w:color="auto"/>
        <w:bottom w:val="none" w:sz="0" w:space="0" w:color="auto"/>
        <w:right w:val="none" w:sz="0" w:space="0" w:color="auto"/>
      </w:divBdr>
    </w:div>
    <w:div w:id="795222507">
      <w:marLeft w:val="0"/>
      <w:marRight w:val="0"/>
      <w:marTop w:val="0"/>
      <w:marBottom w:val="0"/>
      <w:divBdr>
        <w:top w:val="none" w:sz="0" w:space="0" w:color="auto"/>
        <w:left w:val="none" w:sz="0" w:space="0" w:color="auto"/>
        <w:bottom w:val="none" w:sz="0" w:space="0" w:color="auto"/>
        <w:right w:val="none" w:sz="0" w:space="0" w:color="auto"/>
      </w:divBdr>
    </w:div>
    <w:div w:id="796219814">
      <w:marLeft w:val="0"/>
      <w:marRight w:val="0"/>
      <w:marTop w:val="0"/>
      <w:marBottom w:val="0"/>
      <w:divBdr>
        <w:top w:val="none" w:sz="0" w:space="0" w:color="auto"/>
        <w:left w:val="none" w:sz="0" w:space="0" w:color="auto"/>
        <w:bottom w:val="none" w:sz="0" w:space="0" w:color="auto"/>
        <w:right w:val="none" w:sz="0" w:space="0" w:color="auto"/>
      </w:divBdr>
    </w:div>
    <w:div w:id="811555615">
      <w:marLeft w:val="0"/>
      <w:marRight w:val="0"/>
      <w:marTop w:val="0"/>
      <w:marBottom w:val="0"/>
      <w:divBdr>
        <w:top w:val="none" w:sz="0" w:space="0" w:color="auto"/>
        <w:left w:val="none" w:sz="0" w:space="0" w:color="auto"/>
        <w:bottom w:val="none" w:sz="0" w:space="0" w:color="auto"/>
        <w:right w:val="none" w:sz="0" w:space="0" w:color="auto"/>
      </w:divBdr>
    </w:div>
    <w:div w:id="813567514">
      <w:marLeft w:val="0"/>
      <w:marRight w:val="0"/>
      <w:marTop w:val="0"/>
      <w:marBottom w:val="0"/>
      <w:divBdr>
        <w:top w:val="none" w:sz="0" w:space="0" w:color="auto"/>
        <w:left w:val="none" w:sz="0" w:space="0" w:color="auto"/>
        <w:bottom w:val="none" w:sz="0" w:space="0" w:color="auto"/>
        <w:right w:val="none" w:sz="0" w:space="0" w:color="auto"/>
      </w:divBdr>
    </w:div>
    <w:div w:id="822894816">
      <w:marLeft w:val="0"/>
      <w:marRight w:val="0"/>
      <w:marTop w:val="0"/>
      <w:marBottom w:val="0"/>
      <w:divBdr>
        <w:top w:val="none" w:sz="0" w:space="0" w:color="auto"/>
        <w:left w:val="none" w:sz="0" w:space="0" w:color="auto"/>
        <w:bottom w:val="none" w:sz="0" w:space="0" w:color="auto"/>
        <w:right w:val="none" w:sz="0" w:space="0" w:color="auto"/>
      </w:divBdr>
    </w:div>
    <w:div w:id="826285872">
      <w:marLeft w:val="0"/>
      <w:marRight w:val="0"/>
      <w:marTop w:val="0"/>
      <w:marBottom w:val="0"/>
      <w:divBdr>
        <w:top w:val="none" w:sz="0" w:space="0" w:color="auto"/>
        <w:left w:val="none" w:sz="0" w:space="0" w:color="auto"/>
        <w:bottom w:val="none" w:sz="0" w:space="0" w:color="auto"/>
        <w:right w:val="none" w:sz="0" w:space="0" w:color="auto"/>
      </w:divBdr>
    </w:div>
    <w:div w:id="831676873">
      <w:marLeft w:val="0"/>
      <w:marRight w:val="0"/>
      <w:marTop w:val="0"/>
      <w:marBottom w:val="0"/>
      <w:divBdr>
        <w:top w:val="none" w:sz="0" w:space="0" w:color="auto"/>
        <w:left w:val="none" w:sz="0" w:space="0" w:color="auto"/>
        <w:bottom w:val="none" w:sz="0" w:space="0" w:color="auto"/>
        <w:right w:val="none" w:sz="0" w:space="0" w:color="auto"/>
      </w:divBdr>
    </w:div>
    <w:div w:id="834881890">
      <w:marLeft w:val="0"/>
      <w:marRight w:val="0"/>
      <w:marTop w:val="0"/>
      <w:marBottom w:val="0"/>
      <w:divBdr>
        <w:top w:val="none" w:sz="0" w:space="0" w:color="auto"/>
        <w:left w:val="none" w:sz="0" w:space="0" w:color="auto"/>
        <w:bottom w:val="none" w:sz="0" w:space="0" w:color="auto"/>
        <w:right w:val="none" w:sz="0" w:space="0" w:color="auto"/>
      </w:divBdr>
    </w:div>
    <w:div w:id="839346167">
      <w:marLeft w:val="0"/>
      <w:marRight w:val="0"/>
      <w:marTop w:val="0"/>
      <w:marBottom w:val="0"/>
      <w:divBdr>
        <w:top w:val="none" w:sz="0" w:space="0" w:color="auto"/>
        <w:left w:val="none" w:sz="0" w:space="0" w:color="auto"/>
        <w:bottom w:val="none" w:sz="0" w:space="0" w:color="auto"/>
        <w:right w:val="none" w:sz="0" w:space="0" w:color="auto"/>
      </w:divBdr>
    </w:div>
    <w:div w:id="840004183">
      <w:marLeft w:val="0"/>
      <w:marRight w:val="0"/>
      <w:marTop w:val="0"/>
      <w:marBottom w:val="0"/>
      <w:divBdr>
        <w:top w:val="none" w:sz="0" w:space="0" w:color="auto"/>
        <w:left w:val="none" w:sz="0" w:space="0" w:color="auto"/>
        <w:bottom w:val="none" w:sz="0" w:space="0" w:color="auto"/>
        <w:right w:val="none" w:sz="0" w:space="0" w:color="auto"/>
      </w:divBdr>
    </w:div>
    <w:div w:id="841631085">
      <w:marLeft w:val="0"/>
      <w:marRight w:val="0"/>
      <w:marTop w:val="0"/>
      <w:marBottom w:val="0"/>
      <w:divBdr>
        <w:top w:val="none" w:sz="0" w:space="0" w:color="auto"/>
        <w:left w:val="none" w:sz="0" w:space="0" w:color="auto"/>
        <w:bottom w:val="none" w:sz="0" w:space="0" w:color="auto"/>
        <w:right w:val="none" w:sz="0" w:space="0" w:color="auto"/>
      </w:divBdr>
      <w:divsChild>
        <w:div w:id="1975481824">
          <w:marLeft w:val="0"/>
          <w:marRight w:val="0"/>
          <w:marTop w:val="0"/>
          <w:marBottom w:val="0"/>
          <w:divBdr>
            <w:top w:val="none" w:sz="0" w:space="0" w:color="auto"/>
            <w:left w:val="none" w:sz="0" w:space="0" w:color="auto"/>
            <w:bottom w:val="none" w:sz="0" w:space="0" w:color="auto"/>
            <w:right w:val="none" w:sz="0" w:space="0" w:color="auto"/>
          </w:divBdr>
        </w:div>
      </w:divsChild>
    </w:div>
    <w:div w:id="842284982">
      <w:marLeft w:val="0"/>
      <w:marRight w:val="0"/>
      <w:marTop w:val="0"/>
      <w:marBottom w:val="0"/>
      <w:divBdr>
        <w:top w:val="none" w:sz="0" w:space="0" w:color="auto"/>
        <w:left w:val="none" w:sz="0" w:space="0" w:color="auto"/>
        <w:bottom w:val="none" w:sz="0" w:space="0" w:color="auto"/>
        <w:right w:val="none" w:sz="0" w:space="0" w:color="auto"/>
      </w:divBdr>
    </w:div>
    <w:div w:id="842475150">
      <w:marLeft w:val="0"/>
      <w:marRight w:val="0"/>
      <w:marTop w:val="0"/>
      <w:marBottom w:val="0"/>
      <w:divBdr>
        <w:top w:val="none" w:sz="0" w:space="0" w:color="auto"/>
        <w:left w:val="none" w:sz="0" w:space="0" w:color="auto"/>
        <w:bottom w:val="none" w:sz="0" w:space="0" w:color="auto"/>
        <w:right w:val="none" w:sz="0" w:space="0" w:color="auto"/>
      </w:divBdr>
    </w:div>
    <w:div w:id="845556690">
      <w:marLeft w:val="0"/>
      <w:marRight w:val="0"/>
      <w:marTop w:val="0"/>
      <w:marBottom w:val="0"/>
      <w:divBdr>
        <w:top w:val="none" w:sz="0" w:space="0" w:color="auto"/>
        <w:left w:val="none" w:sz="0" w:space="0" w:color="auto"/>
        <w:bottom w:val="none" w:sz="0" w:space="0" w:color="auto"/>
        <w:right w:val="none" w:sz="0" w:space="0" w:color="auto"/>
      </w:divBdr>
    </w:div>
    <w:div w:id="846600629">
      <w:marLeft w:val="0"/>
      <w:marRight w:val="0"/>
      <w:marTop w:val="0"/>
      <w:marBottom w:val="0"/>
      <w:divBdr>
        <w:top w:val="none" w:sz="0" w:space="0" w:color="auto"/>
        <w:left w:val="none" w:sz="0" w:space="0" w:color="auto"/>
        <w:bottom w:val="none" w:sz="0" w:space="0" w:color="auto"/>
        <w:right w:val="none" w:sz="0" w:space="0" w:color="auto"/>
      </w:divBdr>
      <w:divsChild>
        <w:div w:id="1758088806">
          <w:marLeft w:val="0"/>
          <w:marRight w:val="0"/>
          <w:marTop w:val="0"/>
          <w:marBottom w:val="0"/>
          <w:divBdr>
            <w:top w:val="none" w:sz="0" w:space="0" w:color="auto"/>
            <w:left w:val="none" w:sz="0" w:space="0" w:color="auto"/>
            <w:bottom w:val="none" w:sz="0" w:space="0" w:color="auto"/>
            <w:right w:val="none" w:sz="0" w:space="0" w:color="auto"/>
          </w:divBdr>
        </w:div>
        <w:div w:id="949355739">
          <w:marLeft w:val="0"/>
          <w:marRight w:val="0"/>
          <w:marTop w:val="0"/>
          <w:marBottom w:val="0"/>
          <w:divBdr>
            <w:top w:val="none" w:sz="0" w:space="0" w:color="auto"/>
            <w:left w:val="none" w:sz="0" w:space="0" w:color="auto"/>
            <w:bottom w:val="none" w:sz="0" w:space="0" w:color="auto"/>
            <w:right w:val="none" w:sz="0" w:space="0" w:color="auto"/>
          </w:divBdr>
        </w:div>
      </w:divsChild>
    </w:div>
    <w:div w:id="847403729">
      <w:marLeft w:val="0"/>
      <w:marRight w:val="0"/>
      <w:marTop w:val="0"/>
      <w:marBottom w:val="0"/>
      <w:divBdr>
        <w:top w:val="none" w:sz="0" w:space="0" w:color="auto"/>
        <w:left w:val="none" w:sz="0" w:space="0" w:color="auto"/>
        <w:bottom w:val="none" w:sz="0" w:space="0" w:color="auto"/>
        <w:right w:val="none" w:sz="0" w:space="0" w:color="auto"/>
      </w:divBdr>
    </w:div>
    <w:div w:id="851147942">
      <w:marLeft w:val="0"/>
      <w:marRight w:val="0"/>
      <w:marTop w:val="0"/>
      <w:marBottom w:val="0"/>
      <w:divBdr>
        <w:top w:val="none" w:sz="0" w:space="0" w:color="auto"/>
        <w:left w:val="none" w:sz="0" w:space="0" w:color="auto"/>
        <w:bottom w:val="none" w:sz="0" w:space="0" w:color="auto"/>
        <w:right w:val="none" w:sz="0" w:space="0" w:color="auto"/>
      </w:divBdr>
    </w:div>
    <w:div w:id="851533577">
      <w:marLeft w:val="0"/>
      <w:marRight w:val="0"/>
      <w:marTop w:val="0"/>
      <w:marBottom w:val="0"/>
      <w:divBdr>
        <w:top w:val="none" w:sz="0" w:space="0" w:color="auto"/>
        <w:left w:val="none" w:sz="0" w:space="0" w:color="auto"/>
        <w:bottom w:val="none" w:sz="0" w:space="0" w:color="auto"/>
        <w:right w:val="none" w:sz="0" w:space="0" w:color="auto"/>
      </w:divBdr>
    </w:div>
    <w:div w:id="853884557">
      <w:marLeft w:val="0"/>
      <w:marRight w:val="0"/>
      <w:marTop w:val="0"/>
      <w:marBottom w:val="0"/>
      <w:divBdr>
        <w:top w:val="none" w:sz="0" w:space="0" w:color="auto"/>
        <w:left w:val="none" w:sz="0" w:space="0" w:color="auto"/>
        <w:bottom w:val="none" w:sz="0" w:space="0" w:color="auto"/>
        <w:right w:val="none" w:sz="0" w:space="0" w:color="auto"/>
      </w:divBdr>
    </w:div>
    <w:div w:id="858815856">
      <w:marLeft w:val="0"/>
      <w:marRight w:val="0"/>
      <w:marTop w:val="0"/>
      <w:marBottom w:val="0"/>
      <w:divBdr>
        <w:top w:val="none" w:sz="0" w:space="0" w:color="auto"/>
        <w:left w:val="none" w:sz="0" w:space="0" w:color="auto"/>
        <w:bottom w:val="none" w:sz="0" w:space="0" w:color="auto"/>
        <w:right w:val="none" w:sz="0" w:space="0" w:color="auto"/>
      </w:divBdr>
    </w:div>
    <w:div w:id="860780511">
      <w:marLeft w:val="0"/>
      <w:marRight w:val="0"/>
      <w:marTop w:val="0"/>
      <w:marBottom w:val="0"/>
      <w:divBdr>
        <w:top w:val="none" w:sz="0" w:space="0" w:color="auto"/>
        <w:left w:val="none" w:sz="0" w:space="0" w:color="auto"/>
        <w:bottom w:val="none" w:sz="0" w:space="0" w:color="auto"/>
        <w:right w:val="none" w:sz="0" w:space="0" w:color="auto"/>
      </w:divBdr>
      <w:divsChild>
        <w:div w:id="1393771107">
          <w:marLeft w:val="0"/>
          <w:marRight w:val="0"/>
          <w:marTop w:val="0"/>
          <w:marBottom w:val="0"/>
          <w:divBdr>
            <w:top w:val="none" w:sz="0" w:space="0" w:color="auto"/>
            <w:left w:val="none" w:sz="0" w:space="0" w:color="auto"/>
            <w:bottom w:val="none" w:sz="0" w:space="0" w:color="auto"/>
            <w:right w:val="none" w:sz="0" w:space="0" w:color="auto"/>
          </w:divBdr>
        </w:div>
        <w:div w:id="1769737979">
          <w:marLeft w:val="0"/>
          <w:marRight w:val="0"/>
          <w:marTop w:val="0"/>
          <w:marBottom w:val="0"/>
          <w:divBdr>
            <w:top w:val="none" w:sz="0" w:space="0" w:color="auto"/>
            <w:left w:val="none" w:sz="0" w:space="0" w:color="auto"/>
            <w:bottom w:val="none" w:sz="0" w:space="0" w:color="auto"/>
            <w:right w:val="none" w:sz="0" w:space="0" w:color="auto"/>
          </w:divBdr>
        </w:div>
        <w:div w:id="1295677765">
          <w:marLeft w:val="0"/>
          <w:marRight w:val="0"/>
          <w:marTop w:val="0"/>
          <w:marBottom w:val="0"/>
          <w:divBdr>
            <w:top w:val="none" w:sz="0" w:space="0" w:color="auto"/>
            <w:left w:val="none" w:sz="0" w:space="0" w:color="auto"/>
            <w:bottom w:val="none" w:sz="0" w:space="0" w:color="auto"/>
            <w:right w:val="none" w:sz="0" w:space="0" w:color="auto"/>
          </w:divBdr>
        </w:div>
        <w:div w:id="32003102">
          <w:marLeft w:val="0"/>
          <w:marRight w:val="0"/>
          <w:marTop w:val="0"/>
          <w:marBottom w:val="0"/>
          <w:divBdr>
            <w:top w:val="none" w:sz="0" w:space="0" w:color="auto"/>
            <w:left w:val="none" w:sz="0" w:space="0" w:color="auto"/>
            <w:bottom w:val="none" w:sz="0" w:space="0" w:color="auto"/>
            <w:right w:val="none" w:sz="0" w:space="0" w:color="auto"/>
          </w:divBdr>
        </w:div>
      </w:divsChild>
    </w:div>
    <w:div w:id="865752342">
      <w:marLeft w:val="0"/>
      <w:marRight w:val="0"/>
      <w:marTop w:val="0"/>
      <w:marBottom w:val="0"/>
      <w:divBdr>
        <w:top w:val="none" w:sz="0" w:space="0" w:color="auto"/>
        <w:left w:val="none" w:sz="0" w:space="0" w:color="auto"/>
        <w:bottom w:val="none" w:sz="0" w:space="0" w:color="auto"/>
        <w:right w:val="none" w:sz="0" w:space="0" w:color="auto"/>
      </w:divBdr>
      <w:divsChild>
        <w:div w:id="724373978">
          <w:marLeft w:val="0"/>
          <w:marRight w:val="0"/>
          <w:marTop w:val="0"/>
          <w:marBottom w:val="0"/>
          <w:divBdr>
            <w:top w:val="none" w:sz="0" w:space="0" w:color="auto"/>
            <w:left w:val="none" w:sz="0" w:space="0" w:color="auto"/>
            <w:bottom w:val="none" w:sz="0" w:space="0" w:color="auto"/>
            <w:right w:val="none" w:sz="0" w:space="0" w:color="auto"/>
          </w:divBdr>
        </w:div>
      </w:divsChild>
    </w:div>
    <w:div w:id="865799714">
      <w:marLeft w:val="0"/>
      <w:marRight w:val="0"/>
      <w:marTop w:val="0"/>
      <w:marBottom w:val="0"/>
      <w:divBdr>
        <w:top w:val="none" w:sz="0" w:space="0" w:color="auto"/>
        <w:left w:val="none" w:sz="0" w:space="0" w:color="auto"/>
        <w:bottom w:val="none" w:sz="0" w:space="0" w:color="auto"/>
        <w:right w:val="none" w:sz="0" w:space="0" w:color="auto"/>
      </w:divBdr>
    </w:div>
    <w:div w:id="866874602">
      <w:marLeft w:val="0"/>
      <w:marRight w:val="0"/>
      <w:marTop w:val="0"/>
      <w:marBottom w:val="0"/>
      <w:divBdr>
        <w:top w:val="none" w:sz="0" w:space="0" w:color="auto"/>
        <w:left w:val="none" w:sz="0" w:space="0" w:color="auto"/>
        <w:bottom w:val="none" w:sz="0" w:space="0" w:color="auto"/>
        <w:right w:val="none" w:sz="0" w:space="0" w:color="auto"/>
      </w:divBdr>
    </w:div>
    <w:div w:id="867259667">
      <w:marLeft w:val="0"/>
      <w:marRight w:val="0"/>
      <w:marTop w:val="0"/>
      <w:marBottom w:val="0"/>
      <w:divBdr>
        <w:top w:val="none" w:sz="0" w:space="0" w:color="auto"/>
        <w:left w:val="none" w:sz="0" w:space="0" w:color="auto"/>
        <w:bottom w:val="none" w:sz="0" w:space="0" w:color="auto"/>
        <w:right w:val="none" w:sz="0" w:space="0" w:color="auto"/>
      </w:divBdr>
    </w:div>
    <w:div w:id="867335335">
      <w:marLeft w:val="0"/>
      <w:marRight w:val="0"/>
      <w:marTop w:val="0"/>
      <w:marBottom w:val="0"/>
      <w:divBdr>
        <w:top w:val="none" w:sz="0" w:space="0" w:color="auto"/>
        <w:left w:val="none" w:sz="0" w:space="0" w:color="auto"/>
        <w:bottom w:val="none" w:sz="0" w:space="0" w:color="auto"/>
        <w:right w:val="none" w:sz="0" w:space="0" w:color="auto"/>
      </w:divBdr>
    </w:div>
    <w:div w:id="867526468">
      <w:marLeft w:val="0"/>
      <w:marRight w:val="0"/>
      <w:marTop w:val="0"/>
      <w:marBottom w:val="0"/>
      <w:divBdr>
        <w:top w:val="none" w:sz="0" w:space="0" w:color="auto"/>
        <w:left w:val="none" w:sz="0" w:space="0" w:color="auto"/>
        <w:bottom w:val="none" w:sz="0" w:space="0" w:color="auto"/>
        <w:right w:val="none" w:sz="0" w:space="0" w:color="auto"/>
      </w:divBdr>
    </w:div>
    <w:div w:id="872036628">
      <w:marLeft w:val="0"/>
      <w:marRight w:val="0"/>
      <w:marTop w:val="0"/>
      <w:marBottom w:val="0"/>
      <w:divBdr>
        <w:top w:val="none" w:sz="0" w:space="0" w:color="auto"/>
        <w:left w:val="none" w:sz="0" w:space="0" w:color="auto"/>
        <w:bottom w:val="none" w:sz="0" w:space="0" w:color="auto"/>
        <w:right w:val="none" w:sz="0" w:space="0" w:color="auto"/>
      </w:divBdr>
    </w:div>
    <w:div w:id="876622556">
      <w:marLeft w:val="0"/>
      <w:marRight w:val="0"/>
      <w:marTop w:val="0"/>
      <w:marBottom w:val="0"/>
      <w:divBdr>
        <w:top w:val="none" w:sz="0" w:space="0" w:color="auto"/>
        <w:left w:val="none" w:sz="0" w:space="0" w:color="auto"/>
        <w:bottom w:val="none" w:sz="0" w:space="0" w:color="auto"/>
        <w:right w:val="none" w:sz="0" w:space="0" w:color="auto"/>
      </w:divBdr>
    </w:div>
    <w:div w:id="880215518">
      <w:marLeft w:val="0"/>
      <w:marRight w:val="0"/>
      <w:marTop w:val="0"/>
      <w:marBottom w:val="0"/>
      <w:divBdr>
        <w:top w:val="none" w:sz="0" w:space="0" w:color="auto"/>
        <w:left w:val="none" w:sz="0" w:space="0" w:color="auto"/>
        <w:bottom w:val="none" w:sz="0" w:space="0" w:color="auto"/>
        <w:right w:val="none" w:sz="0" w:space="0" w:color="auto"/>
      </w:divBdr>
    </w:div>
    <w:div w:id="884562959">
      <w:marLeft w:val="0"/>
      <w:marRight w:val="0"/>
      <w:marTop w:val="0"/>
      <w:marBottom w:val="0"/>
      <w:divBdr>
        <w:top w:val="none" w:sz="0" w:space="0" w:color="auto"/>
        <w:left w:val="none" w:sz="0" w:space="0" w:color="auto"/>
        <w:bottom w:val="none" w:sz="0" w:space="0" w:color="auto"/>
        <w:right w:val="none" w:sz="0" w:space="0" w:color="auto"/>
      </w:divBdr>
    </w:div>
    <w:div w:id="890575082">
      <w:marLeft w:val="0"/>
      <w:marRight w:val="0"/>
      <w:marTop w:val="0"/>
      <w:marBottom w:val="0"/>
      <w:divBdr>
        <w:top w:val="none" w:sz="0" w:space="0" w:color="auto"/>
        <w:left w:val="none" w:sz="0" w:space="0" w:color="auto"/>
        <w:bottom w:val="none" w:sz="0" w:space="0" w:color="auto"/>
        <w:right w:val="none" w:sz="0" w:space="0" w:color="auto"/>
      </w:divBdr>
    </w:div>
    <w:div w:id="893471896">
      <w:marLeft w:val="0"/>
      <w:marRight w:val="0"/>
      <w:marTop w:val="0"/>
      <w:marBottom w:val="0"/>
      <w:divBdr>
        <w:top w:val="none" w:sz="0" w:space="0" w:color="auto"/>
        <w:left w:val="none" w:sz="0" w:space="0" w:color="auto"/>
        <w:bottom w:val="none" w:sz="0" w:space="0" w:color="auto"/>
        <w:right w:val="none" w:sz="0" w:space="0" w:color="auto"/>
      </w:divBdr>
    </w:div>
    <w:div w:id="894238877">
      <w:marLeft w:val="0"/>
      <w:marRight w:val="0"/>
      <w:marTop w:val="0"/>
      <w:marBottom w:val="0"/>
      <w:divBdr>
        <w:top w:val="none" w:sz="0" w:space="0" w:color="auto"/>
        <w:left w:val="none" w:sz="0" w:space="0" w:color="auto"/>
        <w:bottom w:val="none" w:sz="0" w:space="0" w:color="auto"/>
        <w:right w:val="none" w:sz="0" w:space="0" w:color="auto"/>
      </w:divBdr>
    </w:div>
    <w:div w:id="897131646">
      <w:marLeft w:val="0"/>
      <w:marRight w:val="0"/>
      <w:marTop w:val="0"/>
      <w:marBottom w:val="0"/>
      <w:divBdr>
        <w:top w:val="none" w:sz="0" w:space="0" w:color="auto"/>
        <w:left w:val="none" w:sz="0" w:space="0" w:color="auto"/>
        <w:bottom w:val="none" w:sz="0" w:space="0" w:color="auto"/>
        <w:right w:val="none" w:sz="0" w:space="0" w:color="auto"/>
      </w:divBdr>
    </w:div>
    <w:div w:id="900945809">
      <w:marLeft w:val="0"/>
      <w:marRight w:val="0"/>
      <w:marTop w:val="0"/>
      <w:marBottom w:val="0"/>
      <w:divBdr>
        <w:top w:val="none" w:sz="0" w:space="0" w:color="auto"/>
        <w:left w:val="none" w:sz="0" w:space="0" w:color="auto"/>
        <w:bottom w:val="none" w:sz="0" w:space="0" w:color="auto"/>
        <w:right w:val="none" w:sz="0" w:space="0" w:color="auto"/>
      </w:divBdr>
    </w:div>
    <w:div w:id="906262795">
      <w:marLeft w:val="0"/>
      <w:marRight w:val="0"/>
      <w:marTop w:val="0"/>
      <w:marBottom w:val="0"/>
      <w:divBdr>
        <w:top w:val="none" w:sz="0" w:space="0" w:color="auto"/>
        <w:left w:val="none" w:sz="0" w:space="0" w:color="auto"/>
        <w:bottom w:val="none" w:sz="0" w:space="0" w:color="auto"/>
        <w:right w:val="none" w:sz="0" w:space="0" w:color="auto"/>
      </w:divBdr>
    </w:div>
    <w:div w:id="907496563">
      <w:marLeft w:val="0"/>
      <w:marRight w:val="0"/>
      <w:marTop w:val="0"/>
      <w:marBottom w:val="0"/>
      <w:divBdr>
        <w:top w:val="none" w:sz="0" w:space="0" w:color="auto"/>
        <w:left w:val="none" w:sz="0" w:space="0" w:color="auto"/>
        <w:bottom w:val="none" w:sz="0" w:space="0" w:color="auto"/>
        <w:right w:val="none" w:sz="0" w:space="0" w:color="auto"/>
      </w:divBdr>
    </w:div>
    <w:div w:id="908079515">
      <w:marLeft w:val="0"/>
      <w:marRight w:val="0"/>
      <w:marTop w:val="0"/>
      <w:marBottom w:val="0"/>
      <w:divBdr>
        <w:top w:val="none" w:sz="0" w:space="0" w:color="auto"/>
        <w:left w:val="none" w:sz="0" w:space="0" w:color="auto"/>
        <w:bottom w:val="none" w:sz="0" w:space="0" w:color="auto"/>
        <w:right w:val="none" w:sz="0" w:space="0" w:color="auto"/>
      </w:divBdr>
    </w:div>
    <w:div w:id="910314206">
      <w:marLeft w:val="0"/>
      <w:marRight w:val="0"/>
      <w:marTop w:val="0"/>
      <w:marBottom w:val="0"/>
      <w:divBdr>
        <w:top w:val="none" w:sz="0" w:space="0" w:color="auto"/>
        <w:left w:val="none" w:sz="0" w:space="0" w:color="auto"/>
        <w:bottom w:val="none" w:sz="0" w:space="0" w:color="auto"/>
        <w:right w:val="none" w:sz="0" w:space="0" w:color="auto"/>
      </w:divBdr>
    </w:div>
    <w:div w:id="910652447">
      <w:marLeft w:val="0"/>
      <w:marRight w:val="0"/>
      <w:marTop w:val="0"/>
      <w:marBottom w:val="0"/>
      <w:divBdr>
        <w:top w:val="none" w:sz="0" w:space="0" w:color="auto"/>
        <w:left w:val="none" w:sz="0" w:space="0" w:color="auto"/>
        <w:bottom w:val="none" w:sz="0" w:space="0" w:color="auto"/>
        <w:right w:val="none" w:sz="0" w:space="0" w:color="auto"/>
      </w:divBdr>
    </w:div>
    <w:div w:id="911233957">
      <w:marLeft w:val="0"/>
      <w:marRight w:val="0"/>
      <w:marTop w:val="0"/>
      <w:marBottom w:val="0"/>
      <w:divBdr>
        <w:top w:val="none" w:sz="0" w:space="0" w:color="auto"/>
        <w:left w:val="none" w:sz="0" w:space="0" w:color="auto"/>
        <w:bottom w:val="none" w:sz="0" w:space="0" w:color="auto"/>
        <w:right w:val="none" w:sz="0" w:space="0" w:color="auto"/>
      </w:divBdr>
    </w:div>
    <w:div w:id="912664972">
      <w:marLeft w:val="0"/>
      <w:marRight w:val="0"/>
      <w:marTop w:val="0"/>
      <w:marBottom w:val="0"/>
      <w:divBdr>
        <w:top w:val="none" w:sz="0" w:space="0" w:color="auto"/>
        <w:left w:val="none" w:sz="0" w:space="0" w:color="auto"/>
        <w:bottom w:val="none" w:sz="0" w:space="0" w:color="auto"/>
        <w:right w:val="none" w:sz="0" w:space="0" w:color="auto"/>
      </w:divBdr>
    </w:div>
    <w:div w:id="913197369">
      <w:marLeft w:val="0"/>
      <w:marRight w:val="0"/>
      <w:marTop w:val="0"/>
      <w:marBottom w:val="0"/>
      <w:divBdr>
        <w:top w:val="none" w:sz="0" w:space="0" w:color="auto"/>
        <w:left w:val="none" w:sz="0" w:space="0" w:color="auto"/>
        <w:bottom w:val="none" w:sz="0" w:space="0" w:color="auto"/>
        <w:right w:val="none" w:sz="0" w:space="0" w:color="auto"/>
      </w:divBdr>
    </w:div>
    <w:div w:id="915626369">
      <w:marLeft w:val="0"/>
      <w:marRight w:val="0"/>
      <w:marTop w:val="0"/>
      <w:marBottom w:val="0"/>
      <w:divBdr>
        <w:top w:val="none" w:sz="0" w:space="0" w:color="auto"/>
        <w:left w:val="none" w:sz="0" w:space="0" w:color="auto"/>
        <w:bottom w:val="none" w:sz="0" w:space="0" w:color="auto"/>
        <w:right w:val="none" w:sz="0" w:space="0" w:color="auto"/>
      </w:divBdr>
    </w:div>
    <w:div w:id="915821598">
      <w:marLeft w:val="0"/>
      <w:marRight w:val="0"/>
      <w:marTop w:val="0"/>
      <w:marBottom w:val="0"/>
      <w:divBdr>
        <w:top w:val="none" w:sz="0" w:space="0" w:color="auto"/>
        <w:left w:val="none" w:sz="0" w:space="0" w:color="auto"/>
        <w:bottom w:val="none" w:sz="0" w:space="0" w:color="auto"/>
        <w:right w:val="none" w:sz="0" w:space="0" w:color="auto"/>
      </w:divBdr>
    </w:div>
    <w:div w:id="916940578">
      <w:marLeft w:val="0"/>
      <w:marRight w:val="0"/>
      <w:marTop w:val="0"/>
      <w:marBottom w:val="0"/>
      <w:divBdr>
        <w:top w:val="none" w:sz="0" w:space="0" w:color="auto"/>
        <w:left w:val="none" w:sz="0" w:space="0" w:color="auto"/>
        <w:bottom w:val="none" w:sz="0" w:space="0" w:color="auto"/>
        <w:right w:val="none" w:sz="0" w:space="0" w:color="auto"/>
      </w:divBdr>
    </w:div>
    <w:div w:id="919943687">
      <w:marLeft w:val="0"/>
      <w:marRight w:val="0"/>
      <w:marTop w:val="0"/>
      <w:marBottom w:val="0"/>
      <w:divBdr>
        <w:top w:val="none" w:sz="0" w:space="0" w:color="auto"/>
        <w:left w:val="none" w:sz="0" w:space="0" w:color="auto"/>
        <w:bottom w:val="none" w:sz="0" w:space="0" w:color="auto"/>
        <w:right w:val="none" w:sz="0" w:space="0" w:color="auto"/>
      </w:divBdr>
    </w:div>
    <w:div w:id="923879188">
      <w:marLeft w:val="0"/>
      <w:marRight w:val="0"/>
      <w:marTop w:val="0"/>
      <w:marBottom w:val="0"/>
      <w:divBdr>
        <w:top w:val="none" w:sz="0" w:space="0" w:color="auto"/>
        <w:left w:val="none" w:sz="0" w:space="0" w:color="auto"/>
        <w:bottom w:val="none" w:sz="0" w:space="0" w:color="auto"/>
        <w:right w:val="none" w:sz="0" w:space="0" w:color="auto"/>
      </w:divBdr>
    </w:div>
    <w:div w:id="924804055">
      <w:marLeft w:val="0"/>
      <w:marRight w:val="0"/>
      <w:marTop w:val="0"/>
      <w:marBottom w:val="0"/>
      <w:divBdr>
        <w:top w:val="none" w:sz="0" w:space="0" w:color="auto"/>
        <w:left w:val="none" w:sz="0" w:space="0" w:color="auto"/>
        <w:bottom w:val="none" w:sz="0" w:space="0" w:color="auto"/>
        <w:right w:val="none" w:sz="0" w:space="0" w:color="auto"/>
      </w:divBdr>
    </w:div>
    <w:div w:id="927151573">
      <w:marLeft w:val="0"/>
      <w:marRight w:val="0"/>
      <w:marTop w:val="0"/>
      <w:marBottom w:val="0"/>
      <w:divBdr>
        <w:top w:val="none" w:sz="0" w:space="0" w:color="auto"/>
        <w:left w:val="none" w:sz="0" w:space="0" w:color="auto"/>
        <w:bottom w:val="none" w:sz="0" w:space="0" w:color="auto"/>
        <w:right w:val="none" w:sz="0" w:space="0" w:color="auto"/>
      </w:divBdr>
    </w:div>
    <w:div w:id="927808949">
      <w:marLeft w:val="0"/>
      <w:marRight w:val="0"/>
      <w:marTop w:val="0"/>
      <w:marBottom w:val="0"/>
      <w:divBdr>
        <w:top w:val="none" w:sz="0" w:space="0" w:color="auto"/>
        <w:left w:val="none" w:sz="0" w:space="0" w:color="auto"/>
        <w:bottom w:val="none" w:sz="0" w:space="0" w:color="auto"/>
        <w:right w:val="none" w:sz="0" w:space="0" w:color="auto"/>
      </w:divBdr>
    </w:div>
    <w:div w:id="928125997">
      <w:marLeft w:val="0"/>
      <w:marRight w:val="0"/>
      <w:marTop w:val="0"/>
      <w:marBottom w:val="0"/>
      <w:divBdr>
        <w:top w:val="none" w:sz="0" w:space="0" w:color="auto"/>
        <w:left w:val="none" w:sz="0" w:space="0" w:color="auto"/>
        <w:bottom w:val="none" w:sz="0" w:space="0" w:color="auto"/>
        <w:right w:val="none" w:sz="0" w:space="0" w:color="auto"/>
      </w:divBdr>
    </w:div>
    <w:div w:id="930047063">
      <w:marLeft w:val="0"/>
      <w:marRight w:val="0"/>
      <w:marTop w:val="0"/>
      <w:marBottom w:val="0"/>
      <w:divBdr>
        <w:top w:val="none" w:sz="0" w:space="0" w:color="auto"/>
        <w:left w:val="none" w:sz="0" w:space="0" w:color="auto"/>
        <w:bottom w:val="none" w:sz="0" w:space="0" w:color="auto"/>
        <w:right w:val="none" w:sz="0" w:space="0" w:color="auto"/>
      </w:divBdr>
    </w:div>
    <w:div w:id="930049824">
      <w:marLeft w:val="0"/>
      <w:marRight w:val="0"/>
      <w:marTop w:val="0"/>
      <w:marBottom w:val="0"/>
      <w:divBdr>
        <w:top w:val="none" w:sz="0" w:space="0" w:color="auto"/>
        <w:left w:val="none" w:sz="0" w:space="0" w:color="auto"/>
        <w:bottom w:val="none" w:sz="0" w:space="0" w:color="auto"/>
        <w:right w:val="none" w:sz="0" w:space="0" w:color="auto"/>
      </w:divBdr>
    </w:div>
    <w:div w:id="933248395">
      <w:marLeft w:val="0"/>
      <w:marRight w:val="0"/>
      <w:marTop w:val="0"/>
      <w:marBottom w:val="0"/>
      <w:divBdr>
        <w:top w:val="none" w:sz="0" w:space="0" w:color="auto"/>
        <w:left w:val="none" w:sz="0" w:space="0" w:color="auto"/>
        <w:bottom w:val="none" w:sz="0" w:space="0" w:color="auto"/>
        <w:right w:val="none" w:sz="0" w:space="0" w:color="auto"/>
      </w:divBdr>
      <w:divsChild>
        <w:div w:id="1467547849">
          <w:marLeft w:val="0"/>
          <w:marRight w:val="0"/>
          <w:marTop w:val="0"/>
          <w:marBottom w:val="0"/>
          <w:divBdr>
            <w:top w:val="none" w:sz="0" w:space="0" w:color="auto"/>
            <w:left w:val="none" w:sz="0" w:space="0" w:color="auto"/>
            <w:bottom w:val="none" w:sz="0" w:space="0" w:color="auto"/>
            <w:right w:val="none" w:sz="0" w:space="0" w:color="auto"/>
          </w:divBdr>
        </w:div>
      </w:divsChild>
    </w:div>
    <w:div w:id="934023949">
      <w:marLeft w:val="0"/>
      <w:marRight w:val="0"/>
      <w:marTop w:val="0"/>
      <w:marBottom w:val="0"/>
      <w:divBdr>
        <w:top w:val="none" w:sz="0" w:space="0" w:color="auto"/>
        <w:left w:val="none" w:sz="0" w:space="0" w:color="auto"/>
        <w:bottom w:val="none" w:sz="0" w:space="0" w:color="auto"/>
        <w:right w:val="none" w:sz="0" w:space="0" w:color="auto"/>
      </w:divBdr>
    </w:div>
    <w:div w:id="934820280">
      <w:marLeft w:val="0"/>
      <w:marRight w:val="0"/>
      <w:marTop w:val="0"/>
      <w:marBottom w:val="0"/>
      <w:divBdr>
        <w:top w:val="none" w:sz="0" w:space="0" w:color="auto"/>
        <w:left w:val="none" w:sz="0" w:space="0" w:color="auto"/>
        <w:bottom w:val="none" w:sz="0" w:space="0" w:color="auto"/>
        <w:right w:val="none" w:sz="0" w:space="0" w:color="auto"/>
      </w:divBdr>
    </w:div>
    <w:div w:id="943267553">
      <w:marLeft w:val="0"/>
      <w:marRight w:val="0"/>
      <w:marTop w:val="60"/>
      <w:marBottom w:val="0"/>
      <w:divBdr>
        <w:top w:val="none" w:sz="0" w:space="0" w:color="auto"/>
        <w:left w:val="none" w:sz="0" w:space="0" w:color="auto"/>
        <w:bottom w:val="none" w:sz="0" w:space="0" w:color="auto"/>
        <w:right w:val="none" w:sz="0" w:space="0" w:color="auto"/>
      </w:divBdr>
    </w:div>
    <w:div w:id="948926108">
      <w:marLeft w:val="0"/>
      <w:marRight w:val="0"/>
      <w:marTop w:val="0"/>
      <w:marBottom w:val="0"/>
      <w:divBdr>
        <w:top w:val="none" w:sz="0" w:space="0" w:color="auto"/>
        <w:left w:val="none" w:sz="0" w:space="0" w:color="auto"/>
        <w:bottom w:val="none" w:sz="0" w:space="0" w:color="auto"/>
        <w:right w:val="none" w:sz="0" w:space="0" w:color="auto"/>
      </w:divBdr>
    </w:div>
    <w:div w:id="950623169">
      <w:marLeft w:val="0"/>
      <w:marRight w:val="0"/>
      <w:marTop w:val="0"/>
      <w:marBottom w:val="0"/>
      <w:divBdr>
        <w:top w:val="none" w:sz="0" w:space="0" w:color="auto"/>
        <w:left w:val="none" w:sz="0" w:space="0" w:color="auto"/>
        <w:bottom w:val="none" w:sz="0" w:space="0" w:color="auto"/>
        <w:right w:val="none" w:sz="0" w:space="0" w:color="auto"/>
      </w:divBdr>
      <w:divsChild>
        <w:div w:id="502430109">
          <w:marLeft w:val="0"/>
          <w:marRight w:val="0"/>
          <w:marTop w:val="0"/>
          <w:marBottom w:val="0"/>
          <w:divBdr>
            <w:top w:val="none" w:sz="0" w:space="0" w:color="auto"/>
            <w:left w:val="none" w:sz="0" w:space="0" w:color="auto"/>
            <w:bottom w:val="none" w:sz="0" w:space="0" w:color="auto"/>
            <w:right w:val="none" w:sz="0" w:space="0" w:color="auto"/>
          </w:divBdr>
        </w:div>
      </w:divsChild>
    </w:div>
    <w:div w:id="952052912">
      <w:marLeft w:val="0"/>
      <w:marRight w:val="0"/>
      <w:marTop w:val="0"/>
      <w:marBottom w:val="0"/>
      <w:divBdr>
        <w:top w:val="none" w:sz="0" w:space="0" w:color="auto"/>
        <w:left w:val="none" w:sz="0" w:space="0" w:color="auto"/>
        <w:bottom w:val="none" w:sz="0" w:space="0" w:color="auto"/>
        <w:right w:val="none" w:sz="0" w:space="0" w:color="auto"/>
      </w:divBdr>
    </w:div>
    <w:div w:id="952639335">
      <w:marLeft w:val="0"/>
      <w:marRight w:val="0"/>
      <w:marTop w:val="0"/>
      <w:marBottom w:val="0"/>
      <w:divBdr>
        <w:top w:val="none" w:sz="0" w:space="0" w:color="auto"/>
        <w:left w:val="none" w:sz="0" w:space="0" w:color="auto"/>
        <w:bottom w:val="none" w:sz="0" w:space="0" w:color="auto"/>
        <w:right w:val="none" w:sz="0" w:space="0" w:color="auto"/>
      </w:divBdr>
    </w:div>
    <w:div w:id="954024829">
      <w:marLeft w:val="0"/>
      <w:marRight w:val="0"/>
      <w:marTop w:val="0"/>
      <w:marBottom w:val="0"/>
      <w:divBdr>
        <w:top w:val="none" w:sz="0" w:space="0" w:color="auto"/>
        <w:left w:val="none" w:sz="0" w:space="0" w:color="auto"/>
        <w:bottom w:val="none" w:sz="0" w:space="0" w:color="auto"/>
        <w:right w:val="none" w:sz="0" w:space="0" w:color="auto"/>
      </w:divBdr>
    </w:div>
    <w:div w:id="955717185">
      <w:marLeft w:val="0"/>
      <w:marRight w:val="0"/>
      <w:marTop w:val="0"/>
      <w:marBottom w:val="0"/>
      <w:divBdr>
        <w:top w:val="none" w:sz="0" w:space="0" w:color="auto"/>
        <w:left w:val="none" w:sz="0" w:space="0" w:color="auto"/>
        <w:bottom w:val="none" w:sz="0" w:space="0" w:color="auto"/>
        <w:right w:val="none" w:sz="0" w:space="0" w:color="auto"/>
      </w:divBdr>
    </w:div>
    <w:div w:id="956720387">
      <w:marLeft w:val="0"/>
      <w:marRight w:val="0"/>
      <w:marTop w:val="0"/>
      <w:marBottom w:val="0"/>
      <w:divBdr>
        <w:top w:val="none" w:sz="0" w:space="0" w:color="auto"/>
        <w:left w:val="none" w:sz="0" w:space="0" w:color="auto"/>
        <w:bottom w:val="none" w:sz="0" w:space="0" w:color="auto"/>
        <w:right w:val="none" w:sz="0" w:space="0" w:color="auto"/>
      </w:divBdr>
    </w:div>
    <w:div w:id="957877781">
      <w:marLeft w:val="0"/>
      <w:marRight w:val="0"/>
      <w:marTop w:val="0"/>
      <w:marBottom w:val="0"/>
      <w:divBdr>
        <w:top w:val="none" w:sz="0" w:space="0" w:color="auto"/>
        <w:left w:val="none" w:sz="0" w:space="0" w:color="auto"/>
        <w:bottom w:val="none" w:sz="0" w:space="0" w:color="auto"/>
        <w:right w:val="none" w:sz="0" w:space="0" w:color="auto"/>
      </w:divBdr>
    </w:div>
    <w:div w:id="962929193">
      <w:marLeft w:val="0"/>
      <w:marRight w:val="0"/>
      <w:marTop w:val="100"/>
      <w:marBottom w:val="0"/>
      <w:divBdr>
        <w:top w:val="none" w:sz="0" w:space="0" w:color="auto"/>
        <w:left w:val="none" w:sz="0" w:space="0" w:color="auto"/>
        <w:bottom w:val="none" w:sz="0" w:space="0" w:color="auto"/>
        <w:right w:val="none" w:sz="0" w:space="0" w:color="auto"/>
      </w:divBdr>
    </w:div>
    <w:div w:id="965312276">
      <w:marLeft w:val="0"/>
      <w:marRight w:val="0"/>
      <w:marTop w:val="0"/>
      <w:marBottom w:val="0"/>
      <w:divBdr>
        <w:top w:val="none" w:sz="0" w:space="0" w:color="auto"/>
        <w:left w:val="none" w:sz="0" w:space="0" w:color="auto"/>
        <w:bottom w:val="none" w:sz="0" w:space="0" w:color="auto"/>
        <w:right w:val="none" w:sz="0" w:space="0" w:color="auto"/>
      </w:divBdr>
      <w:divsChild>
        <w:div w:id="1994095927">
          <w:marLeft w:val="0"/>
          <w:marRight w:val="0"/>
          <w:marTop w:val="0"/>
          <w:marBottom w:val="0"/>
          <w:divBdr>
            <w:top w:val="none" w:sz="0" w:space="0" w:color="auto"/>
            <w:left w:val="none" w:sz="0" w:space="0" w:color="auto"/>
            <w:bottom w:val="none" w:sz="0" w:space="0" w:color="auto"/>
            <w:right w:val="none" w:sz="0" w:space="0" w:color="auto"/>
          </w:divBdr>
        </w:div>
        <w:div w:id="1464420510">
          <w:marLeft w:val="0"/>
          <w:marRight w:val="0"/>
          <w:marTop w:val="0"/>
          <w:marBottom w:val="0"/>
          <w:divBdr>
            <w:top w:val="none" w:sz="0" w:space="0" w:color="auto"/>
            <w:left w:val="none" w:sz="0" w:space="0" w:color="auto"/>
            <w:bottom w:val="none" w:sz="0" w:space="0" w:color="auto"/>
            <w:right w:val="none" w:sz="0" w:space="0" w:color="auto"/>
          </w:divBdr>
        </w:div>
        <w:div w:id="1848444578">
          <w:marLeft w:val="0"/>
          <w:marRight w:val="0"/>
          <w:marTop w:val="0"/>
          <w:marBottom w:val="0"/>
          <w:divBdr>
            <w:top w:val="none" w:sz="0" w:space="0" w:color="auto"/>
            <w:left w:val="none" w:sz="0" w:space="0" w:color="auto"/>
            <w:bottom w:val="none" w:sz="0" w:space="0" w:color="auto"/>
            <w:right w:val="none" w:sz="0" w:space="0" w:color="auto"/>
          </w:divBdr>
        </w:div>
        <w:div w:id="126555155">
          <w:marLeft w:val="0"/>
          <w:marRight w:val="0"/>
          <w:marTop w:val="0"/>
          <w:marBottom w:val="0"/>
          <w:divBdr>
            <w:top w:val="none" w:sz="0" w:space="0" w:color="auto"/>
            <w:left w:val="none" w:sz="0" w:space="0" w:color="auto"/>
            <w:bottom w:val="none" w:sz="0" w:space="0" w:color="auto"/>
            <w:right w:val="none" w:sz="0" w:space="0" w:color="auto"/>
          </w:divBdr>
        </w:div>
        <w:div w:id="838543074">
          <w:marLeft w:val="0"/>
          <w:marRight w:val="0"/>
          <w:marTop w:val="0"/>
          <w:marBottom w:val="0"/>
          <w:divBdr>
            <w:top w:val="none" w:sz="0" w:space="0" w:color="auto"/>
            <w:left w:val="none" w:sz="0" w:space="0" w:color="auto"/>
            <w:bottom w:val="none" w:sz="0" w:space="0" w:color="auto"/>
            <w:right w:val="none" w:sz="0" w:space="0" w:color="auto"/>
          </w:divBdr>
        </w:div>
        <w:div w:id="965812920">
          <w:marLeft w:val="0"/>
          <w:marRight w:val="0"/>
          <w:marTop w:val="0"/>
          <w:marBottom w:val="0"/>
          <w:divBdr>
            <w:top w:val="none" w:sz="0" w:space="0" w:color="auto"/>
            <w:left w:val="none" w:sz="0" w:space="0" w:color="auto"/>
            <w:bottom w:val="none" w:sz="0" w:space="0" w:color="auto"/>
            <w:right w:val="none" w:sz="0" w:space="0" w:color="auto"/>
          </w:divBdr>
        </w:div>
      </w:divsChild>
    </w:div>
    <w:div w:id="966354060">
      <w:marLeft w:val="0"/>
      <w:marRight w:val="0"/>
      <w:marTop w:val="0"/>
      <w:marBottom w:val="0"/>
      <w:divBdr>
        <w:top w:val="none" w:sz="0" w:space="0" w:color="auto"/>
        <w:left w:val="none" w:sz="0" w:space="0" w:color="auto"/>
        <w:bottom w:val="none" w:sz="0" w:space="0" w:color="auto"/>
        <w:right w:val="none" w:sz="0" w:space="0" w:color="auto"/>
      </w:divBdr>
    </w:div>
    <w:div w:id="967394236">
      <w:marLeft w:val="0"/>
      <w:marRight w:val="0"/>
      <w:marTop w:val="0"/>
      <w:marBottom w:val="0"/>
      <w:divBdr>
        <w:top w:val="none" w:sz="0" w:space="0" w:color="auto"/>
        <w:left w:val="none" w:sz="0" w:space="0" w:color="auto"/>
        <w:bottom w:val="none" w:sz="0" w:space="0" w:color="auto"/>
        <w:right w:val="none" w:sz="0" w:space="0" w:color="auto"/>
      </w:divBdr>
    </w:div>
    <w:div w:id="968822720">
      <w:marLeft w:val="0"/>
      <w:marRight w:val="0"/>
      <w:marTop w:val="0"/>
      <w:marBottom w:val="0"/>
      <w:divBdr>
        <w:top w:val="none" w:sz="0" w:space="0" w:color="auto"/>
        <w:left w:val="none" w:sz="0" w:space="0" w:color="auto"/>
        <w:bottom w:val="none" w:sz="0" w:space="0" w:color="auto"/>
        <w:right w:val="none" w:sz="0" w:space="0" w:color="auto"/>
      </w:divBdr>
    </w:div>
    <w:div w:id="969284478">
      <w:marLeft w:val="0"/>
      <w:marRight w:val="0"/>
      <w:marTop w:val="0"/>
      <w:marBottom w:val="120"/>
      <w:divBdr>
        <w:top w:val="none" w:sz="0" w:space="0" w:color="auto"/>
        <w:left w:val="none" w:sz="0" w:space="0" w:color="auto"/>
        <w:bottom w:val="none" w:sz="0" w:space="0" w:color="auto"/>
        <w:right w:val="none" w:sz="0" w:space="0" w:color="auto"/>
      </w:divBdr>
    </w:div>
    <w:div w:id="970288724">
      <w:marLeft w:val="0"/>
      <w:marRight w:val="0"/>
      <w:marTop w:val="0"/>
      <w:marBottom w:val="0"/>
      <w:divBdr>
        <w:top w:val="none" w:sz="0" w:space="0" w:color="auto"/>
        <w:left w:val="none" w:sz="0" w:space="0" w:color="auto"/>
        <w:bottom w:val="none" w:sz="0" w:space="0" w:color="auto"/>
        <w:right w:val="none" w:sz="0" w:space="0" w:color="auto"/>
      </w:divBdr>
    </w:div>
    <w:div w:id="971401019">
      <w:marLeft w:val="0"/>
      <w:marRight w:val="0"/>
      <w:marTop w:val="0"/>
      <w:marBottom w:val="0"/>
      <w:divBdr>
        <w:top w:val="none" w:sz="0" w:space="0" w:color="auto"/>
        <w:left w:val="none" w:sz="0" w:space="0" w:color="auto"/>
        <w:bottom w:val="none" w:sz="0" w:space="0" w:color="auto"/>
        <w:right w:val="none" w:sz="0" w:space="0" w:color="auto"/>
      </w:divBdr>
    </w:div>
    <w:div w:id="973830550">
      <w:marLeft w:val="0"/>
      <w:marRight w:val="0"/>
      <w:marTop w:val="0"/>
      <w:marBottom w:val="0"/>
      <w:divBdr>
        <w:top w:val="none" w:sz="0" w:space="0" w:color="auto"/>
        <w:left w:val="none" w:sz="0" w:space="0" w:color="auto"/>
        <w:bottom w:val="none" w:sz="0" w:space="0" w:color="auto"/>
        <w:right w:val="none" w:sz="0" w:space="0" w:color="auto"/>
      </w:divBdr>
    </w:div>
    <w:div w:id="975258732">
      <w:marLeft w:val="0"/>
      <w:marRight w:val="0"/>
      <w:marTop w:val="0"/>
      <w:marBottom w:val="0"/>
      <w:divBdr>
        <w:top w:val="none" w:sz="0" w:space="0" w:color="auto"/>
        <w:left w:val="none" w:sz="0" w:space="0" w:color="auto"/>
        <w:bottom w:val="none" w:sz="0" w:space="0" w:color="auto"/>
        <w:right w:val="none" w:sz="0" w:space="0" w:color="auto"/>
      </w:divBdr>
    </w:div>
    <w:div w:id="975450320">
      <w:marLeft w:val="0"/>
      <w:marRight w:val="0"/>
      <w:marTop w:val="0"/>
      <w:marBottom w:val="0"/>
      <w:divBdr>
        <w:top w:val="none" w:sz="0" w:space="0" w:color="auto"/>
        <w:left w:val="none" w:sz="0" w:space="0" w:color="auto"/>
        <w:bottom w:val="none" w:sz="0" w:space="0" w:color="auto"/>
        <w:right w:val="none" w:sz="0" w:space="0" w:color="auto"/>
      </w:divBdr>
    </w:div>
    <w:div w:id="975724549">
      <w:marLeft w:val="0"/>
      <w:marRight w:val="0"/>
      <w:marTop w:val="0"/>
      <w:marBottom w:val="0"/>
      <w:divBdr>
        <w:top w:val="none" w:sz="0" w:space="0" w:color="auto"/>
        <w:left w:val="none" w:sz="0" w:space="0" w:color="auto"/>
        <w:bottom w:val="none" w:sz="0" w:space="0" w:color="auto"/>
        <w:right w:val="none" w:sz="0" w:space="0" w:color="auto"/>
      </w:divBdr>
    </w:div>
    <w:div w:id="980426847">
      <w:marLeft w:val="0"/>
      <w:marRight w:val="0"/>
      <w:marTop w:val="0"/>
      <w:marBottom w:val="0"/>
      <w:divBdr>
        <w:top w:val="none" w:sz="0" w:space="0" w:color="auto"/>
        <w:left w:val="none" w:sz="0" w:space="0" w:color="auto"/>
        <w:bottom w:val="none" w:sz="0" w:space="0" w:color="auto"/>
        <w:right w:val="none" w:sz="0" w:space="0" w:color="auto"/>
      </w:divBdr>
    </w:div>
    <w:div w:id="985548085">
      <w:marLeft w:val="0"/>
      <w:marRight w:val="0"/>
      <w:marTop w:val="0"/>
      <w:marBottom w:val="0"/>
      <w:divBdr>
        <w:top w:val="none" w:sz="0" w:space="0" w:color="auto"/>
        <w:left w:val="none" w:sz="0" w:space="0" w:color="auto"/>
        <w:bottom w:val="none" w:sz="0" w:space="0" w:color="auto"/>
        <w:right w:val="none" w:sz="0" w:space="0" w:color="auto"/>
      </w:divBdr>
    </w:div>
    <w:div w:id="985813808">
      <w:marLeft w:val="0"/>
      <w:marRight w:val="0"/>
      <w:marTop w:val="0"/>
      <w:marBottom w:val="0"/>
      <w:divBdr>
        <w:top w:val="none" w:sz="0" w:space="0" w:color="auto"/>
        <w:left w:val="none" w:sz="0" w:space="0" w:color="auto"/>
        <w:bottom w:val="none" w:sz="0" w:space="0" w:color="auto"/>
        <w:right w:val="none" w:sz="0" w:space="0" w:color="auto"/>
      </w:divBdr>
    </w:div>
    <w:div w:id="987516863">
      <w:marLeft w:val="0"/>
      <w:marRight w:val="0"/>
      <w:marTop w:val="0"/>
      <w:marBottom w:val="0"/>
      <w:divBdr>
        <w:top w:val="none" w:sz="0" w:space="0" w:color="auto"/>
        <w:left w:val="none" w:sz="0" w:space="0" w:color="auto"/>
        <w:bottom w:val="none" w:sz="0" w:space="0" w:color="auto"/>
        <w:right w:val="none" w:sz="0" w:space="0" w:color="auto"/>
      </w:divBdr>
    </w:div>
    <w:div w:id="992101550">
      <w:marLeft w:val="0"/>
      <w:marRight w:val="0"/>
      <w:marTop w:val="0"/>
      <w:marBottom w:val="0"/>
      <w:divBdr>
        <w:top w:val="none" w:sz="0" w:space="0" w:color="auto"/>
        <w:left w:val="none" w:sz="0" w:space="0" w:color="auto"/>
        <w:bottom w:val="none" w:sz="0" w:space="0" w:color="auto"/>
        <w:right w:val="none" w:sz="0" w:space="0" w:color="auto"/>
      </w:divBdr>
    </w:div>
    <w:div w:id="994459346">
      <w:marLeft w:val="0"/>
      <w:marRight w:val="0"/>
      <w:marTop w:val="0"/>
      <w:marBottom w:val="0"/>
      <w:divBdr>
        <w:top w:val="none" w:sz="0" w:space="0" w:color="auto"/>
        <w:left w:val="none" w:sz="0" w:space="0" w:color="auto"/>
        <w:bottom w:val="none" w:sz="0" w:space="0" w:color="auto"/>
        <w:right w:val="none" w:sz="0" w:space="0" w:color="auto"/>
      </w:divBdr>
    </w:div>
    <w:div w:id="998120399">
      <w:marLeft w:val="0"/>
      <w:marRight w:val="0"/>
      <w:marTop w:val="0"/>
      <w:marBottom w:val="0"/>
      <w:divBdr>
        <w:top w:val="none" w:sz="0" w:space="0" w:color="auto"/>
        <w:left w:val="none" w:sz="0" w:space="0" w:color="auto"/>
        <w:bottom w:val="none" w:sz="0" w:space="0" w:color="auto"/>
        <w:right w:val="none" w:sz="0" w:space="0" w:color="auto"/>
      </w:divBdr>
    </w:div>
    <w:div w:id="998533477">
      <w:marLeft w:val="0"/>
      <w:marRight w:val="0"/>
      <w:marTop w:val="0"/>
      <w:marBottom w:val="0"/>
      <w:divBdr>
        <w:top w:val="none" w:sz="0" w:space="0" w:color="auto"/>
        <w:left w:val="none" w:sz="0" w:space="0" w:color="auto"/>
        <w:bottom w:val="none" w:sz="0" w:space="0" w:color="auto"/>
        <w:right w:val="none" w:sz="0" w:space="0" w:color="auto"/>
      </w:divBdr>
      <w:divsChild>
        <w:div w:id="1550338565">
          <w:marLeft w:val="0"/>
          <w:marRight w:val="0"/>
          <w:marTop w:val="0"/>
          <w:marBottom w:val="0"/>
          <w:divBdr>
            <w:top w:val="none" w:sz="0" w:space="0" w:color="auto"/>
            <w:left w:val="none" w:sz="0" w:space="0" w:color="auto"/>
            <w:bottom w:val="none" w:sz="0" w:space="0" w:color="auto"/>
            <w:right w:val="none" w:sz="0" w:space="0" w:color="auto"/>
          </w:divBdr>
        </w:div>
      </w:divsChild>
    </w:div>
    <w:div w:id="1008943650">
      <w:marLeft w:val="0"/>
      <w:marRight w:val="0"/>
      <w:marTop w:val="0"/>
      <w:marBottom w:val="0"/>
      <w:divBdr>
        <w:top w:val="none" w:sz="0" w:space="0" w:color="auto"/>
        <w:left w:val="none" w:sz="0" w:space="0" w:color="auto"/>
        <w:bottom w:val="none" w:sz="0" w:space="0" w:color="auto"/>
        <w:right w:val="none" w:sz="0" w:space="0" w:color="auto"/>
      </w:divBdr>
    </w:div>
    <w:div w:id="1009722432">
      <w:marLeft w:val="0"/>
      <w:marRight w:val="0"/>
      <w:marTop w:val="0"/>
      <w:marBottom w:val="0"/>
      <w:divBdr>
        <w:top w:val="none" w:sz="0" w:space="0" w:color="auto"/>
        <w:left w:val="none" w:sz="0" w:space="0" w:color="auto"/>
        <w:bottom w:val="none" w:sz="0" w:space="0" w:color="auto"/>
        <w:right w:val="none" w:sz="0" w:space="0" w:color="auto"/>
      </w:divBdr>
    </w:div>
    <w:div w:id="1010064887">
      <w:marLeft w:val="0"/>
      <w:marRight w:val="0"/>
      <w:marTop w:val="0"/>
      <w:marBottom w:val="0"/>
      <w:divBdr>
        <w:top w:val="none" w:sz="0" w:space="0" w:color="auto"/>
        <w:left w:val="none" w:sz="0" w:space="0" w:color="auto"/>
        <w:bottom w:val="none" w:sz="0" w:space="0" w:color="auto"/>
        <w:right w:val="none" w:sz="0" w:space="0" w:color="auto"/>
      </w:divBdr>
    </w:div>
    <w:div w:id="1011296105">
      <w:marLeft w:val="0"/>
      <w:marRight w:val="0"/>
      <w:marTop w:val="0"/>
      <w:marBottom w:val="0"/>
      <w:divBdr>
        <w:top w:val="none" w:sz="0" w:space="0" w:color="auto"/>
        <w:left w:val="none" w:sz="0" w:space="0" w:color="auto"/>
        <w:bottom w:val="none" w:sz="0" w:space="0" w:color="auto"/>
        <w:right w:val="none" w:sz="0" w:space="0" w:color="auto"/>
      </w:divBdr>
    </w:div>
    <w:div w:id="1014109467">
      <w:marLeft w:val="0"/>
      <w:marRight w:val="0"/>
      <w:marTop w:val="0"/>
      <w:marBottom w:val="0"/>
      <w:divBdr>
        <w:top w:val="none" w:sz="0" w:space="0" w:color="auto"/>
        <w:left w:val="none" w:sz="0" w:space="0" w:color="auto"/>
        <w:bottom w:val="none" w:sz="0" w:space="0" w:color="auto"/>
        <w:right w:val="none" w:sz="0" w:space="0" w:color="auto"/>
      </w:divBdr>
    </w:div>
    <w:div w:id="1014576592">
      <w:marLeft w:val="0"/>
      <w:marRight w:val="0"/>
      <w:marTop w:val="0"/>
      <w:marBottom w:val="0"/>
      <w:divBdr>
        <w:top w:val="none" w:sz="0" w:space="0" w:color="auto"/>
        <w:left w:val="none" w:sz="0" w:space="0" w:color="auto"/>
        <w:bottom w:val="none" w:sz="0" w:space="0" w:color="auto"/>
        <w:right w:val="none" w:sz="0" w:space="0" w:color="auto"/>
      </w:divBdr>
    </w:div>
    <w:div w:id="1014722383">
      <w:marLeft w:val="0"/>
      <w:marRight w:val="0"/>
      <w:marTop w:val="0"/>
      <w:marBottom w:val="0"/>
      <w:divBdr>
        <w:top w:val="none" w:sz="0" w:space="0" w:color="auto"/>
        <w:left w:val="none" w:sz="0" w:space="0" w:color="auto"/>
        <w:bottom w:val="none" w:sz="0" w:space="0" w:color="auto"/>
        <w:right w:val="none" w:sz="0" w:space="0" w:color="auto"/>
      </w:divBdr>
    </w:div>
    <w:div w:id="1017267521">
      <w:marLeft w:val="0"/>
      <w:marRight w:val="0"/>
      <w:marTop w:val="0"/>
      <w:marBottom w:val="0"/>
      <w:divBdr>
        <w:top w:val="none" w:sz="0" w:space="0" w:color="auto"/>
        <w:left w:val="none" w:sz="0" w:space="0" w:color="auto"/>
        <w:bottom w:val="none" w:sz="0" w:space="0" w:color="auto"/>
        <w:right w:val="none" w:sz="0" w:space="0" w:color="auto"/>
      </w:divBdr>
    </w:div>
    <w:div w:id="1017270989">
      <w:marLeft w:val="0"/>
      <w:marRight w:val="0"/>
      <w:marTop w:val="0"/>
      <w:marBottom w:val="0"/>
      <w:divBdr>
        <w:top w:val="none" w:sz="0" w:space="0" w:color="auto"/>
        <w:left w:val="none" w:sz="0" w:space="0" w:color="auto"/>
        <w:bottom w:val="none" w:sz="0" w:space="0" w:color="auto"/>
        <w:right w:val="none" w:sz="0" w:space="0" w:color="auto"/>
      </w:divBdr>
    </w:div>
    <w:div w:id="1021862364">
      <w:marLeft w:val="0"/>
      <w:marRight w:val="0"/>
      <w:marTop w:val="0"/>
      <w:marBottom w:val="0"/>
      <w:divBdr>
        <w:top w:val="none" w:sz="0" w:space="0" w:color="auto"/>
        <w:left w:val="none" w:sz="0" w:space="0" w:color="auto"/>
        <w:bottom w:val="none" w:sz="0" w:space="0" w:color="auto"/>
        <w:right w:val="none" w:sz="0" w:space="0" w:color="auto"/>
      </w:divBdr>
    </w:div>
    <w:div w:id="1024017673">
      <w:marLeft w:val="0"/>
      <w:marRight w:val="0"/>
      <w:marTop w:val="0"/>
      <w:marBottom w:val="0"/>
      <w:divBdr>
        <w:top w:val="none" w:sz="0" w:space="0" w:color="auto"/>
        <w:left w:val="none" w:sz="0" w:space="0" w:color="auto"/>
        <w:bottom w:val="none" w:sz="0" w:space="0" w:color="auto"/>
        <w:right w:val="none" w:sz="0" w:space="0" w:color="auto"/>
      </w:divBdr>
    </w:div>
    <w:div w:id="1025835729">
      <w:marLeft w:val="0"/>
      <w:marRight w:val="0"/>
      <w:marTop w:val="0"/>
      <w:marBottom w:val="0"/>
      <w:divBdr>
        <w:top w:val="none" w:sz="0" w:space="0" w:color="auto"/>
        <w:left w:val="none" w:sz="0" w:space="0" w:color="auto"/>
        <w:bottom w:val="none" w:sz="0" w:space="0" w:color="auto"/>
        <w:right w:val="none" w:sz="0" w:space="0" w:color="auto"/>
      </w:divBdr>
    </w:div>
    <w:div w:id="1026176625">
      <w:marLeft w:val="0"/>
      <w:marRight w:val="0"/>
      <w:marTop w:val="0"/>
      <w:marBottom w:val="0"/>
      <w:divBdr>
        <w:top w:val="none" w:sz="0" w:space="0" w:color="auto"/>
        <w:left w:val="none" w:sz="0" w:space="0" w:color="auto"/>
        <w:bottom w:val="none" w:sz="0" w:space="0" w:color="auto"/>
        <w:right w:val="none" w:sz="0" w:space="0" w:color="auto"/>
      </w:divBdr>
    </w:div>
    <w:div w:id="1026254052">
      <w:marLeft w:val="0"/>
      <w:marRight w:val="0"/>
      <w:marTop w:val="0"/>
      <w:marBottom w:val="0"/>
      <w:divBdr>
        <w:top w:val="none" w:sz="0" w:space="0" w:color="auto"/>
        <w:left w:val="none" w:sz="0" w:space="0" w:color="auto"/>
        <w:bottom w:val="none" w:sz="0" w:space="0" w:color="auto"/>
        <w:right w:val="none" w:sz="0" w:space="0" w:color="auto"/>
      </w:divBdr>
    </w:div>
    <w:div w:id="1029453076">
      <w:marLeft w:val="0"/>
      <w:marRight w:val="0"/>
      <w:marTop w:val="0"/>
      <w:marBottom w:val="0"/>
      <w:divBdr>
        <w:top w:val="none" w:sz="0" w:space="0" w:color="auto"/>
        <w:left w:val="none" w:sz="0" w:space="0" w:color="auto"/>
        <w:bottom w:val="none" w:sz="0" w:space="0" w:color="auto"/>
        <w:right w:val="none" w:sz="0" w:space="0" w:color="auto"/>
      </w:divBdr>
    </w:div>
    <w:div w:id="1033535138">
      <w:marLeft w:val="0"/>
      <w:marRight w:val="0"/>
      <w:marTop w:val="0"/>
      <w:marBottom w:val="0"/>
      <w:divBdr>
        <w:top w:val="none" w:sz="0" w:space="0" w:color="auto"/>
        <w:left w:val="none" w:sz="0" w:space="0" w:color="auto"/>
        <w:bottom w:val="none" w:sz="0" w:space="0" w:color="auto"/>
        <w:right w:val="none" w:sz="0" w:space="0" w:color="auto"/>
      </w:divBdr>
    </w:div>
    <w:div w:id="1034227986">
      <w:marLeft w:val="0"/>
      <w:marRight w:val="0"/>
      <w:marTop w:val="0"/>
      <w:marBottom w:val="0"/>
      <w:divBdr>
        <w:top w:val="none" w:sz="0" w:space="0" w:color="auto"/>
        <w:left w:val="none" w:sz="0" w:space="0" w:color="auto"/>
        <w:bottom w:val="none" w:sz="0" w:space="0" w:color="auto"/>
        <w:right w:val="none" w:sz="0" w:space="0" w:color="auto"/>
      </w:divBdr>
    </w:div>
    <w:div w:id="1034886918">
      <w:marLeft w:val="0"/>
      <w:marRight w:val="0"/>
      <w:marTop w:val="0"/>
      <w:marBottom w:val="0"/>
      <w:divBdr>
        <w:top w:val="none" w:sz="0" w:space="0" w:color="auto"/>
        <w:left w:val="none" w:sz="0" w:space="0" w:color="auto"/>
        <w:bottom w:val="none" w:sz="0" w:space="0" w:color="auto"/>
        <w:right w:val="none" w:sz="0" w:space="0" w:color="auto"/>
      </w:divBdr>
    </w:div>
    <w:div w:id="1035228854">
      <w:marLeft w:val="0"/>
      <w:marRight w:val="0"/>
      <w:marTop w:val="0"/>
      <w:marBottom w:val="0"/>
      <w:divBdr>
        <w:top w:val="none" w:sz="0" w:space="0" w:color="auto"/>
        <w:left w:val="none" w:sz="0" w:space="0" w:color="auto"/>
        <w:bottom w:val="none" w:sz="0" w:space="0" w:color="auto"/>
        <w:right w:val="none" w:sz="0" w:space="0" w:color="auto"/>
      </w:divBdr>
    </w:div>
    <w:div w:id="1037049149">
      <w:marLeft w:val="0"/>
      <w:marRight w:val="0"/>
      <w:marTop w:val="0"/>
      <w:marBottom w:val="0"/>
      <w:divBdr>
        <w:top w:val="none" w:sz="0" w:space="0" w:color="auto"/>
        <w:left w:val="none" w:sz="0" w:space="0" w:color="auto"/>
        <w:bottom w:val="none" w:sz="0" w:space="0" w:color="auto"/>
        <w:right w:val="none" w:sz="0" w:space="0" w:color="auto"/>
      </w:divBdr>
    </w:div>
    <w:div w:id="1040589549">
      <w:marLeft w:val="0"/>
      <w:marRight w:val="0"/>
      <w:marTop w:val="0"/>
      <w:marBottom w:val="0"/>
      <w:divBdr>
        <w:top w:val="none" w:sz="0" w:space="0" w:color="auto"/>
        <w:left w:val="none" w:sz="0" w:space="0" w:color="auto"/>
        <w:bottom w:val="none" w:sz="0" w:space="0" w:color="auto"/>
        <w:right w:val="none" w:sz="0" w:space="0" w:color="auto"/>
      </w:divBdr>
    </w:div>
    <w:div w:id="1042906451">
      <w:marLeft w:val="0"/>
      <w:marRight w:val="0"/>
      <w:marTop w:val="0"/>
      <w:marBottom w:val="0"/>
      <w:divBdr>
        <w:top w:val="none" w:sz="0" w:space="0" w:color="auto"/>
        <w:left w:val="none" w:sz="0" w:space="0" w:color="auto"/>
        <w:bottom w:val="none" w:sz="0" w:space="0" w:color="auto"/>
        <w:right w:val="none" w:sz="0" w:space="0" w:color="auto"/>
      </w:divBdr>
      <w:divsChild>
        <w:div w:id="242423301">
          <w:marLeft w:val="0"/>
          <w:marRight w:val="0"/>
          <w:marTop w:val="0"/>
          <w:marBottom w:val="0"/>
          <w:divBdr>
            <w:top w:val="none" w:sz="0" w:space="0" w:color="auto"/>
            <w:left w:val="none" w:sz="0" w:space="0" w:color="auto"/>
            <w:bottom w:val="none" w:sz="0" w:space="0" w:color="auto"/>
            <w:right w:val="none" w:sz="0" w:space="0" w:color="auto"/>
          </w:divBdr>
        </w:div>
      </w:divsChild>
    </w:div>
    <w:div w:id="1043797223">
      <w:marLeft w:val="0"/>
      <w:marRight w:val="0"/>
      <w:marTop w:val="0"/>
      <w:marBottom w:val="0"/>
      <w:divBdr>
        <w:top w:val="none" w:sz="0" w:space="0" w:color="auto"/>
        <w:left w:val="none" w:sz="0" w:space="0" w:color="auto"/>
        <w:bottom w:val="none" w:sz="0" w:space="0" w:color="auto"/>
        <w:right w:val="none" w:sz="0" w:space="0" w:color="auto"/>
      </w:divBdr>
    </w:div>
    <w:div w:id="1046218553">
      <w:marLeft w:val="0"/>
      <w:marRight w:val="0"/>
      <w:marTop w:val="0"/>
      <w:marBottom w:val="0"/>
      <w:divBdr>
        <w:top w:val="none" w:sz="0" w:space="0" w:color="auto"/>
        <w:left w:val="none" w:sz="0" w:space="0" w:color="auto"/>
        <w:bottom w:val="none" w:sz="0" w:space="0" w:color="auto"/>
        <w:right w:val="none" w:sz="0" w:space="0" w:color="auto"/>
      </w:divBdr>
    </w:div>
    <w:div w:id="1049837033">
      <w:marLeft w:val="0"/>
      <w:marRight w:val="0"/>
      <w:marTop w:val="0"/>
      <w:marBottom w:val="0"/>
      <w:divBdr>
        <w:top w:val="none" w:sz="0" w:space="0" w:color="auto"/>
        <w:left w:val="none" w:sz="0" w:space="0" w:color="auto"/>
        <w:bottom w:val="none" w:sz="0" w:space="0" w:color="auto"/>
        <w:right w:val="none" w:sz="0" w:space="0" w:color="auto"/>
      </w:divBdr>
    </w:div>
    <w:div w:id="1050493723">
      <w:marLeft w:val="0"/>
      <w:marRight w:val="0"/>
      <w:marTop w:val="0"/>
      <w:marBottom w:val="0"/>
      <w:divBdr>
        <w:top w:val="none" w:sz="0" w:space="0" w:color="auto"/>
        <w:left w:val="none" w:sz="0" w:space="0" w:color="auto"/>
        <w:bottom w:val="none" w:sz="0" w:space="0" w:color="auto"/>
        <w:right w:val="none" w:sz="0" w:space="0" w:color="auto"/>
      </w:divBdr>
    </w:div>
    <w:div w:id="1051077990">
      <w:marLeft w:val="0"/>
      <w:marRight w:val="0"/>
      <w:marTop w:val="0"/>
      <w:marBottom w:val="0"/>
      <w:divBdr>
        <w:top w:val="none" w:sz="0" w:space="0" w:color="auto"/>
        <w:left w:val="none" w:sz="0" w:space="0" w:color="auto"/>
        <w:bottom w:val="none" w:sz="0" w:space="0" w:color="auto"/>
        <w:right w:val="none" w:sz="0" w:space="0" w:color="auto"/>
      </w:divBdr>
    </w:div>
    <w:div w:id="1051542933">
      <w:marLeft w:val="0"/>
      <w:marRight w:val="0"/>
      <w:marTop w:val="0"/>
      <w:marBottom w:val="0"/>
      <w:divBdr>
        <w:top w:val="none" w:sz="0" w:space="0" w:color="auto"/>
        <w:left w:val="none" w:sz="0" w:space="0" w:color="auto"/>
        <w:bottom w:val="none" w:sz="0" w:space="0" w:color="auto"/>
        <w:right w:val="none" w:sz="0" w:space="0" w:color="auto"/>
      </w:divBdr>
    </w:div>
    <w:div w:id="1052539378">
      <w:marLeft w:val="0"/>
      <w:marRight w:val="0"/>
      <w:marTop w:val="0"/>
      <w:marBottom w:val="0"/>
      <w:divBdr>
        <w:top w:val="none" w:sz="0" w:space="0" w:color="auto"/>
        <w:left w:val="none" w:sz="0" w:space="0" w:color="auto"/>
        <w:bottom w:val="none" w:sz="0" w:space="0" w:color="auto"/>
        <w:right w:val="none" w:sz="0" w:space="0" w:color="auto"/>
      </w:divBdr>
    </w:div>
    <w:div w:id="1054280435">
      <w:marLeft w:val="0"/>
      <w:marRight w:val="0"/>
      <w:marTop w:val="0"/>
      <w:marBottom w:val="0"/>
      <w:divBdr>
        <w:top w:val="none" w:sz="0" w:space="0" w:color="auto"/>
        <w:left w:val="none" w:sz="0" w:space="0" w:color="auto"/>
        <w:bottom w:val="none" w:sz="0" w:space="0" w:color="auto"/>
        <w:right w:val="none" w:sz="0" w:space="0" w:color="auto"/>
      </w:divBdr>
      <w:divsChild>
        <w:div w:id="1902793141">
          <w:marLeft w:val="0"/>
          <w:marRight w:val="0"/>
          <w:marTop w:val="0"/>
          <w:marBottom w:val="0"/>
          <w:divBdr>
            <w:top w:val="none" w:sz="0" w:space="0" w:color="auto"/>
            <w:left w:val="none" w:sz="0" w:space="0" w:color="auto"/>
            <w:bottom w:val="none" w:sz="0" w:space="0" w:color="auto"/>
            <w:right w:val="none" w:sz="0" w:space="0" w:color="auto"/>
          </w:divBdr>
        </w:div>
      </w:divsChild>
    </w:div>
    <w:div w:id="1055009943">
      <w:marLeft w:val="0"/>
      <w:marRight w:val="0"/>
      <w:marTop w:val="0"/>
      <w:marBottom w:val="0"/>
      <w:divBdr>
        <w:top w:val="none" w:sz="0" w:space="0" w:color="auto"/>
        <w:left w:val="none" w:sz="0" w:space="0" w:color="auto"/>
        <w:bottom w:val="none" w:sz="0" w:space="0" w:color="auto"/>
        <w:right w:val="none" w:sz="0" w:space="0" w:color="auto"/>
      </w:divBdr>
    </w:div>
    <w:div w:id="1057054066">
      <w:marLeft w:val="0"/>
      <w:marRight w:val="0"/>
      <w:marTop w:val="0"/>
      <w:marBottom w:val="0"/>
      <w:divBdr>
        <w:top w:val="none" w:sz="0" w:space="0" w:color="auto"/>
        <w:left w:val="none" w:sz="0" w:space="0" w:color="auto"/>
        <w:bottom w:val="none" w:sz="0" w:space="0" w:color="auto"/>
        <w:right w:val="none" w:sz="0" w:space="0" w:color="auto"/>
      </w:divBdr>
    </w:div>
    <w:div w:id="1062871619">
      <w:marLeft w:val="0"/>
      <w:marRight w:val="0"/>
      <w:marTop w:val="0"/>
      <w:marBottom w:val="0"/>
      <w:divBdr>
        <w:top w:val="none" w:sz="0" w:space="0" w:color="auto"/>
        <w:left w:val="none" w:sz="0" w:space="0" w:color="auto"/>
        <w:bottom w:val="none" w:sz="0" w:space="0" w:color="auto"/>
        <w:right w:val="none" w:sz="0" w:space="0" w:color="auto"/>
      </w:divBdr>
    </w:div>
    <w:div w:id="1070083659">
      <w:marLeft w:val="0"/>
      <w:marRight w:val="0"/>
      <w:marTop w:val="0"/>
      <w:marBottom w:val="0"/>
      <w:divBdr>
        <w:top w:val="none" w:sz="0" w:space="0" w:color="auto"/>
        <w:left w:val="none" w:sz="0" w:space="0" w:color="auto"/>
        <w:bottom w:val="none" w:sz="0" w:space="0" w:color="auto"/>
        <w:right w:val="none" w:sz="0" w:space="0" w:color="auto"/>
      </w:divBdr>
    </w:div>
    <w:div w:id="1074936586">
      <w:marLeft w:val="0"/>
      <w:marRight w:val="0"/>
      <w:marTop w:val="0"/>
      <w:marBottom w:val="0"/>
      <w:divBdr>
        <w:top w:val="none" w:sz="0" w:space="0" w:color="auto"/>
        <w:left w:val="none" w:sz="0" w:space="0" w:color="auto"/>
        <w:bottom w:val="none" w:sz="0" w:space="0" w:color="auto"/>
        <w:right w:val="none" w:sz="0" w:space="0" w:color="auto"/>
      </w:divBdr>
    </w:div>
    <w:div w:id="1076973638">
      <w:marLeft w:val="0"/>
      <w:marRight w:val="0"/>
      <w:marTop w:val="0"/>
      <w:marBottom w:val="0"/>
      <w:divBdr>
        <w:top w:val="none" w:sz="0" w:space="0" w:color="auto"/>
        <w:left w:val="none" w:sz="0" w:space="0" w:color="auto"/>
        <w:bottom w:val="none" w:sz="0" w:space="0" w:color="auto"/>
        <w:right w:val="none" w:sz="0" w:space="0" w:color="auto"/>
      </w:divBdr>
    </w:div>
    <w:div w:id="1078283318">
      <w:marLeft w:val="0"/>
      <w:marRight w:val="0"/>
      <w:marTop w:val="0"/>
      <w:marBottom w:val="0"/>
      <w:divBdr>
        <w:top w:val="none" w:sz="0" w:space="0" w:color="auto"/>
        <w:left w:val="none" w:sz="0" w:space="0" w:color="auto"/>
        <w:bottom w:val="none" w:sz="0" w:space="0" w:color="auto"/>
        <w:right w:val="none" w:sz="0" w:space="0" w:color="auto"/>
      </w:divBdr>
    </w:div>
    <w:div w:id="1078750022">
      <w:marLeft w:val="0"/>
      <w:marRight w:val="0"/>
      <w:marTop w:val="0"/>
      <w:marBottom w:val="0"/>
      <w:divBdr>
        <w:top w:val="none" w:sz="0" w:space="0" w:color="auto"/>
        <w:left w:val="none" w:sz="0" w:space="0" w:color="auto"/>
        <w:bottom w:val="none" w:sz="0" w:space="0" w:color="auto"/>
        <w:right w:val="none" w:sz="0" w:space="0" w:color="auto"/>
      </w:divBdr>
    </w:div>
    <w:div w:id="1080756819">
      <w:marLeft w:val="0"/>
      <w:marRight w:val="0"/>
      <w:marTop w:val="0"/>
      <w:marBottom w:val="0"/>
      <w:divBdr>
        <w:top w:val="none" w:sz="0" w:space="0" w:color="auto"/>
        <w:left w:val="none" w:sz="0" w:space="0" w:color="auto"/>
        <w:bottom w:val="none" w:sz="0" w:space="0" w:color="auto"/>
        <w:right w:val="none" w:sz="0" w:space="0" w:color="auto"/>
      </w:divBdr>
    </w:div>
    <w:div w:id="1084766907">
      <w:marLeft w:val="0"/>
      <w:marRight w:val="0"/>
      <w:marTop w:val="0"/>
      <w:marBottom w:val="0"/>
      <w:divBdr>
        <w:top w:val="none" w:sz="0" w:space="0" w:color="auto"/>
        <w:left w:val="none" w:sz="0" w:space="0" w:color="auto"/>
        <w:bottom w:val="none" w:sz="0" w:space="0" w:color="auto"/>
        <w:right w:val="none" w:sz="0" w:space="0" w:color="auto"/>
      </w:divBdr>
    </w:div>
    <w:div w:id="1086001032">
      <w:marLeft w:val="0"/>
      <w:marRight w:val="0"/>
      <w:marTop w:val="0"/>
      <w:marBottom w:val="0"/>
      <w:divBdr>
        <w:top w:val="none" w:sz="0" w:space="0" w:color="auto"/>
        <w:left w:val="none" w:sz="0" w:space="0" w:color="auto"/>
        <w:bottom w:val="none" w:sz="0" w:space="0" w:color="auto"/>
        <w:right w:val="none" w:sz="0" w:space="0" w:color="auto"/>
      </w:divBdr>
    </w:div>
    <w:div w:id="1086653516">
      <w:marLeft w:val="0"/>
      <w:marRight w:val="0"/>
      <w:marTop w:val="0"/>
      <w:marBottom w:val="0"/>
      <w:divBdr>
        <w:top w:val="none" w:sz="0" w:space="0" w:color="auto"/>
        <w:left w:val="none" w:sz="0" w:space="0" w:color="auto"/>
        <w:bottom w:val="none" w:sz="0" w:space="0" w:color="auto"/>
        <w:right w:val="none" w:sz="0" w:space="0" w:color="auto"/>
      </w:divBdr>
    </w:div>
    <w:div w:id="1088693656">
      <w:marLeft w:val="0"/>
      <w:marRight w:val="0"/>
      <w:marTop w:val="0"/>
      <w:marBottom w:val="0"/>
      <w:divBdr>
        <w:top w:val="none" w:sz="0" w:space="0" w:color="auto"/>
        <w:left w:val="none" w:sz="0" w:space="0" w:color="auto"/>
        <w:bottom w:val="none" w:sz="0" w:space="0" w:color="auto"/>
        <w:right w:val="none" w:sz="0" w:space="0" w:color="auto"/>
      </w:divBdr>
    </w:div>
    <w:div w:id="1089155076">
      <w:marLeft w:val="0"/>
      <w:marRight w:val="0"/>
      <w:marTop w:val="0"/>
      <w:marBottom w:val="0"/>
      <w:divBdr>
        <w:top w:val="none" w:sz="0" w:space="0" w:color="auto"/>
        <w:left w:val="none" w:sz="0" w:space="0" w:color="auto"/>
        <w:bottom w:val="none" w:sz="0" w:space="0" w:color="auto"/>
        <w:right w:val="none" w:sz="0" w:space="0" w:color="auto"/>
      </w:divBdr>
    </w:div>
    <w:div w:id="1091660312">
      <w:marLeft w:val="0"/>
      <w:marRight w:val="0"/>
      <w:marTop w:val="0"/>
      <w:marBottom w:val="0"/>
      <w:divBdr>
        <w:top w:val="none" w:sz="0" w:space="0" w:color="auto"/>
        <w:left w:val="none" w:sz="0" w:space="0" w:color="auto"/>
        <w:bottom w:val="none" w:sz="0" w:space="0" w:color="auto"/>
        <w:right w:val="none" w:sz="0" w:space="0" w:color="auto"/>
      </w:divBdr>
    </w:div>
    <w:div w:id="1093628033">
      <w:marLeft w:val="0"/>
      <w:marRight w:val="0"/>
      <w:marTop w:val="0"/>
      <w:marBottom w:val="0"/>
      <w:divBdr>
        <w:top w:val="none" w:sz="0" w:space="0" w:color="auto"/>
        <w:left w:val="none" w:sz="0" w:space="0" w:color="auto"/>
        <w:bottom w:val="none" w:sz="0" w:space="0" w:color="auto"/>
        <w:right w:val="none" w:sz="0" w:space="0" w:color="auto"/>
      </w:divBdr>
    </w:div>
    <w:div w:id="1094202474">
      <w:marLeft w:val="0"/>
      <w:marRight w:val="0"/>
      <w:marTop w:val="0"/>
      <w:marBottom w:val="0"/>
      <w:divBdr>
        <w:top w:val="none" w:sz="0" w:space="0" w:color="auto"/>
        <w:left w:val="none" w:sz="0" w:space="0" w:color="auto"/>
        <w:bottom w:val="none" w:sz="0" w:space="0" w:color="auto"/>
        <w:right w:val="none" w:sz="0" w:space="0" w:color="auto"/>
      </w:divBdr>
      <w:divsChild>
        <w:div w:id="502865736">
          <w:marLeft w:val="0"/>
          <w:marRight w:val="0"/>
          <w:marTop w:val="0"/>
          <w:marBottom w:val="0"/>
          <w:divBdr>
            <w:top w:val="none" w:sz="0" w:space="0" w:color="auto"/>
            <w:left w:val="none" w:sz="0" w:space="0" w:color="auto"/>
            <w:bottom w:val="none" w:sz="0" w:space="0" w:color="auto"/>
            <w:right w:val="none" w:sz="0" w:space="0" w:color="auto"/>
          </w:divBdr>
        </w:div>
        <w:div w:id="562444004">
          <w:marLeft w:val="0"/>
          <w:marRight w:val="0"/>
          <w:marTop w:val="0"/>
          <w:marBottom w:val="0"/>
          <w:divBdr>
            <w:top w:val="none" w:sz="0" w:space="0" w:color="auto"/>
            <w:left w:val="none" w:sz="0" w:space="0" w:color="auto"/>
            <w:bottom w:val="none" w:sz="0" w:space="0" w:color="auto"/>
            <w:right w:val="none" w:sz="0" w:space="0" w:color="auto"/>
          </w:divBdr>
        </w:div>
        <w:div w:id="1649089862">
          <w:marLeft w:val="0"/>
          <w:marRight w:val="0"/>
          <w:marTop w:val="0"/>
          <w:marBottom w:val="0"/>
          <w:divBdr>
            <w:top w:val="none" w:sz="0" w:space="0" w:color="auto"/>
            <w:left w:val="none" w:sz="0" w:space="0" w:color="auto"/>
            <w:bottom w:val="none" w:sz="0" w:space="0" w:color="auto"/>
            <w:right w:val="none" w:sz="0" w:space="0" w:color="auto"/>
          </w:divBdr>
        </w:div>
        <w:div w:id="438380301">
          <w:marLeft w:val="0"/>
          <w:marRight w:val="0"/>
          <w:marTop w:val="0"/>
          <w:marBottom w:val="0"/>
          <w:divBdr>
            <w:top w:val="none" w:sz="0" w:space="0" w:color="auto"/>
            <w:left w:val="none" w:sz="0" w:space="0" w:color="auto"/>
            <w:bottom w:val="none" w:sz="0" w:space="0" w:color="auto"/>
            <w:right w:val="none" w:sz="0" w:space="0" w:color="auto"/>
          </w:divBdr>
        </w:div>
        <w:div w:id="1120341848">
          <w:marLeft w:val="0"/>
          <w:marRight w:val="0"/>
          <w:marTop w:val="0"/>
          <w:marBottom w:val="0"/>
          <w:divBdr>
            <w:top w:val="none" w:sz="0" w:space="0" w:color="auto"/>
            <w:left w:val="none" w:sz="0" w:space="0" w:color="auto"/>
            <w:bottom w:val="none" w:sz="0" w:space="0" w:color="auto"/>
            <w:right w:val="none" w:sz="0" w:space="0" w:color="auto"/>
          </w:divBdr>
        </w:div>
        <w:div w:id="663582677">
          <w:marLeft w:val="0"/>
          <w:marRight w:val="0"/>
          <w:marTop w:val="0"/>
          <w:marBottom w:val="0"/>
          <w:divBdr>
            <w:top w:val="none" w:sz="0" w:space="0" w:color="auto"/>
            <w:left w:val="none" w:sz="0" w:space="0" w:color="auto"/>
            <w:bottom w:val="none" w:sz="0" w:space="0" w:color="auto"/>
            <w:right w:val="none" w:sz="0" w:space="0" w:color="auto"/>
          </w:divBdr>
        </w:div>
        <w:div w:id="1366637715">
          <w:marLeft w:val="0"/>
          <w:marRight w:val="0"/>
          <w:marTop w:val="0"/>
          <w:marBottom w:val="0"/>
          <w:divBdr>
            <w:top w:val="none" w:sz="0" w:space="0" w:color="auto"/>
            <w:left w:val="none" w:sz="0" w:space="0" w:color="auto"/>
            <w:bottom w:val="none" w:sz="0" w:space="0" w:color="auto"/>
            <w:right w:val="none" w:sz="0" w:space="0" w:color="auto"/>
          </w:divBdr>
        </w:div>
        <w:div w:id="2013024497">
          <w:marLeft w:val="0"/>
          <w:marRight w:val="0"/>
          <w:marTop w:val="0"/>
          <w:marBottom w:val="0"/>
          <w:divBdr>
            <w:top w:val="none" w:sz="0" w:space="0" w:color="auto"/>
            <w:left w:val="none" w:sz="0" w:space="0" w:color="auto"/>
            <w:bottom w:val="none" w:sz="0" w:space="0" w:color="auto"/>
            <w:right w:val="none" w:sz="0" w:space="0" w:color="auto"/>
          </w:divBdr>
        </w:div>
        <w:div w:id="1101728005">
          <w:marLeft w:val="0"/>
          <w:marRight w:val="0"/>
          <w:marTop w:val="0"/>
          <w:marBottom w:val="0"/>
          <w:divBdr>
            <w:top w:val="none" w:sz="0" w:space="0" w:color="auto"/>
            <w:left w:val="none" w:sz="0" w:space="0" w:color="auto"/>
            <w:bottom w:val="none" w:sz="0" w:space="0" w:color="auto"/>
            <w:right w:val="none" w:sz="0" w:space="0" w:color="auto"/>
          </w:divBdr>
        </w:div>
        <w:div w:id="410351697">
          <w:marLeft w:val="0"/>
          <w:marRight w:val="0"/>
          <w:marTop w:val="0"/>
          <w:marBottom w:val="0"/>
          <w:divBdr>
            <w:top w:val="none" w:sz="0" w:space="0" w:color="auto"/>
            <w:left w:val="none" w:sz="0" w:space="0" w:color="auto"/>
            <w:bottom w:val="none" w:sz="0" w:space="0" w:color="auto"/>
            <w:right w:val="none" w:sz="0" w:space="0" w:color="auto"/>
          </w:divBdr>
        </w:div>
        <w:div w:id="1471362641">
          <w:marLeft w:val="0"/>
          <w:marRight w:val="0"/>
          <w:marTop w:val="0"/>
          <w:marBottom w:val="0"/>
          <w:divBdr>
            <w:top w:val="none" w:sz="0" w:space="0" w:color="auto"/>
            <w:left w:val="none" w:sz="0" w:space="0" w:color="auto"/>
            <w:bottom w:val="none" w:sz="0" w:space="0" w:color="auto"/>
            <w:right w:val="none" w:sz="0" w:space="0" w:color="auto"/>
          </w:divBdr>
        </w:div>
        <w:div w:id="1288469416">
          <w:marLeft w:val="0"/>
          <w:marRight w:val="0"/>
          <w:marTop w:val="0"/>
          <w:marBottom w:val="0"/>
          <w:divBdr>
            <w:top w:val="none" w:sz="0" w:space="0" w:color="auto"/>
            <w:left w:val="none" w:sz="0" w:space="0" w:color="auto"/>
            <w:bottom w:val="none" w:sz="0" w:space="0" w:color="auto"/>
            <w:right w:val="none" w:sz="0" w:space="0" w:color="auto"/>
          </w:divBdr>
        </w:div>
      </w:divsChild>
    </w:div>
    <w:div w:id="1095631316">
      <w:marLeft w:val="0"/>
      <w:marRight w:val="0"/>
      <w:marTop w:val="0"/>
      <w:marBottom w:val="0"/>
      <w:divBdr>
        <w:top w:val="none" w:sz="0" w:space="0" w:color="auto"/>
        <w:left w:val="none" w:sz="0" w:space="0" w:color="auto"/>
        <w:bottom w:val="none" w:sz="0" w:space="0" w:color="auto"/>
        <w:right w:val="none" w:sz="0" w:space="0" w:color="auto"/>
      </w:divBdr>
      <w:divsChild>
        <w:div w:id="956567228">
          <w:marLeft w:val="0"/>
          <w:marRight w:val="0"/>
          <w:marTop w:val="0"/>
          <w:marBottom w:val="0"/>
          <w:divBdr>
            <w:top w:val="none" w:sz="0" w:space="0" w:color="auto"/>
            <w:left w:val="none" w:sz="0" w:space="0" w:color="auto"/>
            <w:bottom w:val="none" w:sz="0" w:space="0" w:color="auto"/>
            <w:right w:val="none" w:sz="0" w:space="0" w:color="auto"/>
          </w:divBdr>
        </w:div>
      </w:divsChild>
    </w:div>
    <w:div w:id="1096244405">
      <w:marLeft w:val="0"/>
      <w:marRight w:val="0"/>
      <w:marTop w:val="0"/>
      <w:marBottom w:val="0"/>
      <w:divBdr>
        <w:top w:val="none" w:sz="0" w:space="0" w:color="auto"/>
        <w:left w:val="none" w:sz="0" w:space="0" w:color="auto"/>
        <w:bottom w:val="none" w:sz="0" w:space="0" w:color="auto"/>
        <w:right w:val="none" w:sz="0" w:space="0" w:color="auto"/>
      </w:divBdr>
    </w:div>
    <w:div w:id="1097484175">
      <w:marLeft w:val="0"/>
      <w:marRight w:val="0"/>
      <w:marTop w:val="0"/>
      <w:marBottom w:val="0"/>
      <w:divBdr>
        <w:top w:val="none" w:sz="0" w:space="0" w:color="auto"/>
        <w:left w:val="none" w:sz="0" w:space="0" w:color="auto"/>
        <w:bottom w:val="none" w:sz="0" w:space="0" w:color="auto"/>
        <w:right w:val="none" w:sz="0" w:space="0" w:color="auto"/>
      </w:divBdr>
      <w:divsChild>
        <w:div w:id="476805608">
          <w:marLeft w:val="0"/>
          <w:marRight w:val="0"/>
          <w:marTop w:val="0"/>
          <w:marBottom w:val="0"/>
          <w:divBdr>
            <w:top w:val="none" w:sz="0" w:space="0" w:color="auto"/>
            <w:left w:val="none" w:sz="0" w:space="0" w:color="auto"/>
            <w:bottom w:val="none" w:sz="0" w:space="0" w:color="auto"/>
            <w:right w:val="none" w:sz="0" w:space="0" w:color="auto"/>
          </w:divBdr>
        </w:div>
        <w:div w:id="1535384057">
          <w:marLeft w:val="0"/>
          <w:marRight w:val="0"/>
          <w:marTop w:val="0"/>
          <w:marBottom w:val="0"/>
          <w:divBdr>
            <w:top w:val="none" w:sz="0" w:space="0" w:color="auto"/>
            <w:left w:val="none" w:sz="0" w:space="0" w:color="auto"/>
            <w:bottom w:val="none" w:sz="0" w:space="0" w:color="auto"/>
            <w:right w:val="none" w:sz="0" w:space="0" w:color="auto"/>
          </w:divBdr>
        </w:div>
        <w:div w:id="62724888">
          <w:marLeft w:val="0"/>
          <w:marRight w:val="0"/>
          <w:marTop w:val="0"/>
          <w:marBottom w:val="0"/>
          <w:divBdr>
            <w:top w:val="none" w:sz="0" w:space="0" w:color="auto"/>
            <w:left w:val="none" w:sz="0" w:space="0" w:color="auto"/>
            <w:bottom w:val="none" w:sz="0" w:space="0" w:color="auto"/>
            <w:right w:val="none" w:sz="0" w:space="0" w:color="auto"/>
          </w:divBdr>
        </w:div>
      </w:divsChild>
    </w:div>
    <w:div w:id="1098596931">
      <w:marLeft w:val="0"/>
      <w:marRight w:val="0"/>
      <w:marTop w:val="0"/>
      <w:marBottom w:val="0"/>
      <w:divBdr>
        <w:top w:val="none" w:sz="0" w:space="0" w:color="auto"/>
        <w:left w:val="none" w:sz="0" w:space="0" w:color="auto"/>
        <w:bottom w:val="none" w:sz="0" w:space="0" w:color="auto"/>
        <w:right w:val="none" w:sz="0" w:space="0" w:color="auto"/>
      </w:divBdr>
    </w:div>
    <w:div w:id="1102142576">
      <w:marLeft w:val="0"/>
      <w:marRight w:val="0"/>
      <w:marTop w:val="0"/>
      <w:marBottom w:val="0"/>
      <w:divBdr>
        <w:top w:val="none" w:sz="0" w:space="0" w:color="auto"/>
        <w:left w:val="none" w:sz="0" w:space="0" w:color="auto"/>
        <w:bottom w:val="none" w:sz="0" w:space="0" w:color="auto"/>
        <w:right w:val="none" w:sz="0" w:space="0" w:color="auto"/>
      </w:divBdr>
    </w:div>
    <w:div w:id="1106000499">
      <w:marLeft w:val="0"/>
      <w:marRight w:val="0"/>
      <w:marTop w:val="0"/>
      <w:marBottom w:val="0"/>
      <w:divBdr>
        <w:top w:val="none" w:sz="0" w:space="0" w:color="auto"/>
        <w:left w:val="none" w:sz="0" w:space="0" w:color="auto"/>
        <w:bottom w:val="none" w:sz="0" w:space="0" w:color="auto"/>
        <w:right w:val="none" w:sz="0" w:space="0" w:color="auto"/>
      </w:divBdr>
    </w:div>
    <w:div w:id="1106579078">
      <w:marLeft w:val="0"/>
      <w:marRight w:val="0"/>
      <w:marTop w:val="0"/>
      <w:marBottom w:val="0"/>
      <w:divBdr>
        <w:top w:val="none" w:sz="0" w:space="0" w:color="auto"/>
        <w:left w:val="none" w:sz="0" w:space="0" w:color="auto"/>
        <w:bottom w:val="none" w:sz="0" w:space="0" w:color="auto"/>
        <w:right w:val="none" w:sz="0" w:space="0" w:color="auto"/>
      </w:divBdr>
    </w:div>
    <w:div w:id="1108547129">
      <w:marLeft w:val="0"/>
      <w:marRight w:val="0"/>
      <w:marTop w:val="0"/>
      <w:marBottom w:val="0"/>
      <w:divBdr>
        <w:top w:val="none" w:sz="0" w:space="0" w:color="auto"/>
        <w:left w:val="none" w:sz="0" w:space="0" w:color="auto"/>
        <w:bottom w:val="none" w:sz="0" w:space="0" w:color="auto"/>
        <w:right w:val="none" w:sz="0" w:space="0" w:color="auto"/>
      </w:divBdr>
    </w:div>
    <w:div w:id="1109663412">
      <w:marLeft w:val="0"/>
      <w:marRight w:val="0"/>
      <w:marTop w:val="0"/>
      <w:marBottom w:val="0"/>
      <w:divBdr>
        <w:top w:val="none" w:sz="0" w:space="0" w:color="auto"/>
        <w:left w:val="none" w:sz="0" w:space="0" w:color="auto"/>
        <w:bottom w:val="none" w:sz="0" w:space="0" w:color="auto"/>
        <w:right w:val="none" w:sz="0" w:space="0" w:color="auto"/>
      </w:divBdr>
    </w:div>
    <w:div w:id="1111432965">
      <w:marLeft w:val="0"/>
      <w:marRight w:val="0"/>
      <w:marTop w:val="0"/>
      <w:marBottom w:val="0"/>
      <w:divBdr>
        <w:top w:val="none" w:sz="0" w:space="0" w:color="auto"/>
        <w:left w:val="none" w:sz="0" w:space="0" w:color="auto"/>
        <w:bottom w:val="none" w:sz="0" w:space="0" w:color="auto"/>
        <w:right w:val="none" w:sz="0" w:space="0" w:color="auto"/>
      </w:divBdr>
    </w:div>
    <w:div w:id="1111625242">
      <w:marLeft w:val="0"/>
      <w:marRight w:val="0"/>
      <w:marTop w:val="0"/>
      <w:marBottom w:val="0"/>
      <w:divBdr>
        <w:top w:val="none" w:sz="0" w:space="0" w:color="auto"/>
        <w:left w:val="none" w:sz="0" w:space="0" w:color="auto"/>
        <w:bottom w:val="none" w:sz="0" w:space="0" w:color="auto"/>
        <w:right w:val="none" w:sz="0" w:space="0" w:color="auto"/>
      </w:divBdr>
    </w:div>
    <w:div w:id="1111785378">
      <w:marLeft w:val="0"/>
      <w:marRight w:val="0"/>
      <w:marTop w:val="0"/>
      <w:marBottom w:val="0"/>
      <w:divBdr>
        <w:top w:val="none" w:sz="0" w:space="0" w:color="auto"/>
        <w:left w:val="none" w:sz="0" w:space="0" w:color="auto"/>
        <w:bottom w:val="none" w:sz="0" w:space="0" w:color="auto"/>
        <w:right w:val="none" w:sz="0" w:space="0" w:color="auto"/>
      </w:divBdr>
    </w:div>
    <w:div w:id="1113861737">
      <w:marLeft w:val="0"/>
      <w:marRight w:val="0"/>
      <w:marTop w:val="0"/>
      <w:marBottom w:val="0"/>
      <w:divBdr>
        <w:top w:val="none" w:sz="0" w:space="0" w:color="auto"/>
        <w:left w:val="none" w:sz="0" w:space="0" w:color="auto"/>
        <w:bottom w:val="none" w:sz="0" w:space="0" w:color="auto"/>
        <w:right w:val="none" w:sz="0" w:space="0" w:color="auto"/>
      </w:divBdr>
    </w:div>
    <w:div w:id="1114860031">
      <w:marLeft w:val="0"/>
      <w:marRight w:val="0"/>
      <w:marTop w:val="0"/>
      <w:marBottom w:val="0"/>
      <w:divBdr>
        <w:top w:val="none" w:sz="0" w:space="0" w:color="auto"/>
        <w:left w:val="none" w:sz="0" w:space="0" w:color="auto"/>
        <w:bottom w:val="none" w:sz="0" w:space="0" w:color="auto"/>
        <w:right w:val="none" w:sz="0" w:space="0" w:color="auto"/>
      </w:divBdr>
    </w:div>
    <w:div w:id="1115517847">
      <w:marLeft w:val="0"/>
      <w:marRight w:val="0"/>
      <w:marTop w:val="0"/>
      <w:marBottom w:val="0"/>
      <w:divBdr>
        <w:top w:val="none" w:sz="0" w:space="0" w:color="auto"/>
        <w:left w:val="none" w:sz="0" w:space="0" w:color="auto"/>
        <w:bottom w:val="none" w:sz="0" w:space="0" w:color="auto"/>
        <w:right w:val="none" w:sz="0" w:space="0" w:color="auto"/>
      </w:divBdr>
    </w:div>
    <w:div w:id="1118722741">
      <w:marLeft w:val="0"/>
      <w:marRight w:val="0"/>
      <w:marTop w:val="0"/>
      <w:marBottom w:val="0"/>
      <w:divBdr>
        <w:top w:val="none" w:sz="0" w:space="0" w:color="auto"/>
        <w:left w:val="none" w:sz="0" w:space="0" w:color="auto"/>
        <w:bottom w:val="none" w:sz="0" w:space="0" w:color="auto"/>
        <w:right w:val="none" w:sz="0" w:space="0" w:color="auto"/>
      </w:divBdr>
    </w:div>
    <w:div w:id="1121147098">
      <w:marLeft w:val="0"/>
      <w:marRight w:val="0"/>
      <w:marTop w:val="0"/>
      <w:marBottom w:val="0"/>
      <w:divBdr>
        <w:top w:val="none" w:sz="0" w:space="0" w:color="auto"/>
        <w:left w:val="none" w:sz="0" w:space="0" w:color="auto"/>
        <w:bottom w:val="none" w:sz="0" w:space="0" w:color="auto"/>
        <w:right w:val="none" w:sz="0" w:space="0" w:color="auto"/>
      </w:divBdr>
    </w:div>
    <w:div w:id="1122529153">
      <w:marLeft w:val="0"/>
      <w:marRight w:val="0"/>
      <w:marTop w:val="0"/>
      <w:marBottom w:val="0"/>
      <w:divBdr>
        <w:top w:val="none" w:sz="0" w:space="0" w:color="auto"/>
        <w:left w:val="none" w:sz="0" w:space="0" w:color="auto"/>
        <w:bottom w:val="none" w:sz="0" w:space="0" w:color="auto"/>
        <w:right w:val="none" w:sz="0" w:space="0" w:color="auto"/>
      </w:divBdr>
    </w:div>
    <w:div w:id="1122963588">
      <w:marLeft w:val="0"/>
      <w:marRight w:val="0"/>
      <w:marTop w:val="0"/>
      <w:marBottom w:val="0"/>
      <w:divBdr>
        <w:top w:val="none" w:sz="0" w:space="0" w:color="auto"/>
        <w:left w:val="none" w:sz="0" w:space="0" w:color="auto"/>
        <w:bottom w:val="none" w:sz="0" w:space="0" w:color="auto"/>
        <w:right w:val="none" w:sz="0" w:space="0" w:color="auto"/>
      </w:divBdr>
    </w:div>
    <w:div w:id="1127159791">
      <w:marLeft w:val="0"/>
      <w:marRight w:val="0"/>
      <w:marTop w:val="0"/>
      <w:marBottom w:val="120"/>
      <w:divBdr>
        <w:top w:val="none" w:sz="0" w:space="0" w:color="auto"/>
        <w:left w:val="none" w:sz="0" w:space="0" w:color="auto"/>
        <w:bottom w:val="none" w:sz="0" w:space="0" w:color="auto"/>
        <w:right w:val="none" w:sz="0" w:space="0" w:color="auto"/>
      </w:divBdr>
    </w:div>
    <w:div w:id="1127235199">
      <w:marLeft w:val="0"/>
      <w:marRight w:val="0"/>
      <w:marTop w:val="0"/>
      <w:marBottom w:val="0"/>
      <w:divBdr>
        <w:top w:val="none" w:sz="0" w:space="0" w:color="auto"/>
        <w:left w:val="none" w:sz="0" w:space="0" w:color="auto"/>
        <w:bottom w:val="none" w:sz="0" w:space="0" w:color="auto"/>
        <w:right w:val="none" w:sz="0" w:space="0" w:color="auto"/>
      </w:divBdr>
    </w:div>
    <w:div w:id="1127548085">
      <w:marLeft w:val="0"/>
      <w:marRight w:val="0"/>
      <w:marTop w:val="0"/>
      <w:marBottom w:val="0"/>
      <w:divBdr>
        <w:top w:val="none" w:sz="0" w:space="0" w:color="auto"/>
        <w:left w:val="none" w:sz="0" w:space="0" w:color="auto"/>
        <w:bottom w:val="none" w:sz="0" w:space="0" w:color="auto"/>
        <w:right w:val="none" w:sz="0" w:space="0" w:color="auto"/>
      </w:divBdr>
    </w:div>
    <w:div w:id="1127896794">
      <w:marLeft w:val="0"/>
      <w:marRight w:val="0"/>
      <w:marTop w:val="0"/>
      <w:marBottom w:val="0"/>
      <w:divBdr>
        <w:top w:val="none" w:sz="0" w:space="0" w:color="auto"/>
        <w:left w:val="none" w:sz="0" w:space="0" w:color="auto"/>
        <w:bottom w:val="none" w:sz="0" w:space="0" w:color="auto"/>
        <w:right w:val="none" w:sz="0" w:space="0" w:color="auto"/>
      </w:divBdr>
    </w:div>
    <w:div w:id="1130901666">
      <w:marLeft w:val="0"/>
      <w:marRight w:val="0"/>
      <w:marTop w:val="0"/>
      <w:marBottom w:val="0"/>
      <w:divBdr>
        <w:top w:val="none" w:sz="0" w:space="0" w:color="auto"/>
        <w:left w:val="none" w:sz="0" w:space="0" w:color="auto"/>
        <w:bottom w:val="none" w:sz="0" w:space="0" w:color="auto"/>
        <w:right w:val="none" w:sz="0" w:space="0" w:color="auto"/>
      </w:divBdr>
    </w:div>
    <w:div w:id="1132594607">
      <w:marLeft w:val="0"/>
      <w:marRight w:val="0"/>
      <w:marTop w:val="0"/>
      <w:marBottom w:val="0"/>
      <w:divBdr>
        <w:top w:val="none" w:sz="0" w:space="0" w:color="auto"/>
        <w:left w:val="none" w:sz="0" w:space="0" w:color="auto"/>
        <w:bottom w:val="none" w:sz="0" w:space="0" w:color="auto"/>
        <w:right w:val="none" w:sz="0" w:space="0" w:color="auto"/>
      </w:divBdr>
    </w:div>
    <w:div w:id="1133787756">
      <w:marLeft w:val="0"/>
      <w:marRight w:val="0"/>
      <w:marTop w:val="0"/>
      <w:marBottom w:val="0"/>
      <w:divBdr>
        <w:top w:val="none" w:sz="0" w:space="0" w:color="auto"/>
        <w:left w:val="none" w:sz="0" w:space="0" w:color="auto"/>
        <w:bottom w:val="none" w:sz="0" w:space="0" w:color="auto"/>
        <w:right w:val="none" w:sz="0" w:space="0" w:color="auto"/>
      </w:divBdr>
    </w:div>
    <w:div w:id="1134758389">
      <w:marLeft w:val="0"/>
      <w:marRight w:val="0"/>
      <w:marTop w:val="0"/>
      <w:marBottom w:val="0"/>
      <w:divBdr>
        <w:top w:val="none" w:sz="0" w:space="0" w:color="auto"/>
        <w:left w:val="none" w:sz="0" w:space="0" w:color="auto"/>
        <w:bottom w:val="none" w:sz="0" w:space="0" w:color="auto"/>
        <w:right w:val="none" w:sz="0" w:space="0" w:color="auto"/>
      </w:divBdr>
    </w:div>
    <w:div w:id="1140223062">
      <w:marLeft w:val="0"/>
      <w:marRight w:val="0"/>
      <w:marTop w:val="0"/>
      <w:marBottom w:val="0"/>
      <w:divBdr>
        <w:top w:val="none" w:sz="0" w:space="0" w:color="auto"/>
        <w:left w:val="none" w:sz="0" w:space="0" w:color="auto"/>
        <w:bottom w:val="none" w:sz="0" w:space="0" w:color="auto"/>
        <w:right w:val="none" w:sz="0" w:space="0" w:color="auto"/>
      </w:divBdr>
    </w:div>
    <w:div w:id="1141263666">
      <w:marLeft w:val="0"/>
      <w:marRight w:val="0"/>
      <w:marTop w:val="0"/>
      <w:marBottom w:val="0"/>
      <w:divBdr>
        <w:top w:val="none" w:sz="0" w:space="0" w:color="auto"/>
        <w:left w:val="none" w:sz="0" w:space="0" w:color="auto"/>
        <w:bottom w:val="none" w:sz="0" w:space="0" w:color="auto"/>
        <w:right w:val="none" w:sz="0" w:space="0" w:color="auto"/>
      </w:divBdr>
    </w:div>
    <w:div w:id="1141340610">
      <w:marLeft w:val="0"/>
      <w:marRight w:val="0"/>
      <w:marTop w:val="0"/>
      <w:marBottom w:val="0"/>
      <w:divBdr>
        <w:top w:val="none" w:sz="0" w:space="0" w:color="auto"/>
        <w:left w:val="none" w:sz="0" w:space="0" w:color="auto"/>
        <w:bottom w:val="none" w:sz="0" w:space="0" w:color="auto"/>
        <w:right w:val="none" w:sz="0" w:space="0" w:color="auto"/>
      </w:divBdr>
    </w:div>
    <w:div w:id="1147235606">
      <w:marLeft w:val="0"/>
      <w:marRight w:val="0"/>
      <w:marTop w:val="0"/>
      <w:marBottom w:val="0"/>
      <w:divBdr>
        <w:top w:val="none" w:sz="0" w:space="0" w:color="auto"/>
        <w:left w:val="none" w:sz="0" w:space="0" w:color="auto"/>
        <w:bottom w:val="none" w:sz="0" w:space="0" w:color="auto"/>
        <w:right w:val="none" w:sz="0" w:space="0" w:color="auto"/>
      </w:divBdr>
    </w:div>
    <w:div w:id="1149714507">
      <w:marLeft w:val="0"/>
      <w:marRight w:val="0"/>
      <w:marTop w:val="0"/>
      <w:marBottom w:val="0"/>
      <w:divBdr>
        <w:top w:val="none" w:sz="0" w:space="0" w:color="auto"/>
        <w:left w:val="none" w:sz="0" w:space="0" w:color="auto"/>
        <w:bottom w:val="none" w:sz="0" w:space="0" w:color="auto"/>
        <w:right w:val="none" w:sz="0" w:space="0" w:color="auto"/>
      </w:divBdr>
    </w:div>
    <w:div w:id="1155531522">
      <w:marLeft w:val="0"/>
      <w:marRight w:val="0"/>
      <w:marTop w:val="0"/>
      <w:marBottom w:val="0"/>
      <w:divBdr>
        <w:top w:val="none" w:sz="0" w:space="0" w:color="auto"/>
        <w:left w:val="none" w:sz="0" w:space="0" w:color="auto"/>
        <w:bottom w:val="none" w:sz="0" w:space="0" w:color="auto"/>
        <w:right w:val="none" w:sz="0" w:space="0" w:color="auto"/>
      </w:divBdr>
    </w:div>
    <w:div w:id="1156646612">
      <w:marLeft w:val="0"/>
      <w:marRight w:val="0"/>
      <w:marTop w:val="0"/>
      <w:marBottom w:val="0"/>
      <w:divBdr>
        <w:top w:val="none" w:sz="0" w:space="0" w:color="auto"/>
        <w:left w:val="none" w:sz="0" w:space="0" w:color="auto"/>
        <w:bottom w:val="none" w:sz="0" w:space="0" w:color="auto"/>
        <w:right w:val="none" w:sz="0" w:space="0" w:color="auto"/>
      </w:divBdr>
    </w:div>
    <w:div w:id="1162115903">
      <w:marLeft w:val="0"/>
      <w:marRight w:val="0"/>
      <w:marTop w:val="0"/>
      <w:marBottom w:val="0"/>
      <w:divBdr>
        <w:top w:val="none" w:sz="0" w:space="0" w:color="auto"/>
        <w:left w:val="none" w:sz="0" w:space="0" w:color="auto"/>
        <w:bottom w:val="none" w:sz="0" w:space="0" w:color="auto"/>
        <w:right w:val="none" w:sz="0" w:space="0" w:color="auto"/>
      </w:divBdr>
    </w:div>
    <w:div w:id="1165247697">
      <w:marLeft w:val="0"/>
      <w:marRight w:val="0"/>
      <w:marTop w:val="0"/>
      <w:marBottom w:val="0"/>
      <w:divBdr>
        <w:top w:val="none" w:sz="0" w:space="0" w:color="auto"/>
        <w:left w:val="none" w:sz="0" w:space="0" w:color="auto"/>
        <w:bottom w:val="none" w:sz="0" w:space="0" w:color="auto"/>
        <w:right w:val="none" w:sz="0" w:space="0" w:color="auto"/>
      </w:divBdr>
    </w:div>
    <w:div w:id="1166703798">
      <w:marLeft w:val="0"/>
      <w:marRight w:val="0"/>
      <w:marTop w:val="0"/>
      <w:marBottom w:val="0"/>
      <w:divBdr>
        <w:top w:val="none" w:sz="0" w:space="0" w:color="auto"/>
        <w:left w:val="none" w:sz="0" w:space="0" w:color="auto"/>
        <w:bottom w:val="none" w:sz="0" w:space="0" w:color="auto"/>
        <w:right w:val="none" w:sz="0" w:space="0" w:color="auto"/>
      </w:divBdr>
    </w:div>
    <w:div w:id="1167398798">
      <w:marLeft w:val="0"/>
      <w:marRight w:val="0"/>
      <w:marTop w:val="0"/>
      <w:marBottom w:val="0"/>
      <w:divBdr>
        <w:top w:val="none" w:sz="0" w:space="0" w:color="auto"/>
        <w:left w:val="none" w:sz="0" w:space="0" w:color="auto"/>
        <w:bottom w:val="none" w:sz="0" w:space="0" w:color="auto"/>
        <w:right w:val="none" w:sz="0" w:space="0" w:color="auto"/>
      </w:divBdr>
    </w:div>
    <w:div w:id="1169365678">
      <w:marLeft w:val="0"/>
      <w:marRight w:val="0"/>
      <w:marTop w:val="0"/>
      <w:marBottom w:val="0"/>
      <w:divBdr>
        <w:top w:val="none" w:sz="0" w:space="0" w:color="auto"/>
        <w:left w:val="none" w:sz="0" w:space="0" w:color="auto"/>
        <w:bottom w:val="none" w:sz="0" w:space="0" w:color="auto"/>
        <w:right w:val="none" w:sz="0" w:space="0" w:color="auto"/>
      </w:divBdr>
      <w:divsChild>
        <w:div w:id="217059566">
          <w:marLeft w:val="0"/>
          <w:marRight w:val="0"/>
          <w:marTop w:val="0"/>
          <w:marBottom w:val="0"/>
          <w:divBdr>
            <w:top w:val="none" w:sz="0" w:space="0" w:color="auto"/>
            <w:left w:val="none" w:sz="0" w:space="0" w:color="auto"/>
            <w:bottom w:val="none" w:sz="0" w:space="0" w:color="auto"/>
            <w:right w:val="none" w:sz="0" w:space="0" w:color="auto"/>
          </w:divBdr>
        </w:div>
      </w:divsChild>
    </w:div>
    <w:div w:id="1169370301">
      <w:marLeft w:val="0"/>
      <w:marRight w:val="0"/>
      <w:marTop w:val="0"/>
      <w:marBottom w:val="0"/>
      <w:divBdr>
        <w:top w:val="none" w:sz="0" w:space="0" w:color="auto"/>
        <w:left w:val="none" w:sz="0" w:space="0" w:color="auto"/>
        <w:bottom w:val="none" w:sz="0" w:space="0" w:color="auto"/>
        <w:right w:val="none" w:sz="0" w:space="0" w:color="auto"/>
      </w:divBdr>
    </w:div>
    <w:div w:id="1169441275">
      <w:marLeft w:val="0"/>
      <w:marRight w:val="0"/>
      <w:marTop w:val="0"/>
      <w:marBottom w:val="0"/>
      <w:divBdr>
        <w:top w:val="none" w:sz="0" w:space="0" w:color="auto"/>
        <w:left w:val="none" w:sz="0" w:space="0" w:color="auto"/>
        <w:bottom w:val="none" w:sz="0" w:space="0" w:color="auto"/>
        <w:right w:val="none" w:sz="0" w:space="0" w:color="auto"/>
      </w:divBdr>
    </w:div>
    <w:div w:id="1170801476">
      <w:marLeft w:val="0"/>
      <w:marRight w:val="0"/>
      <w:marTop w:val="0"/>
      <w:marBottom w:val="0"/>
      <w:divBdr>
        <w:top w:val="none" w:sz="0" w:space="0" w:color="auto"/>
        <w:left w:val="none" w:sz="0" w:space="0" w:color="auto"/>
        <w:bottom w:val="none" w:sz="0" w:space="0" w:color="auto"/>
        <w:right w:val="none" w:sz="0" w:space="0" w:color="auto"/>
      </w:divBdr>
      <w:divsChild>
        <w:div w:id="867570457">
          <w:marLeft w:val="0"/>
          <w:marRight w:val="0"/>
          <w:marTop w:val="0"/>
          <w:marBottom w:val="0"/>
          <w:divBdr>
            <w:top w:val="none" w:sz="0" w:space="0" w:color="auto"/>
            <w:left w:val="none" w:sz="0" w:space="0" w:color="auto"/>
            <w:bottom w:val="none" w:sz="0" w:space="0" w:color="auto"/>
            <w:right w:val="none" w:sz="0" w:space="0" w:color="auto"/>
          </w:divBdr>
        </w:div>
      </w:divsChild>
    </w:div>
    <w:div w:id="1172909518">
      <w:marLeft w:val="0"/>
      <w:marRight w:val="0"/>
      <w:marTop w:val="0"/>
      <w:marBottom w:val="0"/>
      <w:divBdr>
        <w:top w:val="none" w:sz="0" w:space="0" w:color="auto"/>
        <w:left w:val="none" w:sz="0" w:space="0" w:color="auto"/>
        <w:bottom w:val="none" w:sz="0" w:space="0" w:color="auto"/>
        <w:right w:val="none" w:sz="0" w:space="0" w:color="auto"/>
      </w:divBdr>
    </w:div>
    <w:div w:id="1173446446">
      <w:marLeft w:val="0"/>
      <w:marRight w:val="0"/>
      <w:marTop w:val="0"/>
      <w:marBottom w:val="0"/>
      <w:divBdr>
        <w:top w:val="none" w:sz="0" w:space="0" w:color="auto"/>
        <w:left w:val="none" w:sz="0" w:space="0" w:color="auto"/>
        <w:bottom w:val="none" w:sz="0" w:space="0" w:color="auto"/>
        <w:right w:val="none" w:sz="0" w:space="0" w:color="auto"/>
      </w:divBdr>
    </w:div>
    <w:div w:id="1178495729">
      <w:marLeft w:val="0"/>
      <w:marRight w:val="0"/>
      <w:marTop w:val="0"/>
      <w:marBottom w:val="0"/>
      <w:divBdr>
        <w:top w:val="none" w:sz="0" w:space="0" w:color="auto"/>
        <w:left w:val="none" w:sz="0" w:space="0" w:color="auto"/>
        <w:bottom w:val="none" w:sz="0" w:space="0" w:color="auto"/>
        <w:right w:val="none" w:sz="0" w:space="0" w:color="auto"/>
      </w:divBdr>
    </w:div>
    <w:div w:id="1178617309">
      <w:marLeft w:val="0"/>
      <w:marRight w:val="0"/>
      <w:marTop w:val="0"/>
      <w:marBottom w:val="0"/>
      <w:divBdr>
        <w:top w:val="none" w:sz="0" w:space="0" w:color="auto"/>
        <w:left w:val="none" w:sz="0" w:space="0" w:color="auto"/>
        <w:bottom w:val="none" w:sz="0" w:space="0" w:color="auto"/>
        <w:right w:val="none" w:sz="0" w:space="0" w:color="auto"/>
      </w:divBdr>
    </w:div>
    <w:div w:id="1185284884">
      <w:marLeft w:val="0"/>
      <w:marRight w:val="0"/>
      <w:marTop w:val="0"/>
      <w:marBottom w:val="0"/>
      <w:divBdr>
        <w:top w:val="none" w:sz="0" w:space="0" w:color="auto"/>
        <w:left w:val="none" w:sz="0" w:space="0" w:color="auto"/>
        <w:bottom w:val="none" w:sz="0" w:space="0" w:color="auto"/>
        <w:right w:val="none" w:sz="0" w:space="0" w:color="auto"/>
      </w:divBdr>
    </w:div>
    <w:div w:id="1188327553">
      <w:marLeft w:val="0"/>
      <w:marRight w:val="0"/>
      <w:marTop w:val="0"/>
      <w:marBottom w:val="0"/>
      <w:divBdr>
        <w:top w:val="none" w:sz="0" w:space="0" w:color="auto"/>
        <w:left w:val="none" w:sz="0" w:space="0" w:color="auto"/>
        <w:bottom w:val="none" w:sz="0" w:space="0" w:color="auto"/>
        <w:right w:val="none" w:sz="0" w:space="0" w:color="auto"/>
      </w:divBdr>
    </w:div>
    <w:div w:id="1190725862">
      <w:marLeft w:val="0"/>
      <w:marRight w:val="0"/>
      <w:marTop w:val="0"/>
      <w:marBottom w:val="0"/>
      <w:divBdr>
        <w:top w:val="none" w:sz="0" w:space="0" w:color="auto"/>
        <w:left w:val="none" w:sz="0" w:space="0" w:color="auto"/>
        <w:bottom w:val="none" w:sz="0" w:space="0" w:color="auto"/>
        <w:right w:val="none" w:sz="0" w:space="0" w:color="auto"/>
      </w:divBdr>
    </w:div>
    <w:div w:id="1194198616">
      <w:marLeft w:val="0"/>
      <w:marRight w:val="0"/>
      <w:marTop w:val="0"/>
      <w:marBottom w:val="0"/>
      <w:divBdr>
        <w:top w:val="none" w:sz="0" w:space="0" w:color="auto"/>
        <w:left w:val="none" w:sz="0" w:space="0" w:color="auto"/>
        <w:bottom w:val="none" w:sz="0" w:space="0" w:color="auto"/>
        <w:right w:val="none" w:sz="0" w:space="0" w:color="auto"/>
      </w:divBdr>
    </w:div>
    <w:div w:id="1195927068">
      <w:marLeft w:val="0"/>
      <w:marRight w:val="0"/>
      <w:marTop w:val="0"/>
      <w:marBottom w:val="0"/>
      <w:divBdr>
        <w:top w:val="none" w:sz="0" w:space="0" w:color="auto"/>
        <w:left w:val="none" w:sz="0" w:space="0" w:color="auto"/>
        <w:bottom w:val="none" w:sz="0" w:space="0" w:color="auto"/>
        <w:right w:val="none" w:sz="0" w:space="0" w:color="auto"/>
      </w:divBdr>
    </w:div>
    <w:div w:id="1196962521">
      <w:marLeft w:val="0"/>
      <w:marRight w:val="0"/>
      <w:marTop w:val="0"/>
      <w:marBottom w:val="0"/>
      <w:divBdr>
        <w:top w:val="none" w:sz="0" w:space="0" w:color="auto"/>
        <w:left w:val="none" w:sz="0" w:space="0" w:color="auto"/>
        <w:bottom w:val="none" w:sz="0" w:space="0" w:color="auto"/>
        <w:right w:val="none" w:sz="0" w:space="0" w:color="auto"/>
      </w:divBdr>
    </w:div>
    <w:div w:id="1199078697">
      <w:marLeft w:val="0"/>
      <w:marRight w:val="0"/>
      <w:marTop w:val="0"/>
      <w:marBottom w:val="0"/>
      <w:divBdr>
        <w:top w:val="none" w:sz="0" w:space="0" w:color="auto"/>
        <w:left w:val="none" w:sz="0" w:space="0" w:color="auto"/>
        <w:bottom w:val="none" w:sz="0" w:space="0" w:color="auto"/>
        <w:right w:val="none" w:sz="0" w:space="0" w:color="auto"/>
      </w:divBdr>
    </w:div>
    <w:div w:id="1200126411">
      <w:marLeft w:val="0"/>
      <w:marRight w:val="0"/>
      <w:marTop w:val="0"/>
      <w:marBottom w:val="0"/>
      <w:divBdr>
        <w:top w:val="none" w:sz="0" w:space="0" w:color="auto"/>
        <w:left w:val="none" w:sz="0" w:space="0" w:color="auto"/>
        <w:bottom w:val="none" w:sz="0" w:space="0" w:color="auto"/>
        <w:right w:val="none" w:sz="0" w:space="0" w:color="auto"/>
      </w:divBdr>
    </w:div>
    <w:div w:id="1200581779">
      <w:marLeft w:val="0"/>
      <w:marRight w:val="0"/>
      <w:marTop w:val="0"/>
      <w:marBottom w:val="0"/>
      <w:divBdr>
        <w:top w:val="none" w:sz="0" w:space="0" w:color="auto"/>
        <w:left w:val="none" w:sz="0" w:space="0" w:color="auto"/>
        <w:bottom w:val="none" w:sz="0" w:space="0" w:color="auto"/>
        <w:right w:val="none" w:sz="0" w:space="0" w:color="auto"/>
      </w:divBdr>
      <w:divsChild>
        <w:div w:id="1390612172">
          <w:marLeft w:val="0"/>
          <w:marRight w:val="0"/>
          <w:marTop w:val="0"/>
          <w:marBottom w:val="0"/>
          <w:divBdr>
            <w:top w:val="none" w:sz="0" w:space="0" w:color="auto"/>
            <w:left w:val="none" w:sz="0" w:space="0" w:color="auto"/>
            <w:bottom w:val="none" w:sz="0" w:space="0" w:color="auto"/>
            <w:right w:val="none" w:sz="0" w:space="0" w:color="auto"/>
          </w:divBdr>
        </w:div>
      </w:divsChild>
    </w:div>
    <w:div w:id="1202748359">
      <w:marLeft w:val="0"/>
      <w:marRight w:val="0"/>
      <w:marTop w:val="0"/>
      <w:marBottom w:val="0"/>
      <w:divBdr>
        <w:top w:val="none" w:sz="0" w:space="0" w:color="auto"/>
        <w:left w:val="none" w:sz="0" w:space="0" w:color="auto"/>
        <w:bottom w:val="none" w:sz="0" w:space="0" w:color="auto"/>
        <w:right w:val="none" w:sz="0" w:space="0" w:color="auto"/>
      </w:divBdr>
    </w:div>
    <w:div w:id="1205021896">
      <w:marLeft w:val="0"/>
      <w:marRight w:val="0"/>
      <w:marTop w:val="0"/>
      <w:marBottom w:val="0"/>
      <w:divBdr>
        <w:top w:val="none" w:sz="0" w:space="0" w:color="auto"/>
        <w:left w:val="none" w:sz="0" w:space="0" w:color="auto"/>
        <w:bottom w:val="none" w:sz="0" w:space="0" w:color="auto"/>
        <w:right w:val="none" w:sz="0" w:space="0" w:color="auto"/>
      </w:divBdr>
    </w:div>
    <w:div w:id="1207259999">
      <w:marLeft w:val="0"/>
      <w:marRight w:val="0"/>
      <w:marTop w:val="0"/>
      <w:marBottom w:val="0"/>
      <w:divBdr>
        <w:top w:val="none" w:sz="0" w:space="0" w:color="auto"/>
        <w:left w:val="none" w:sz="0" w:space="0" w:color="auto"/>
        <w:bottom w:val="none" w:sz="0" w:space="0" w:color="auto"/>
        <w:right w:val="none" w:sz="0" w:space="0" w:color="auto"/>
      </w:divBdr>
    </w:div>
    <w:div w:id="1207642601">
      <w:marLeft w:val="0"/>
      <w:marRight w:val="0"/>
      <w:marTop w:val="0"/>
      <w:marBottom w:val="0"/>
      <w:divBdr>
        <w:top w:val="none" w:sz="0" w:space="0" w:color="auto"/>
        <w:left w:val="none" w:sz="0" w:space="0" w:color="auto"/>
        <w:bottom w:val="none" w:sz="0" w:space="0" w:color="auto"/>
        <w:right w:val="none" w:sz="0" w:space="0" w:color="auto"/>
      </w:divBdr>
    </w:div>
    <w:div w:id="1208294687">
      <w:marLeft w:val="0"/>
      <w:marRight w:val="0"/>
      <w:marTop w:val="0"/>
      <w:marBottom w:val="0"/>
      <w:divBdr>
        <w:top w:val="none" w:sz="0" w:space="0" w:color="auto"/>
        <w:left w:val="none" w:sz="0" w:space="0" w:color="auto"/>
        <w:bottom w:val="none" w:sz="0" w:space="0" w:color="auto"/>
        <w:right w:val="none" w:sz="0" w:space="0" w:color="auto"/>
      </w:divBdr>
    </w:div>
    <w:div w:id="1208568403">
      <w:marLeft w:val="0"/>
      <w:marRight w:val="0"/>
      <w:marTop w:val="0"/>
      <w:marBottom w:val="0"/>
      <w:divBdr>
        <w:top w:val="none" w:sz="0" w:space="0" w:color="auto"/>
        <w:left w:val="none" w:sz="0" w:space="0" w:color="auto"/>
        <w:bottom w:val="none" w:sz="0" w:space="0" w:color="auto"/>
        <w:right w:val="none" w:sz="0" w:space="0" w:color="auto"/>
      </w:divBdr>
      <w:divsChild>
        <w:div w:id="902301952">
          <w:marLeft w:val="0"/>
          <w:marRight w:val="0"/>
          <w:marTop w:val="0"/>
          <w:marBottom w:val="0"/>
          <w:divBdr>
            <w:top w:val="none" w:sz="0" w:space="0" w:color="auto"/>
            <w:left w:val="none" w:sz="0" w:space="0" w:color="auto"/>
            <w:bottom w:val="none" w:sz="0" w:space="0" w:color="auto"/>
            <w:right w:val="none" w:sz="0" w:space="0" w:color="auto"/>
          </w:divBdr>
        </w:div>
        <w:div w:id="1649817935">
          <w:marLeft w:val="0"/>
          <w:marRight w:val="0"/>
          <w:marTop w:val="0"/>
          <w:marBottom w:val="0"/>
          <w:divBdr>
            <w:top w:val="none" w:sz="0" w:space="0" w:color="auto"/>
            <w:left w:val="none" w:sz="0" w:space="0" w:color="auto"/>
            <w:bottom w:val="none" w:sz="0" w:space="0" w:color="auto"/>
            <w:right w:val="none" w:sz="0" w:space="0" w:color="auto"/>
          </w:divBdr>
        </w:div>
        <w:div w:id="840048028">
          <w:marLeft w:val="0"/>
          <w:marRight w:val="0"/>
          <w:marTop w:val="0"/>
          <w:marBottom w:val="0"/>
          <w:divBdr>
            <w:top w:val="none" w:sz="0" w:space="0" w:color="auto"/>
            <w:left w:val="none" w:sz="0" w:space="0" w:color="auto"/>
            <w:bottom w:val="none" w:sz="0" w:space="0" w:color="auto"/>
            <w:right w:val="none" w:sz="0" w:space="0" w:color="auto"/>
          </w:divBdr>
        </w:div>
      </w:divsChild>
    </w:div>
    <w:div w:id="1209991668">
      <w:marLeft w:val="0"/>
      <w:marRight w:val="0"/>
      <w:marTop w:val="0"/>
      <w:marBottom w:val="0"/>
      <w:divBdr>
        <w:top w:val="none" w:sz="0" w:space="0" w:color="auto"/>
        <w:left w:val="none" w:sz="0" w:space="0" w:color="auto"/>
        <w:bottom w:val="none" w:sz="0" w:space="0" w:color="auto"/>
        <w:right w:val="none" w:sz="0" w:space="0" w:color="auto"/>
      </w:divBdr>
    </w:div>
    <w:div w:id="1213345531">
      <w:marLeft w:val="0"/>
      <w:marRight w:val="0"/>
      <w:marTop w:val="0"/>
      <w:marBottom w:val="0"/>
      <w:divBdr>
        <w:top w:val="none" w:sz="0" w:space="0" w:color="auto"/>
        <w:left w:val="none" w:sz="0" w:space="0" w:color="auto"/>
        <w:bottom w:val="none" w:sz="0" w:space="0" w:color="auto"/>
        <w:right w:val="none" w:sz="0" w:space="0" w:color="auto"/>
      </w:divBdr>
    </w:div>
    <w:div w:id="1213420813">
      <w:marLeft w:val="0"/>
      <w:marRight w:val="0"/>
      <w:marTop w:val="0"/>
      <w:marBottom w:val="0"/>
      <w:divBdr>
        <w:top w:val="none" w:sz="0" w:space="0" w:color="auto"/>
        <w:left w:val="none" w:sz="0" w:space="0" w:color="auto"/>
        <w:bottom w:val="none" w:sz="0" w:space="0" w:color="auto"/>
        <w:right w:val="none" w:sz="0" w:space="0" w:color="auto"/>
      </w:divBdr>
      <w:divsChild>
        <w:div w:id="2045909012">
          <w:marLeft w:val="0"/>
          <w:marRight w:val="0"/>
          <w:marTop w:val="0"/>
          <w:marBottom w:val="0"/>
          <w:divBdr>
            <w:top w:val="none" w:sz="0" w:space="0" w:color="auto"/>
            <w:left w:val="none" w:sz="0" w:space="0" w:color="auto"/>
            <w:bottom w:val="none" w:sz="0" w:space="0" w:color="auto"/>
            <w:right w:val="none" w:sz="0" w:space="0" w:color="auto"/>
          </w:divBdr>
        </w:div>
      </w:divsChild>
    </w:div>
    <w:div w:id="1214804406">
      <w:marLeft w:val="0"/>
      <w:marRight w:val="0"/>
      <w:marTop w:val="0"/>
      <w:marBottom w:val="0"/>
      <w:divBdr>
        <w:top w:val="none" w:sz="0" w:space="0" w:color="auto"/>
        <w:left w:val="none" w:sz="0" w:space="0" w:color="auto"/>
        <w:bottom w:val="none" w:sz="0" w:space="0" w:color="auto"/>
        <w:right w:val="none" w:sz="0" w:space="0" w:color="auto"/>
      </w:divBdr>
    </w:div>
    <w:div w:id="1217278410">
      <w:marLeft w:val="0"/>
      <w:marRight w:val="0"/>
      <w:marTop w:val="0"/>
      <w:marBottom w:val="0"/>
      <w:divBdr>
        <w:top w:val="none" w:sz="0" w:space="0" w:color="auto"/>
        <w:left w:val="none" w:sz="0" w:space="0" w:color="auto"/>
        <w:bottom w:val="none" w:sz="0" w:space="0" w:color="auto"/>
        <w:right w:val="none" w:sz="0" w:space="0" w:color="auto"/>
      </w:divBdr>
    </w:div>
    <w:div w:id="1220434414">
      <w:marLeft w:val="0"/>
      <w:marRight w:val="0"/>
      <w:marTop w:val="0"/>
      <w:marBottom w:val="0"/>
      <w:divBdr>
        <w:top w:val="none" w:sz="0" w:space="0" w:color="auto"/>
        <w:left w:val="none" w:sz="0" w:space="0" w:color="auto"/>
        <w:bottom w:val="none" w:sz="0" w:space="0" w:color="auto"/>
        <w:right w:val="none" w:sz="0" w:space="0" w:color="auto"/>
      </w:divBdr>
    </w:div>
    <w:div w:id="1222717080">
      <w:marLeft w:val="0"/>
      <w:marRight w:val="0"/>
      <w:marTop w:val="0"/>
      <w:marBottom w:val="0"/>
      <w:divBdr>
        <w:top w:val="none" w:sz="0" w:space="0" w:color="auto"/>
        <w:left w:val="none" w:sz="0" w:space="0" w:color="auto"/>
        <w:bottom w:val="none" w:sz="0" w:space="0" w:color="auto"/>
        <w:right w:val="none" w:sz="0" w:space="0" w:color="auto"/>
      </w:divBdr>
    </w:div>
    <w:div w:id="1224025461">
      <w:marLeft w:val="0"/>
      <w:marRight w:val="0"/>
      <w:marTop w:val="0"/>
      <w:marBottom w:val="0"/>
      <w:divBdr>
        <w:top w:val="none" w:sz="0" w:space="0" w:color="auto"/>
        <w:left w:val="none" w:sz="0" w:space="0" w:color="auto"/>
        <w:bottom w:val="none" w:sz="0" w:space="0" w:color="auto"/>
        <w:right w:val="none" w:sz="0" w:space="0" w:color="auto"/>
      </w:divBdr>
      <w:divsChild>
        <w:div w:id="704601490">
          <w:marLeft w:val="0"/>
          <w:marRight w:val="0"/>
          <w:marTop w:val="0"/>
          <w:marBottom w:val="0"/>
          <w:divBdr>
            <w:top w:val="none" w:sz="0" w:space="0" w:color="auto"/>
            <w:left w:val="none" w:sz="0" w:space="0" w:color="auto"/>
            <w:bottom w:val="none" w:sz="0" w:space="0" w:color="auto"/>
            <w:right w:val="none" w:sz="0" w:space="0" w:color="auto"/>
          </w:divBdr>
        </w:div>
      </w:divsChild>
    </w:div>
    <w:div w:id="1225413263">
      <w:marLeft w:val="0"/>
      <w:marRight w:val="0"/>
      <w:marTop w:val="0"/>
      <w:marBottom w:val="0"/>
      <w:divBdr>
        <w:top w:val="none" w:sz="0" w:space="0" w:color="auto"/>
        <w:left w:val="none" w:sz="0" w:space="0" w:color="auto"/>
        <w:bottom w:val="none" w:sz="0" w:space="0" w:color="auto"/>
        <w:right w:val="none" w:sz="0" w:space="0" w:color="auto"/>
      </w:divBdr>
    </w:div>
    <w:div w:id="1227375675">
      <w:marLeft w:val="0"/>
      <w:marRight w:val="0"/>
      <w:marTop w:val="0"/>
      <w:marBottom w:val="0"/>
      <w:divBdr>
        <w:top w:val="none" w:sz="0" w:space="0" w:color="auto"/>
        <w:left w:val="none" w:sz="0" w:space="0" w:color="auto"/>
        <w:bottom w:val="none" w:sz="0" w:space="0" w:color="auto"/>
        <w:right w:val="none" w:sz="0" w:space="0" w:color="auto"/>
      </w:divBdr>
    </w:div>
    <w:div w:id="1227910599">
      <w:marLeft w:val="0"/>
      <w:marRight w:val="0"/>
      <w:marTop w:val="0"/>
      <w:marBottom w:val="0"/>
      <w:divBdr>
        <w:top w:val="none" w:sz="0" w:space="0" w:color="auto"/>
        <w:left w:val="none" w:sz="0" w:space="0" w:color="auto"/>
        <w:bottom w:val="none" w:sz="0" w:space="0" w:color="auto"/>
        <w:right w:val="none" w:sz="0" w:space="0" w:color="auto"/>
      </w:divBdr>
    </w:div>
    <w:div w:id="1228102769">
      <w:marLeft w:val="0"/>
      <w:marRight w:val="0"/>
      <w:marTop w:val="0"/>
      <w:marBottom w:val="0"/>
      <w:divBdr>
        <w:top w:val="none" w:sz="0" w:space="0" w:color="auto"/>
        <w:left w:val="none" w:sz="0" w:space="0" w:color="auto"/>
        <w:bottom w:val="none" w:sz="0" w:space="0" w:color="auto"/>
        <w:right w:val="none" w:sz="0" w:space="0" w:color="auto"/>
      </w:divBdr>
    </w:div>
    <w:div w:id="1232470616">
      <w:marLeft w:val="0"/>
      <w:marRight w:val="0"/>
      <w:marTop w:val="0"/>
      <w:marBottom w:val="0"/>
      <w:divBdr>
        <w:top w:val="none" w:sz="0" w:space="0" w:color="auto"/>
        <w:left w:val="none" w:sz="0" w:space="0" w:color="auto"/>
        <w:bottom w:val="none" w:sz="0" w:space="0" w:color="auto"/>
        <w:right w:val="none" w:sz="0" w:space="0" w:color="auto"/>
      </w:divBdr>
    </w:div>
    <w:div w:id="1233351204">
      <w:marLeft w:val="0"/>
      <w:marRight w:val="0"/>
      <w:marTop w:val="0"/>
      <w:marBottom w:val="0"/>
      <w:divBdr>
        <w:top w:val="none" w:sz="0" w:space="0" w:color="auto"/>
        <w:left w:val="none" w:sz="0" w:space="0" w:color="auto"/>
        <w:bottom w:val="none" w:sz="0" w:space="0" w:color="auto"/>
        <w:right w:val="none" w:sz="0" w:space="0" w:color="auto"/>
      </w:divBdr>
    </w:div>
    <w:div w:id="1236667099">
      <w:marLeft w:val="0"/>
      <w:marRight w:val="0"/>
      <w:marTop w:val="0"/>
      <w:marBottom w:val="0"/>
      <w:divBdr>
        <w:top w:val="none" w:sz="0" w:space="0" w:color="auto"/>
        <w:left w:val="none" w:sz="0" w:space="0" w:color="auto"/>
        <w:bottom w:val="none" w:sz="0" w:space="0" w:color="auto"/>
        <w:right w:val="none" w:sz="0" w:space="0" w:color="auto"/>
      </w:divBdr>
    </w:div>
    <w:div w:id="1237517295">
      <w:marLeft w:val="0"/>
      <w:marRight w:val="0"/>
      <w:marTop w:val="0"/>
      <w:marBottom w:val="0"/>
      <w:divBdr>
        <w:top w:val="none" w:sz="0" w:space="0" w:color="auto"/>
        <w:left w:val="none" w:sz="0" w:space="0" w:color="auto"/>
        <w:bottom w:val="none" w:sz="0" w:space="0" w:color="auto"/>
        <w:right w:val="none" w:sz="0" w:space="0" w:color="auto"/>
      </w:divBdr>
    </w:div>
    <w:div w:id="1244679384">
      <w:marLeft w:val="0"/>
      <w:marRight w:val="0"/>
      <w:marTop w:val="0"/>
      <w:marBottom w:val="0"/>
      <w:divBdr>
        <w:top w:val="none" w:sz="0" w:space="0" w:color="auto"/>
        <w:left w:val="none" w:sz="0" w:space="0" w:color="auto"/>
        <w:bottom w:val="none" w:sz="0" w:space="0" w:color="auto"/>
        <w:right w:val="none" w:sz="0" w:space="0" w:color="auto"/>
      </w:divBdr>
    </w:div>
    <w:div w:id="1246570475">
      <w:marLeft w:val="0"/>
      <w:marRight w:val="0"/>
      <w:marTop w:val="0"/>
      <w:marBottom w:val="0"/>
      <w:divBdr>
        <w:top w:val="none" w:sz="0" w:space="0" w:color="auto"/>
        <w:left w:val="none" w:sz="0" w:space="0" w:color="auto"/>
        <w:bottom w:val="none" w:sz="0" w:space="0" w:color="auto"/>
        <w:right w:val="none" w:sz="0" w:space="0" w:color="auto"/>
      </w:divBdr>
    </w:div>
    <w:div w:id="1248347089">
      <w:marLeft w:val="0"/>
      <w:marRight w:val="0"/>
      <w:marTop w:val="0"/>
      <w:marBottom w:val="0"/>
      <w:divBdr>
        <w:top w:val="none" w:sz="0" w:space="0" w:color="auto"/>
        <w:left w:val="none" w:sz="0" w:space="0" w:color="auto"/>
        <w:bottom w:val="none" w:sz="0" w:space="0" w:color="auto"/>
        <w:right w:val="none" w:sz="0" w:space="0" w:color="auto"/>
      </w:divBdr>
    </w:div>
    <w:div w:id="1250851998">
      <w:marLeft w:val="0"/>
      <w:marRight w:val="0"/>
      <w:marTop w:val="0"/>
      <w:marBottom w:val="0"/>
      <w:divBdr>
        <w:top w:val="none" w:sz="0" w:space="0" w:color="auto"/>
        <w:left w:val="none" w:sz="0" w:space="0" w:color="auto"/>
        <w:bottom w:val="none" w:sz="0" w:space="0" w:color="auto"/>
        <w:right w:val="none" w:sz="0" w:space="0" w:color="auto"/>
      </w:divBdr>
    </w:div>
    <w:div w:id="1254162709">
      <w:marLeft w:val="0"/>
      <w:marRight w:val="0"/>
      <w:marTop w:val="0"/>
      <w:marBottom w:val="0"/>
      <w:divBdr>
        <w:top w:val="none" w:sz="0" w:space="0" w:color="auto"/>
        <w:left w:val="none" w:sz="0" w:space="0" w:color="auto"/>
        <w:bottom w:val="none" w:sz="0" w:space="0" w:color="auto"/>
        <w:right w:val="none" w:sz="0" w:space="0" w:color="auto"/>
      </w:divBdr>
    </w:div>
    <w:div w:id="1255625436">
      <w:marLeft w:val="0"/>
      <w:marRight w:val="0"/>
      <w:marTop w:val="0"/>
      <w:marBottom w:val="0"/>
      <w:divBdr>
        <w:top w:val="none" w:sz="0" w:space="0" w:color="auto"/>
        <w:left w:val="none" w:sz="0" w:space="0" w:color="auto"/>
        <w:bottom w:val="none" w:sz="0" w:space="0" w:color="auto"/>
        <w:right w:val="none" w:sz="0" w:space="0" w:color="auto"/>
      </w:divBdr>
    </w:div>
    <w:div w:id="1255936708">
      <w:marLeft w:val="0"/>
      <w:marRight w:val="0"/>
      <w:marTop w:val="0"/>
      <w:marBottom w:val="0"/>
      <w:divBdr>
        <w:top w:val="none" w:sz="0" w:space="0" w:color="auto"/>
        <w:left w:val="none" w:sz="0" w:space="0" w:color="auto"/>
        <w:bottom w:val="none" w:sz="0" w:space="0" w:color="auto"/>
        <w:right w:val="none" w:sz="0" w:space="0" w:color="auto"/>
      </w:divBdr>
    </w:div>
    <w:div w:id="1256672363">
      <w:marLeft w:val="0"/>
      <w:marRight w:val="0"/>
      <w:marTop w:val="0"/>
      <w:marBottom w:val="0"/>
      <w:divBdr>
        <w:top w:val="none" w:sz="0" w:space="0" w:color="auto"/>
        <w:left w:val="none" w:sz="0" w:space="0" w:color="auto"/>
        <w:bottom w:val="none" w:sz="0" w:space="0" w:color="auto"/>
        <w:right w:val="none" w:sz="0" w:space="0" w:color="auto"/>
      </w:divBdr>
    </w:div>
    <w:div w:id="1257861632">
      <w:marLeft w:val="0"/>
      <w:marRight w:val="0"/>
      <w:marTop w:val="0"/>
      <w:marBottom w:val="0"/>
      <w:divBdr>
        <w:top w:val="none" w:sz="0" w:space="0" w:color="auto"/>
        <w:left w:val="none" w:sz="0" w:space="0" w:color="auto"/>
        <w:bottom w:val="none" w:sz="0" w:space="0" w:color="auto"/>
        <w:right w:val="none" w:sz="0" w:space="0" w:color="auto"/>
      </w:divBdr>
    </w:div>
    <w:div w:id="1258715231">
      <w:marLeft w:val="0"/>
      <w:marRight w:val="0"/>
      <w:marTop w:val="0"/>
      <w:marBottom w:val="0"/>
      <w:divBdr>
        <w:top w:val="none" w:sz="0" w:space="0" w:color="auto"/>
        <w:left w:val="none" w:sz="0" w:space="0" w:color="auto"/>
        <w:bottom w:val="none" w:sz="0" w:space="0" w:color="auto"/>
        <w:right w:val="none" w:sz="0" w:space="0" w:color="auto"/>
      </w:divBdr>
      <w:divsChild>
        <w:div w:id="1325429076">
          <w:marLeft w:val="0"/>
          <w:marRight w:val="0"/>
          <w:marTop w:val="0"/>
          <w:marBottom w:val="0"/>
          <w:divBdr>
            <w:top w:val="none" w:sz="0" w:space="0" w:color="auto"/>
            <w:left w:val="none" w:sz="0" w:space="0" w:color="auto"/>
            <w:bottom w:val="none" w:sz="0" w:space="0" w:color="auto"/>
            <w:right w:val="none" w:sz="0" w:space="0" w:color="auto"/>
          </w:divBdr>
        </w:div>
      </w:divsChild>
    </w:div>
    <w:div w:id="1260410077">
      <w:marLeft w:val="0"/>
      <w:marRight w:val="0"/>
      <w:marTop w:val="0"/>
      <w:marBottom w:val="0"/>
      <w:divBdr>
        <w:top w:val="none" w:sz="0" w:space="0" w:color="auto"/>
        <w:left w:val="none" w:sz="0" w:space="0" w:color="auto"/>
        <w:bottom w:val="none" w:sz="0" w:space="0" w:color="auto"/>
        <w:right w:val="none" w:sz="0" w:space="0" w:color="auto"/>
      </w:divBdr>
    </w:div>
    <w:div w:id="1267083589">
      <w:marLeft w:val="0"/>
      <w:marRight w:val="0"/>
      <w:marTop w:val="0"/>
      <w:marBottom w:val="0"/>
      <w:divBdr>
        <w:top w:val="none" w:sz="0" w:space="0" w:color="auto"/>
        <w:left w:val="none" w:sz="0" w:space="0" w:color="auto"/>
        <w:bottom w:val="none" w:sz="0" w:space="0" w:color="auto"/>
        <w:right w:val="none" w:sz="0" w:space="0" w:color="auto"/>
      </w:divBdr>
    </w:div>
    <w:div w:id="1269503027">
      <w:marLeft w:val="0"/>
      <w:marRight w:val="0"/>
      <w:marTop w:val="0"/>
      <w:marBottom w:val="0"/>
      <w:divBdr>
        <w:top w:val="none" w:sz="0" w:space="0" w:color="auto"/>
        <w:left w:val="none" w:sz="0" w:space="0" w:color="auto"/>
        <w:bottom w:val="none" w:sz="0" w:space="0" w:color="auto"/>
        <w:right w:val="none" w:sz="0" w:space="0" w:color="auto"/>
      </w:divBdr>
    </w:div>
    <w:div w:id="1270237173">
      <w:marLeft w:val="0"/>
      <w:marRight w:val="0"/>
      <w:marTop w:val="0"/>
      <w:marBottom w:val="0"/>
      <w:divBdr>
        <w:top w:val="none" w:sz="0" w:space="0" w:color="auto"/>
        <w:left w:val="none" w:sz="0" w:space="0" w:color="auto"/>
        <w:bottom w:val="none" w:sz="0" w:space="0" w:color="auto"/>
        <w:right w:val="none" w:sz="0" w:space="0" w:color="auto"/>
      </w:divBdr>
    </w:div>
    <w:div w:id="1271472510">
      <w:marLeft w:val="0"/>
      <w:marRight w:val="0"/>
      <w:marTop w:val="0"/>
      <w:marBottom w:val="0"/>
      <w:divBdr>
        <w:top w:val="none" w:sz="0" w:space="0" w:color="auto"/>
        <w:left w:val="none" w:sz="0" w:space="0" w:color="auto"/>
        <w:bottom w:val="none" w:sz="0" w:space="0" w:color="auto"/>
        <w:right w:val="none" w:sz="0" w:space="0" w:color="auto"/>
      </w:divBdr>
    </w:div>
    <w:div w:id="1276250427">
      <w:marLeft w:val="0"/>
      <w:marRight w:val="0"/>
      <w:marTop w:val="0"/>
      <w:marBottom w:val="0"/>
      <w:divBdr>
        <w:top w:val="none" w:sz="0" w:space="0" w:color="auto"/>
        <w:left w:val="none" w:sz="0" w:space="0" w:color="auto"/>
        <w:bottom w:val="none" w:sz="0" w:space="0" w:color="auto"/>
        <w:right w:val="none" w:sz="0" w:space="0" w:color="auto"/>
      </w:divBdr>
    </w:div>
    <w:div w:id="1276712708">
      <w:marLeft w:val="0"/>
      <w:marRight w:val="0"/>
      <w:marTop w:val="0"/>
      <w:marBottom w:val="0"/>
      <w:divBdr>
        <w:top w:val="none" w:sz="0" w:space="0" w:color="auto"/>
        <w:left w:val="none" w:sz="0" w:space="0" w:color="auto"/>
        <w:bottom w:val="none" w:sz="0" w:space="0" w:color="auto"/>
        <w:right w:val="none" w:sz="0" w:space="0" w:color="auto"/>
      </w:divBdr>
    </w:div>
    <w:div w:id="1280991323">
      <w:marLeft w:val="0"/>
      <w:marRight w:val="0"/>
      <w:marTop w:val="0"/>
      <w:marBottom w:val="0"/>
      <w:divBdr>
        <w:top w:val="none" w:sz="0" w:space="0" w:color="auto"/>
        <w:left w:val="none" w:sz="0" w:space="0" w:color="auto"/>
        <w:bottom w:val="none" w:sz="0" w:space="0" w:color="auto"/>
        <w:right w:val="none" w:sz="0" w:space="0" w:color="auto"/>
      </w:divBdr>
    </w:div>
    <w:div w:id="1282420352">
      <w:marLeft w:val="0"/>
      <w:marRight w:val="0"/>
      <w:marTop w:val="0"/>
      <w:marBottom w:val="0"/>
      <w:divBdr>
        <w:top w:val="none" w:sz="0" w:space="0" w:color="auto"/>
        <w:left w:val="none" w:sz="0" w:space="0" w:color="auto"/>
        <w:bottom w:val="none" w:sz="0" w:space="0" w:color="auto"/>
        <w:right w:val="none" w:sz="0" w:space="0" w:color="auto"/>
      </w:divBdr>
    </w:div>
    <w:div w:id="1283071710">
      <w:marLeft w:val="0"/>
      <w:marRight w:val="0"/>
      <w:marTop w:val="0"/>
      <w:marBottom w:val="0"/>
      <w:divBdr>
        <w:top w:val="none" w:sz="0" w:space="0" w:color="auto"/>
        <w:left w:val="none" w:sz="0" w:space="0" w:color="auto"/>
        <w:bottom w:val="none" w:sz="0" w:space="0" w:color="auto"/>
        <w:right w:val="none" w:sz="0" w:space="0" w:color="auto"/>
      </w:divBdr>
    </w:div>
    <w:div w:id="1283195137">
      <w:marLeft w:val="0"/>
      <w:marRight w:val="0"/>
      <w:marTop w:val="0"/>
      <w:marBottom w:val="0"/>
      <w:divBdr>
        <w:top w:val="none" w:sz="0" w:space="0" w:color="auto"/>
        <w:left w:val="none" w:sz="0" w:space="0" w:color="auto"/>
        <w:bottom w:val="none" w:sz="0" w:space="0" w:color="auto"/>
        <w:right w:val="none" w:sz="0" w:space="0" w:color="auto"/>
      </w:divBdr>
    </w:div>
    <w:div w:id="1284728907">
      <w:marLeft w:val="0"/>
      <w:marRight w:val="0"/>
      <w:marTop w:val="0"/>
      <w:marBottom w:val="0"/>
      <w:divBdr>
        <w:top w:val="none" w:sz="0" w:space="0" w:color="auto"/>
        <w:left w:val="none" w:sz="0" w:space="0" w:color="auto"/>
        <w:bottom w:val="none" w:sz="0" w:space="0" w:color="auto"/>
        <w:right w:val="none" w:sz="0" w:space="0" w:color="auto"/>
      </w:divBdr>
    </w:div>
    <w:div w:id="1286540031">
      <w:marLeft w:val="0"/>
      <w:marRight w:val="0"/>
      <w:marTop w:val="0"/>
      <w:marBottom w:val="0"/>
      <w:divBdr>
        <w:top w:val="none" w:sz="0" w:space="0" w:color="auto"/>
        <w:left w:val="none" w:sz="0" w:space="0" w:color="auto"/>
        <w:bottom w:val="none" w:sz="0" w:space="0" w:color="auto"/>
        <w:right w:val="none" w:sz="0" w:space="0" w:color="auto"/>
      </w:divBdr>
      <w:divsChild>
        <w:div w:id="1673870353">
          <w:marLeft w:val="0"/>
          <w:marRight w:val="0"/>
          <w:marTop w:val="0"/>
          <w:marBottom w:val="0"/>
          <w:divBdr>
            <w:top w:val="none" w:sz="0" w:space="0" w:color="auto"/>
            <w:left w:val="none" w:sz="0" w:space="0" w:color="auto"/>
            <w:bottom w:val="none" w:sz="0" w:space="0" w:color="auto"/>
            <w:right w:val="none" w:sz="0" w:space="0" w:color="auto"/>
          </w:divBdr>
        </w:div>
        <w:div w:id="1833443201">
          <w:marLeft w:val="0"/>
          <w:marRight w:val="0"/>
          <w:marTop w:val="0"/>
          <w:marBottom w:val="0"/>
          <w:divBdr>
            <w:top w:val="none" w:sz="0" w:space="0" w:color="auto"/>
            <w:left w:val="none" w:sz="0" w:space="0" w:color="auto"/>
            <w:bottom w:val="none" w:sz="0" w:space="0" w:color="auto"/>
            <w:right w:val="none" w:sz="0" w:space="0" w:color="auto"/>
          </w:divBdr>
        </w:div>
        <w:div w:id="824980016">
          <w:marLeft w:val="0"/>
          <w:marRight w:val="0"/>
          <w:marTop w:val="0"/>
          <w:marBottom w:val="0"/>
          <w:divBdr>
            <w:top w:val="none" w:sz="0" w:space="0" w:color="auto"/>
            <w:left w:val="none" w:sz="0" w:space="0" w:color="auto"/>
            <w:bottom w:val="none" w:sz="0" w:space="0" w:color="auto"/>
            <w:right w:val="none" w:sz="0" w:space="0" w:color="auto"/>
          </w:divBdr>
        </w:div>
        <w:div w:id="1762871895">
          <w:marLeft w:val="0"/>
          <w:marRight w:val="0"/>
          <w:marTop w:val="0"/>
          <w:marBottom w:val="0"/>
          <w:divBdr>
            <w:top w:val="none" w:sz="0" w:space="0" w:color="auto"/>
            <w:left w:val="none" w:sz="0" w:space="0" w:color="auto"/>
            <w:bottom w:val="none" w:sz="0" w:space="0" w:color="auto"/>
            <w:right w:val="none" w:sz="0" w:space="0" w:color="auto"/>
          </w:divBdr>
        </w:div>
        <w:div w:id="2071727704">
          <w:marLeft w:val="0"/>
          <w:marRight w:val="0"/>
          <w:marTop w:val="0"/>
          <w:marBottom w:val="0"/>
          <w:divBdr>
            <w:top w:val="none" w:sz="0" w:space="0" w:color="auto"/>
            <w:left w:val="none" w:sz="0" w:space="0" w:color="auto"/>
            <w:bottom w:val="none" w:sz="0" w:space="0" w:color="auto"/>
            <w:right w:val="none" w:sz="0" w:space="0" w:color="auto"/>
          </w:divBdr>
        </w:div>
        <w:div w:id="1520705143">
          <w:marLeft w:val="0"/>
          <w:marRight w:val="0"/>
          <w:marTop w:val="0"/>
          <w:marBottom w:val="0"/>
          <w:divBdr>
            <w:top w:val="none" w:sz="0" w:space="0" w:color="auto"/>
            <w:left w:val="none" w:sz="0" w:space="0" w:color="auto"/>
            <w:bottom w:val="none" w:sz="0" w:space="0" w:color="auto"/>
            <w:right w:val="none" w:sz="0" w:space="0" w:color="auto"/>
          </w:divBdr>
        </w:div>
        <w:div w:id="1371034118">
          <w:marLeft w:val="0"/>
          <w:marRight w:val="0"/>
          <w:marTop w:val="0"/>
          <w:marBottom w:val="0"/>
          <w:divBdr>
            <w:top w:val="none" w:sz="0" w:space="0" w:color="auto"/>
            <w:left w:val="none" w:sz="0" w:space="0" w:color="auto"/>
            <w:bottom w:val="none" w:sz="0" w:space="0" w:color="auto"/>
            <w:right w:val="none" w:sz="0" w:space="0" w:color="auto"/>
          </w:divBdr>
        </w:div>
        <w:div w:id="1484196760">
          <w:marLeft w:val="0"/>
          <w:marRight w:val="0"/>
          <w:marTop w:val="0"/>
          <w:marBottom w:val="0"/>
          <w:divBdr>
            <w:top w:val="none" w:sz="0" w:space="0" w:color="auto"/>
            <w:left w:val="none" w:sz="0" w:space="0" w:color="auto"/>
            <w:bottom w:val="none" w:sz="0" w:space="0" w:color="auto"/>
            <w:right w:val="none" w:sz="0" w:space="0" w:color="auto"/>
          </w:divBdr>
        </w:div>
        <w:div w:id="1214853967">
          <w:marLeft w:val="0"/>
          <w:marRight w:val="0"/>
          <w:marTop w:val="0"/>
          <w:marBottom w:val="0"/>
          <w:divBdr>
            <w:top w:val="none" w:sz="0" w:space="0" w:color="auto"/>
            <w:left w:val="none" w:sz="0" w:space="0" w:color="auto"/>
            <w:bottom w:val="none" w:sz="0" w:space="0" w:color="auto"/>
            <w:right w:val="none" w:sz="0" w:space="0" w:color="auto"/>
          </w:divBdr>
        </w:div>
        <w:div w:id="40859966">
          <w:marLeft w:val="0"/>
          <w:marRight w:val="0"/>
          <w:marTop w:val="0"/>
          <w:marBottom w:val="0"/>
          <w:divBdr>
            <w:top w:val="none" w:sz="0" w:space="0" w:color="auto"/>
            <w:left w:val="none" w:sz="0" w:space="0" w:color="auto"/>
            <w:bottom w:val="none" w:sz="0" w:space="0" w:color="auto"/>
            <w:right w:val="none" w:sz="0" w:space="0" w:color="auto"/>
          </w:divBdr>
        </w:div>
        <w:div w:id="1703897271">
          <w:marLeft w:val="0"/>
          <w:marRight w:val="0"/>
          <w:marTop w:val="0"/>
          <w:marBottom w:val="0"/>
          <w:divBdr>
            <w:top w:val="none" w:sz="0" w:space="0" w:color="auto"/>
            <w:left w:val="none" w:sz="0" w:space="0" w:color="auto"/>
            <w:bottom w:val="none" w:sz="0" w:space="0" w:color="auto"/>
            <w:right w:val="none" w:sz="0" w:space="0" w:color="auto"/>
          </w:divBdr>
        </w:div>
        <w:div w:id="1560899643">
          <w:marLeft w:val="0"/>
          <w:marRight w:val="0"/>
          <w:marTop w:val="0"/>
          <w:marBottom w:val="0"/>
          <w:divBdr>
            <w:top w:val="none" w:sz="0" w:space="0" w:color="auto"/>
            <w:left w:val="none" w:sz="0" w:space="0" w:color="auto"/>
            <w:bottom w:val="none" w:sz="0" w:space="0" w:color="auto"/>
            <w:right w:val="none" w:sz="0" w:space="0" w:color="auto"/>
          </w:divBdr>
        </w:div>
      </w:divsChild>
    </w:div>
    <w:div w:id="1287010883">
      <w:marLeft w:val="0"/>
      <w:marRight w:val="0"/>
      <w:marTop w:val="0"/>
      <w:marBottom w:val="0"/>
      <w:divBdr>
        <w:top w:val="none" w:sz="0" w:space="0" w:color="auto"/>
        <w:left w:val="none" w:sz="0" w:space="0" w:color="auto"/>
        <w:bottom w:val="none" w:sz="0" w:space="0" w:color="auto"/>
        <w:right w:val="none" w:sz="0" w:space="0" w:color="auto"/>
      </w:divBdr>
    </w:div>
    <w:div w:id="1287083791">
      <w:marLeft w:val="0"/>
      <w:marRight w:val="0"/>
      <w:marTop w:val="0"/>
      <w:marBottom w:val="0"/>
      <w:divBdr>
        <w:top w:val="none" w:sz="0" w:space="0" w:color="auto"/>
        <w:left w:val="none" w:sz="0" w:space="0" w:color="auto"/>
        <w:bottom w:val="none" w:sz="0" w:space="0" w:color="auto"/>
        <w:right w:val="none" w:sz="0" w:space="0" w:color="auto"/>
      </w:divBdr>
    </w:div>
    <w:div w:id="1288582021">
      <w:marLeft w:val="0"/>
      <w:marRight w:val="0"/>
      <w:marTop w:val="0"/>
      <w:marBottom w:val="0"/>
      <w:divBdr>
        <w:top w:val="none" w:sz="0" w:space="0" w:color="auto"/>
        <w:left w:val="none" w:sz="0" w:space="0" w:color="auto"/>
        <w:bottom w:val="none" w:sz="0" w:space="0" w:color="auto"/>
        <w:right w:val="none" w:sz="0" w:space="0" w:color="auto"/>
      </w:divBdr>
    </w:div>
    <w:div w:id="1292784433">
      <w:marLeft w:val="0"/>
      <w:marRight w:val="0"/>
      <w:marTop w:val="0"/>
      <w:marBottom w:val="0"/>
      <w:divBdr>
        <w:top w:val="none" w:sz="0" w:space="0" w:color="auto"/>
        <w:left w:val="none" w:sz="0" w:space="0" w:color="auto"/>
        <w:bottom w:val="none" w:sz="0" w:space="0" w:color="auto"/>
        <w:right w:val="none" w:sz="0" w:space="0" w:color="auto"/>
      </w:divBdr>
    </w:div>
    <w:div w:id="1295330567">
      <w:marLeft w:val="0"/>
      <w:marRight w:val="0"/>
      <w:marTop w:val="100"/>
      <w:marBottom w:val="0"/>
      <w:divBdr>
        <w:top w:val="none" w:sz="0" w:space="0" w:color="auto"/>
        <w:left w:val="none" w:sz="0" w:space="0" w:color="auto"/>
        <w:bottom w:val="none" w:sz="0" w:space="0" w:color="auto"/>
        <w:right w:val="none" w:sz="0" w:space="0" w:color="auto"/>
      </w:divBdr>
      <w:divsChild>
        <w:div w:id="2070415429">
          <w:marLeft w:val="0"/>
          <w:marRight w:val="0"/>
          <w:marTop w:val="40"/>
          <w:marBottom w:val="0"/>
          <w:divBdr>
            <w:top w:val="none" w:sz="0" w:space="0" w:color="auto"/>
            <w:left w:val="none" w:sz="0" w:space="0" w:color="auto"/>
            <w:bottom w:val="none" w:sz="0" w:space="0" w:color="auto"/>
            <w:right w:val="none" w:sz="0" w:space="0" w:color="auto"/>
          </w:divBdr>
        </w:div>
        <w:div w:id="1159223828">
          <w:marLeft w:val="0"/>
          <w:marRight w:val="0"/>
          <w:marTop w:val="40"/>
          <w:marBottom w:val="0"/>
          <w:divBdr>
            <w:top w:val="none" w:sz="0" w:space="0" w:color="auto"/>
            <w:left w:val="none" w:sz="0" w:space="0" w:color="auto"/>
            <w:bottom w:val="none" w:sz="0" w:space="0" w:color="auto"/>
            <w:right w:val="none" w:sz="0" w:space="0" w:color="auto"/>
          </w:divBdr>
        </w:div>
      </w:divsChild>
    </w:div>
    <w:div w:id="1297493917">
      <w:marLeft w:val="0"/>
      <w:marRight w:val="0"/>
      <w:marTop w:val="0"/>
      <w:marBottom w:val="0"/>
      <w:divBdr>
        <w:top w:val="none" w:sz="0" w:space="0" w:color="auto"/>
        <w:left w:val="none" w:sz="0" w:space="0" w:color="auto"/>
        <w:bottom w:val="none" w:sz="0" w:space="0" w:color="auto"/>
        <w:right w:val="none" w:sz="0" w:space="0" w:color="auto"/>
      </w:divBdr>
    </w:div>
    <w:div w:id="1299873692">
      <w:marLeft w:val="0"/>
      <w:marRight w:val="0"/>
      <w:marTop w:val="0"/>
      <w:marBottom w:val="0"/>
      <w:divBdr>
        <w:top w:val="none" w:sz="0" w:space="0" w:color="auto"/>
        <w:left w:val="none" w:sz="0" w:space="0" w:color="auto"/>
        <w:bottom w:val="none" w:sz="0" w:space="0" w:color="auto"/>
        <w:right w:val="none" w:sz="0" w:space="0" w:color="auto"/>
      </w:divBdr>
    </w:div>
    <w:div w:id="1302730608">
      <w:marLeft w:val="0"/>
      <w:marRight w:val="0"/>
      <w:marTop w:val="0"/>
      <w:marBottom w:val="0"/>
      <w:divBdr>
        <w:top w:val="none" w:sz="0" w:space="0" w:color="auto"/>
        <w:left w:val="none" w:sz="0" w:space="0" w:color="auto"/>
        <w:bottom w:val="none" w:sz="0" w:space="0" w:color="auto"/>
        <w:right w:val="none" w:sz="0" w:space="0" w:color="auto"/>
      </w:divBdr>
      <w:divsChild>
        <w:div w:id="638923401">
          <w:marLeft w:val="0"/>
          <w:marRight w:val="0"/>
          <w:marTop w:val="0"/>
          <w:marBottom w:val="0"/>
          <w:divBdr>
            <w:top w:val="none" w:sz="0" w:space="0" w:color="auto"/>
            <w:left w:val="none" w:sz="0" w:space="0" w:color="auto"/>
            <w:bottom w:val="none" w:sz="0" w:space="0" w:color="auto"/>
            <w:right w:val="none" w:sz="0" w:space="0" w:color="auto"/>
          </w:divBdr>
        </w:div>
      </w:divsChild>
    </w:div>
    <w:div w:id="1305693093">
      <w:marLeft w:val="0"/>
      <w:marRight w:val="0"/>
      <w:marTop w:val="0"/>
      <w:marBottom w:val="0"/>
      <w:divBdr>
        <w:top w:val="none" w:sz="0" w:space="0" w:color="auto"/>
        <w:left w:val="none" w:sz="0" w:space="0" w:color="auto"/>
        <w:bottom w:val="none" w:sz="0" w:space="0" w:color="auto"/>
        <w:right w:val="none" w:sz="0" w:space="0" w:color="auto"/>
      </w:divBdr>
    </w:div>
    <w:div w:id="1308632608">
      <w:marLeft w:val="0"/>
      <w:marRight w:val="0"/>
      <w:marTop w:val="0"/>
      <w:marBottom w:val="0"/>
      <w:divBdr>
        <w:top w:val="none" w:sz="0" w:space="0" w:color="auto"/>
        <w:left w:val="none" w:sz="0" w:space="0" w:color="auto"/>
        <w:bottom w:val="none" w:sz="0" w:space="0" w:color="auto"/>
        <w:right w:val="none" w:sz="0" w:space="0" w:color="auto"/>
      </w:divBdr>
    </w:div>
    <w:div w:id="1310088900">
      <w:marLeft w:val="0"/>
      <w:marRight w:val="0"/>
      <w:marTop w:val="0"/>
      <w:marBottom w:val="0"/>
      <w:divBdr>
        <w:top w:val="none" w:sz="0" w:space="0" w:color="auto"/>
        <w:left w:val="none" w:sz="0" w:space="0" w:color="auto"/>
        <w:bottom w:val="none" w:sz="0" w:space="0" w:color="auto"/>
        <w:right w:val="none" w:sz="0" w:space="0" w:color="auto"/>
      </w:divBdr>
    </w:div>
    <w:div w:id="1311521835">
      <w:marLeft w:val="0"/>
      <w:marRight w:val="0"/>
      <w:marTop w:val="0"/>
      <w:marBottom w:val="0"/>
      <w:divBdr>
        <w:top w:val="none" w:sz="0" w:space="0" w:color="auto"/>
        <w:left w:val="none" w:sz="0" w:space="0" w:color="auto"/>
        <w:bottom w:val="none" w:sz="0" w:space="0" w:color="auto"/>
        <w:right w:val="none" w:sz="0" w:space="0" w:color="auto"/>
      </w:divBdr>
    </w:div>
    <w:div w:id="1312364649">
      <w:marLeft w:val="0"/>
      <w:marRight w:val="0"/>
      <w:marTop w:val="0"/>
      <w:marBottom w:val="0"/>
      <w:divBdr>
        <w:top w:val="none" w:sz="0" w:space="0" w:color="auto"/>
        <w:left w:val="none" w:sz="0" w:space="0" w:color="auto"/>
        <w:bottom w:val="none" w:sz="0" w:space="0" w:color="auto"/>
        <w:right w:val="none" w:sz="0" w:space="0" w:color="auto"/>
      </w:divBdr>
    </w:div>
    <w:div w:id="1312490459">
      <w:marLeft w:val="0"/>
      <w:marRight w:val="0"/>
      <w:marTop w:val="0"/>
      <w:marBottom w:val="0"/>
      <w:divBdr>
        <w:top w:val="none" w:sz="0" w:space="0" w:color="auto"/>
        <w:left w:val="none" w:sz="0" w:space="0" w:color="auto"/>
        <w:bottom w:val="none" w:sz="0" w:space="0" w:color="auto"/>
        <w:right w:val="none" w:sz="0" w:space="0" w:color="auto"/>
      </w:divBdr>
    </w:div>
    <w:div w:id="1313098619">
      <w:marLeft w:val="0"/>
      <w:marRight w:val="0"/>
      <w:marTop w:val="0"/>
      <w:marBottom w:val="0"/>
      <w:divBdr>
        <w:top w:val="none" w:sz="0" w:space="0" w:color="auto"/>
        <w:left w:val="none" w:sz="0" w:space="0" w:color="auto"/>
        <w:bottom w:val="none" w:sz="0" w:space="0" w:color="auto"/>
        <w:right w:val="none" w:sz="0" w:space="0" w:color="auto"/>
      </w:divBdr>
    </w:div>
    <w:div w:id="1314140043">
      <w:marLeft w:val="0"/>
      <w:marRight w:val="0"/>
      <w:marTop w:val="0"/>
      <w:marBottom w:val="0"/>
      <w:divBdr>
        <w:top w:val="none" w:sz="0" w:space="0" w:color="auto"/>
        <w:left w:val="none" w:sz="0" w:space="0" w:color="auto"/>
        <w:bottom w:val="none" w:sz="0" w:space="0" w:color="auto"/>
        <w:right w:val="none" w:sz="0" w:space="0" w:color="auto"/>
      </w:divBdr>
    </w:div>
    <w:div w:id="1314330605">
      <w:marLeft w:val="0"/>
      <w:marRight w:val="0"/>
      <w:marTop w:val="0"/>
      <w:marBottom w:val="0"/>
      <w:divBdr>
        <w:top w:val="none" w:sz="0" w:space="0" w:color="auto"/>
        <w:left w:val="none" w:sz="0" w:space="0" w:color="auto"/>
        <w:bottom w:val="none" w:sz="0" w:space="0" w:color="auto"/>
        <w:right w:val="none" w:sz="0" w:space="0" w:color="auto"/>
      </w:divBdr>
    </w:div>
    <w:div w:id="1314721052">
      <w:marLeft w:val="0"/>
      <w:marRight w:val="0"/>
      <w:marTop w:val="0"/>
      <w:marBottom w:val="0"/>
      <w:divBdr>
        <w:top w:val="none" w:sz="0" w:space="0" w:color="auto"/>
        <w:left w:val="none" w:sz="0" w:space="0" w:color="auto"/>
        <w:bottom w:val="none" w:sz="0" w:space="0" w:color="auto"/>
        <w:right w:val="none" w:sz="0" w:space="0" w:color="auto"/>
      </w:divBdr>
    </w:div>
    <w:div w:id="1314725533">
      <w:marLeft w:val="0"/>
      <w:marRight w:val="0"/>
      <w:marTop w:val="0"/>
      <w:marBottom w:val="0"/>
      <w:divBdr>
        <w:top w:val="none" w:sz="0" w:space="0" w:color="auto"/>
        <w:left w:val="none" w:sz="0" w:space="0" w:color="auto"/>
        <w:bottom w:val="none" w:sz="0" w:space="0" w:color="auto"/>
        <w:right w:val="none" w:sz="0" w:space="0" w:color="auto"/>
      </w:divBdr>
    </w:div>
    <w:div w:id="1315719444">
      <w:marLeft w:val="0"/>
      <w:marRight w:val="0"/>
      <w:marTop w:val="0"/>
      <w:marBottom w:val="0"/>
      <w:divBdr>
        <w:top w:val="none" w:sz="0" w:space="0" w:color="auto"/>
        <w:left w:val="none" w:sz="0" w:space="0" w:color="auto"/>
        <w:bottom w:val="none" w:sz="0" w:space="0" w:color="auto"/>
        <w:right w:val="none" w:sz="0" w:space="0" w:color="auto"/>
      </w:divBdr>
    </w:div>
    <w:div w:id="1316302854">
      <w:marLeft w:val="0"/>
      <w:marRight w:val="0"/>
      <w:marTop w:val="0"/>
      <w:marBottom w:val="0"/>
      <w:divBdr>
        <w:top w:val="none" w:sz="0" w:space="0" w:color="auto"/>
        <w:left w:val="none" w:sz="0" w:space="0" w:color="auto"/>
        <w:bottom w:val="none" w:sz="0" w:space="0" w:color="auto"/>
        <w:right w:val="none" w:sz="0" w:space="0" w:color="auto"/>
      </w:divBdr>
    </w:div>
    <w:div w:id="1317491707">
      <w:marLeft w:val="0"/>
      <w:marRight w:val="0"/>
      <w:marTop w:val="0"/>
      <w:marBottom w:val="0"/>
      <w:divBdr>
        <w:top w:val="none" w:sz="0" w:space="0" w:color="auto"/>
        <w:left w:val="none" w:sz="0" w:space="0" w:color="auto"/>
        <w:bottom w:val="none" w:sz="0" w:space="0" w:color="auto"/>
        <w:right w:val="none" w:sz="0" w:space="0" w:color="auto"/>
      </w:divBdr>
    </w:div>
    <w:div w:id="1318649999">
      <w:marLeft w:val="0"/>
      <w:marRight w:val="0"/>
      <w:marTop w:val="0"/>
      <w:marBottom w:val="0"/>
      <w:divBdr>
        <w:top w:val="none" w:sz="0" w:space="0" w:color="auto"/>
        <w:left w:val="none" w:sz="0" w:space="0" w:color="auto"/>
        <w:bottom w:val="none" w:sz="0" w:space="0" w:color="auto"/>
        <w:right w:val="none" w:sz="0" w:space="0" w:color="auto"/>
      </w:divBdr>
    </w:div>
    <w:div w:id="1319309951">
      <w:marLeft w:val="0"/>
      <w:marRight w:val="0"/>
      <w:marTop w:val="0"/>
      <w:marBottom w:val="0"/>
      <w:divBdr>
        <w:top w:val="none" w:sz="0" w:space="0" w:color="auto"/>
        <w:left w:val="none" w:sz="0" w:space="0" w:color="auto"/>
        <w:bottom w:val="none" w:sz="0" w:space="0" w:color="auto"/>
        <w:right w:val="none" w:sz="0" w:space="0" w:color="auto"/>
      </w:divBdr>
    </w:div>
    <w:div w:id="1320233619">
      <w:marLeft w:val="0"/>
      <w:marRight w:val="0"/>
      <w:marTop w:val="0"/>
      <w:marBottom w:val="0"/>
      <w:divBdr>
        <w:top w:val="none" w:sz="0" w:space="0" w:color="auto"/>
        <w:left w:val="none" w:sz="0" w:space="0" w:color="auto"/>
        <w:bottom w:val="none" w:sz="0" w:space="0" w:color="auto"/>
        <w:right w:val="none" w:sz="0" w:space="0" w:color="auto"/>
      </w:divBdr>
      <w:divsChild>
        <w:div w:id="1285040793">
          <w:marLeft w:val="0"/>
          <w:marRight w:val="0"/>
          <w:marTop w:val="0"/>
          <w:marBottom w:val="0"/>
          <w:divBdr>
            <w:top w:val="none" w:sz="0" w:space="0" w:color="auto"/>
            <w:left w:val="none" w:sz="0" w:space="0" w:color="auto"/>
            <w:bottom w:val="none" w:sz="0" w:space="0" w:color="auto"/>
            <w:right w:val="none" w:sz="0" w:space="0" w:color="auto"/>
          </w:divBdr>
        </w:div>
      </w:divsChild>
    </w:div>
    <w:div w:id="1320888330">
      <w:marLeft w:val="0"/>
      <w:marRight w:val="0"/>
      <w:marTop w:val="0"/>
      <w:marBottom w:val="0"/>
      <w:divBdr>
        <w:top w:val="none" w:sz="0" w:space="0" w:color="auto"/>
        <w:left w:val="none" w:sz="0" w:space="0" w:color="auto"/>
        <w:bottom w:val="none" w:sz="0" w:space="0" w:color="auto"/>
        <w:right w:val="none" w:sz="0" w:space="0" w:color="auto"/>
      </w:divBdr>
    </w:div>
    <w:div w:id="1331323798">
      <w:marLeft w:val="0"/>
      <w:marRight w:val="0"/>
      <w:marTop w:val="0"/>
      <w:marBottom w:val="0"/>
      <w:divBdr>
        <w:top w:val="none" w:sz="0" w:space="0" w:color="auto"/>
        <w:left w:val="none" w:sz="0" w:space="0" w:color="auto"/>
        <w:bottom w:val="none" w:sz="0" w:space="0" w:color="auto"/>
        <w:right w:val="none" w:sz="0" w:space="0" w:color="auto"/>
      </w:divBdr>
    </w:div>
    <w:div w:id="1334141676">
      <w:marLeft w:val="0"/>
      <w:marRight w:val="0"/>
      <w:marTop w:val="0"/>
      <w:marBottom w:val="0"/>
      <w:divBdr>
        <w:top w:val="none" w:sz="0" w:space="0" w:color="auto"/>
        <w:left w:val="none" w:sz="0" w:space="0" w:color="auto"/>
        <w:bottom w:val="none" w:sz="0" w:space="0" w:color="auto"/>
        <w:right w:val="none" w:sz="0" w:space="0" w:color="auto"/>
      </w:divBdr>
    </w:div>
    <w:div w:id="1338191945">
      <w:marLeft w:val="0"/>
      <w:marRight w:val="0"/>
      <w:marTop w:val="0"/>
      <w:marBottom w:val="0"/>
      <w:divBdr>
        <w:top w:val="none" w:sz="0" w:space="0" w:color="auto"/>
        <w:left w:val="none" w:sz="0" w:space="0" w:color="auto"/>
        <w:bottom w:val="none" w:sz="0" w:space="0" w:color="auto"/>
        <w:right w:val="none" w:sz="0" w:space="0" w:color="auto"/>
      </w:divBdr>
    </w:div>
    <w:div w:id="1338800836">
      <w:marLeft w:val="0"/>
      <w:marRight w:val="0"/>
      <w:marTop w:val="0"/>
      <w:marBottom w:val="0"/>
      <w:divBdr>
        <w:top w:val="none" w:sz="0" w:space="0" w:color="auto"/>
        <w:left w:val="none" w:sz="0" w:space="0" w:color="auto"/>
        <w:bottom w:val="none" w:sz="0" w:space="0" w:color="auto"/>
        <w:right w:val="none" w:sz="0" w:space="0" w:color="auto"/>
      </w:divBdr>
    </w:div>
    <w:div w:id="1341083031">
      <w:marLeft w:val="0"/>
      <w:marRight w:val="0"/>
      <w:marTop w:val="0"/>
      <w:marBottom w:val="0"/>
      <w:divBdr>
        <w:top w:val="none" w:sz="0" w:space="0" w:color="auto"/>
        <w:left w:val="none" w:sz="0" w:space="0" w:color="auto"/>
        <w:bottom w:val="none" w:sz="0" w:space="0" w:color="auto"/>
        <w:right w:val="none" w:sz="0" w:space="0" w:color="auto"/>
      </w:divBdr>
      <w:divsChild>
        <w:div w:id="1384521305">
          <w:marLeft w:val="0"/>
          <w:marRight w:val="0"/>
          <w:marTop w:val="0"/>
          <w:marBottom w:val="0"/>
          <w:divBdr>
            <w:top w:val="none" w:sz="0" w:space="0" w:color="auto"/>
            <w:left w:val="none" w:sz="0" w:space="0" w:color="auto"/>
            <w:bottom w:val="none" w:sz="0" w:space="0" w:color="auto"/>
            <w:right w:val="none" w:sz="0" w:space="0" w:color="auto"/>
          </w:divBdr>
        </w:div>
      </w:divsChild>
    </w:div>
    <w:div w:id="1345979484">
      <w:marLeft w:val="0"/>
      <w:marRight w:val="0"/>
      <w:marTop w:val="0"/>
      <w:marBottom w:val="0"/>
      <w:divBdr>
        <w:top w:val="none" w:sz="0" w:space="0" w:color="auto"/>
        <w:left w:val="none" w:sz="0" w:space="0" w:color="auto"/>
        <w:bottom w:val="none" w:sz="0" w:space="0" w:color="auto"/>
        <w:right w:val="none" w:sz="0" w:space="0" w:color="auto"/>
      </w:divBdr>
    </w:div>
    <w:div w:id="1346831062">
      <w:marLeft w:val="0"/>
      <w:marRight w:val="0"/>
      <w:marTop w:val="0"/>
      <w:marBottom w:val="0"/>
      <w:divBdr>
        <w:top w:val="none" w:sz="0" w:space="0" w:color="auto"/>
        <w:left w:val="none" w:sz="0" w:space="0" w:color="auto"/>
        <w:bottom w:val="none" w:sz="0" w:space="0" w:color="auto"/>
        <w:right w:val="none" w:sz="0" w:space="0" w:color="auto"/>
      </w:divBdr>
    </w:div>
    <w:div w:id="1349483010">
      <w:marLeft w:val="0"/>
      <w:marRight w:val="0"/>
      <w:marTop w:val="0"/>
      <w:marBottom w:val="0"/>
      <w:divBdr>
        <w:top w:val="none" w:sz="0" w:space="0" w:color="auto"/>
        <w:left w:val="none" w:sz="0" w:space="0" w:color="auto"/>
        <w:bottom w:val="none" w:sz="0" w:space="0" w:color="auto"/>
        <w:right w:val="none" w:sz="0" w:space="0" w:color="auto"/>
      </w:divBdr>
    </w:div>
    <w:div w:id="1349527286">
      <w:marLeft w:val="0"/>
      <w:marRight w:val="0"/>
      <w:marTop w:val="0"/>
      <w:marBottom w:val="0"/>
      <w:divBdr>
        <w:top w:val="none" w:sz="0" w:space="0" w:color="auto"/>
        <w:left w:val="none" w:sz="0" w:space="0" w:color="auto"/>
        <w:bottom w:val="none" w:sz="0" w:space="0" w:color="auto"/>
        <w:right w:val="none" w:sz="0" w:space="0" w:color="auto"/>
      </w:divBdr>
    </w:div>
    <w:div w:id="1354040580">
      <w:marLeft w:val="0"/>
      <w:marRight w:val="0"/>
      <w:marTop w:val="0"/>
      <w:marBottom w:val="0"/>
      <w:divBdr>
        <w:top w:val="none" w:sz="0" w:space="0" w:color="auto"/>
        <w:left w:val="none" w:sz="0" w:space="0" w:color="auto"/>
        <w:bottom w:val="none" w:sz="0" w:space="0" w:color="auto"/>
        <w:right w:val="none" w:sz="0" w:space="0" w:color="auto"/>
      </w:divBdr>
    </w:div>
    <w:div w:id="1355696090">
      <w:marLeft w:val="0"/>
      <w:marRight w:val="0"/>
      <w:marTop w:val="0"/>
      <w:marBottom w:val="0"/>
      <w:divBdr>
        <w:top w:val="none" w:sz="0" w:space="0" w:color="auto"/>
        <w:left w:val="none" w:sz="0" w:space="0" w:color="auto"/>
        <w:bottom w:val="none" w:sz="0" w:space="0" w:color="auto"/>
        <w:right w:val="none" w:sz="0" w:space="0" w:color="auto"/>
      </w:divBdr>
      <w:divsChild>
        <w:div w:id="514809458">
          <w:marLeft w:val="0"/>
          <w:marRight w:val="0"/>
          <w:marTop w:val="0"/>
          <w:marBottom w:val="0"/>
          <w:divBdr>
            <w:top w:val="none" w:sz="0" w:space="0" w:color="auto"/>
            <w:left w:val="none" w:sz="0" w:space="0" w:color="auto"/>
            <w:bottom w:val="none" w:sz="0" w:space="0" w:color="auto"/>
            <w:right w:val="none" w:sz="0" w:space="0" w:color="auto"/>
          </w:divBdr>
        </w:div>
      </w:divsChild>
    </w:div>
    <w:div w:id="1356613760">
      <w:marLeft w:val="0"/>
      <w:marRight w:val="0"/>
      <w:marTop w:val="0"/>
      <w:marBottom w:val="0"/>
      <w:divBdr>
        <w:top w:val="none" w:sz="0" w:space="0" w:color="auto"/>
        <w:left w:val="none" w:sz="0" w:space="0" w:color="auto"/>
        <w:bottom w:val="none" w:sz="0" w:space="0" w:color="auto"/>
        <w:right w:val="none" w:sz="0" w:space="0" w:color="auto"/>
      </w:divBdr>
    </w:div>
    <w:div w:id="1359893208">
      <w:marLeft w:val="0"/>
      <w:marRight w:val="0"/>
      <w:marTop w:val="0"/>
      <w:marBottom w:val="0"/>
      <w:divBdr>
        <w:top w:val="none" w:sz="0" w:space="0" w:color="auto"/>
        <w:left w:val="none" w:sz="0" w:space="0" w:color="auto"/>
        <w:bottom w:val="none" w:sz="0" w:space="0" w:color="auto"/>
        <w:right w:val="none" w:sz="0" w:space="0" w:color="auto"/>
      </w:divBdr>
    </w:div>
    <w:div w:id="1366373430">
      <w:marLeft w:val="0"/>
      <w:marRight w:val="0"/>
      <w:marTop w:val="0"/>
      <w:marBottom w:val="0"/>
      <w:divBdr>
        <w:top w:val="none" w:sz="0" w:space="0" w:color="auto"/>
        <w:left w:val="none" w:sz="0" w:space="0" w:color="auto"/>
        <w:bottom w:val="none" w:sz="0" w:space="0" w:color="auto"/>
        <w:right w:val="none" w:sz="0" w:space="0" w:color="auto"/>
      </w:divBdr>
    </w:div>
    <w:div w:id="1368523149">
      <w:marLeft w:val="0"/>
      <w:marRight w:val="0"/>
      <w:marTop w:val="0"/>
      <w:marBottom w:val="0"/>
      <w:divBdr>
        <w:top w:val="none" w:sz="0" w:space="0" w:color="auto"/>
        <w:left w:val="none" w:sz="0" w:space="0" w:color="auto"/>
        <w:bottom w:val="none" w:sz="0" w:space="0" w:color="auto"/>
        <w:right w:val="none" w:sz="0" w:space="0" w:color="auto"/>
      </w:divBdr>
      <w:divsChild>
        <w:div w:id="1326785299">
          <w:marLeft w:val="0"/>
          <w:marRight w:val="0"/>
          <w:marTop w:val="0"/>
          <w:marBottom w:val="0"/>
          <w:divBdr>
            <w:top w:val="none" w:sz="0" w:space="0" w:color="auto"/>
            <w:left w:val="none" w:sz="0" w:space="0" w:color="auto"/>
            <w:bottom w:val="none" w:sz="0" w:space="0" w:color="auto"/>
            <w:right w:val="none" w:sz="0" w:space="0" w:color="auto"/>
          </w:divBdr>
        </w:div>
        <w:div w:id="485821468">
          <w:marLeft w:val="0"/>
          <w:marRight w:val="0"/>
          <w:marTop w:val="0"/>
          <w:marBottom w:val="0"/>
          <w:divBdr>
            <w:top w:val="none" w:sz="0" w:space="0" w:color="auto"/>
            <w:left w:val="none" w:sz="0" w:space="0" w:color="auto"/>
            <w:bottom w:val="none" w:sz="0" w:space="0" w:color="auto"/>
            <w:right w:val="none" w:sz="0" w:space="0" w:color="auto"/>
          </w:divBdr>
        </w:div>
      </w:divsChild>
    </w:div>
    <w:div w:id="1372337587">
      <w:marLeft w:val="0"/>
      <w:marRight w:val="0"/>
      <w:marTop w:val="0"/>
      <w:marBottom w:val="0"/>
      <w:divBdr>
        <w:top w:val="none" w:sz="0" w:space="0" w:color="auto"/>
        <w:left w:val="none" w:sz="0" w:space="0" w:color="auto"/>
        <w:bottom w:val="none" w:sz="0" w:space="0" w:color="auto"/>
        <w:right w:val="none" w:sz="0" w:space="0" w:color="auto"/>
      </w:divBdr>
    </w:div>
    <w:div w:id="1374572190">
      <w:marLeft w:val="0"/>
      <w:marRight w:val="0"/>
      <w:marTop w:val="0"/>
      <w:marBottom w:val="0"/>
      <w:divBdr>
        <w:top w:val="none" w:sz="0" w:space="0" w:color="auto"/>
        <w:left w:val="none" w:sz="0" w:space="0" w:color="auto"/>
        <w:bottom w:val="none" w:sz="0" w:space="0" w:color="auto"/>
        <w:right w:val="none" w:sz="0" w:space="0" w:color="auto"/>
      </w:divBdr>
    </w:div>
    <w:div w:id="1377504284">
      <w:marLeft w:val="0"/>
      <w:marRight w:val="0"/>
      <w:marTop w:val="0"/>
      <w:marBottom w:val="0"/>
      <w:divBdr>
        <w:top w:val="none" w:sz="0" w:space="0" w:color="auto"/>
        <w:left w:val="none" w:sz="0" w:space="0" w:color="auto"/>
        <w:bottom w:val="none" w:sz="0" w:space="0" w:color="auto"/>
        <w:right w:val="none" w:sz="0" w:space="0" w:color="auto"/>
      </w:divBdr>
    </w:div>
    <w:div w:id="1379354249">
      <w:marLeft w:val="0"/>
      <w:marRight w:val="0"/>
      <w:marTop w:val="0"/>
      <w:marBottom w:val="0"/>
      <w:divBdr>
        <w:top w:val="none" w:sz="0" w:space="0" w:color="auto"/>
        <w:left w:val="none" w:sz="0" w:space="0" w:color="auto"/>
        <w:bottom w:val="none" w:sz="0" w:space="0" w:color="auto"/>
        <w:right w:val="none" w:sz="0" w:space="0" w:color="auto"/>
      </w:divBdr>
    </w:div>
    <w:div w:id="1379621044">
      <w:marLeft w:val="0"/>
      <w:marRight w:val="0"/>
      <w:marTop w:val="0"/>
      <w:marBottom w:val="0"/>
      <w:divBdr>
        <w:top w:val="none" w:sz="0" w:space="0" w:color="auto"/>
        <w:left w:val="none" w:sz="0" w:space="0" w:color="auto"/>
        <w:bottom w:val="none" w:sz="0" w:space="0" w:color="auto"/>
        <w:right w:val="none" w:sz="0" w:space="0" w:color="auto"/>
      </w:divBdr>
    </w:div>
    <w:div w:id="1383674876">
      <w:marLeft w:val="0"/>
      <w:marRight w:val="0"/>
      <w:marTop w:val="0"/>
      <w:marBottom w:val="0"/>
      <w:divBdr>
        <w:top w:val="none" w:sz="0" w:space="0" w:color="auto"/>
        <w:left w:val="none" w:sz="0" w:space="0" w:color="auto"/>
        <w:bottom w:val="none" w:sz="0" w:space="0" w:color="auto"/>
        <w:right w:val="none" w:sz="0" w:space="0" w:color="auto"/>
      </w:divBdr>
    </w:div>
    <w:div w:id="1388845049">
      <w:marLeft w:val="0"/>
      <w:marRight w:val="0"/>
      <w:marTop w:val="40"/>
      <w:marBottom w:val="40"/>
      <w:divBdr>
        <w:top w:val="none" w:sz="0" w:space="0" w:color="auto"/>
        <w:left w:val="none" w:sz="0" w:space="0" w:color="auto"/>
        <w:bottom w:val="none" w:sz="0" w:space="0" w:color="auto"/>
        <w:right w:val="none" w:sz="0" w:space="0" w:color="auto"/>
      </w:divBdr>
    </w:div>
    <w:div w:id="1389378243">
      <w:marLeft w:val="0"/>
      <w:marRight w:val="0"/>
      <w:marTop w:val="0"/>
      <w:marBottom w:val="0"/>
      <w:divBdr>
        <w:top w:val="none" w:sz="0" w:space="0" w:color="auto"/>
        <w:left w:val="none" w:sz="0" w:space="0" w:color="auto"/>
        <w:bottom w:val="none" w:sz="0" w:space="0" w:color="auto"/>
        <w:right w:val="none" w:sz="0" w:space="0" w:color="auto"/>
      </w:divBdr>
    </w:div>
    <w:div w:id="1393231571">
      <w:marLeft w:val="0"/>
      <w:marRight w:val="0"/>
      <w:marTop w:val="0"/>
      <w:marBottom w:val="0"/>
      <w:divBdr>
        <w:top w:val="none" w:sz="0" w:space="0" w:color="auto"/>
        <w:left w:val="none" w:sz="0" w:space="0" w:color="auto"/>
        <w:bottom w:val="none" w:sz="0" w:space="0" w:color="auto"/>
        <w:right w:val="none" w:sz="0" w:space="0" w:color="auto"/>
      </w:divBdr>
    </w:div>
    <w:div w:id="1395201240">
      <w:marLeft w:val="0"/>
      <w:marRight w:val="0"/>
      <w:marTop w:val="0"/>
      <w:marBottom w:val="0"/>
      <w:divBdr>
        <w:top w:val="none" w:sz="0" w:space="0" w:color="auto"/>
        <w:left w:val="none" w:sz="0" w:space="0" w:color="auto"/>
        <w:bottom w:val="none" w:sz="0" w:space="0" w:color="auto"/>
        <w:right w:val="none" w:sz="0" w:space="0" w:color="auto"/>
      </w:divBdr>
    </w:div>
    <w:div w:id="1397629097">
      <w:marLeft w:val="0"/>
      <w:marRight w:val="0"/>
      <w:marTop w:val="0"/>
      <w:marBottom w:val="0"/>
      <w:divBdr>
        <w:top w:val="none" w:sz="0" w:space="0" w:color="auto"/>
        <w:left w:val="none" w:sz="0" w:space="0" w:color="auto"/>
        <w:bottom w:val="none" w:sz="0" w:space="0" w:color="auto"/>
        <w:right w:val="none" w:sz="0" w:space="0" w:color="auto"/>
      </w:divBdr>
      <w:divsChild>
        <w:div w:id="27072322">
          <w:marLeft w:val="0"/>
          <w:marRight w:val="0"/>
          <w:marTop w:val="0"/>
          <w:marBottom w:val="0"/>
          <w:divBdr>
            <w:top w:val="none" w:sz="0" w:space="0" w:color="auto"/>
            <w:left w:val="none" w:sz="0" w:space="0" w:color="auto"/>
            <w:bottom w:val="none" w:sz="0" w:space="0" w:color="auto"/>
            <w:right w:val="none" w:sz="0" w:space="0" w:color="auto"/>
          </w:divBdr>
        </w:div>
      </w:divsChild>
    </w:div>
    <w:div w:id="1398242119">
      <w:marLeft w:val="0"/>
      <w:marRight w:val="0"/>
      <w:marTop w:val="0"/>
      <w:marBottom w:val="0"/>
      <w:divBdr>
        <w:top w:val="none" w:sz="0" w:space="0" w:color="auto"/>
        <w:left w:val="none" w:sz="0" w:space="0" w:color="auto"/>
        <w:bottom w:val="none" w:sz="0" w:space="0" w:color="auto"/>
        <w:right w:val="none" w:sz="0" w:space="0" w:color="auto"/>
      </w:divBdr>
    </w:div>
    <w:div w:id="1399783919">
      <w:marLeft w:val="0"/>
      <w:marRight w:val="0"/>
      <w:marTop w:val="0"/>
      <w:marBottom w:val="0"/>
      <w:divBdr>
        <w:top w:val="none" w:sz="0" w:space="0" w:color="auto"/>
        <w:left w:val="none" w:sz="0" w:space="0" w:color="auto"/>
        <w:bottom w:val="none" w:sz="0" w:space="0" w:color="auto"/>
        <w:right w:val="none" w:sz="0" w:space="0" w:color="auto"/>
      </w:divBdr>
    </w:div>
    <w:div w:id="1400516640">
      <w:marLeft w:val="0"/>
      <w:marRight w:val="0"/>
      <w:marTop w:val="0"/>
      <w:marBottom w:val="0"/>
      <w:divBdr>
        <w:top w:val="none" w:sz="0" w:space="0" w:color="auto"/>
        <w:left w:val="none" w:sz="0" w:space="0" w:color="auto"/>
        <w:bottom w:val="none" w:sz="0" w:space="0" w:color="auto"/>
        <w:right w:val="none" w:sz="0" w:space="0" w:color="auto"/>
      </w:divBdr>
    </w:div>
    <w:div w:id="1406762881">
      <w:marLeft w:val="0"/>
      <w:marRight w:val="0"/>
      <w:marTop w:val="0"/>
      <w:marBottom w:val="180"/>
      <w:divBdr>
        <w:top w:val="none" w:sz="0" w:space="0" w:color="auto"/>
        <w:left w:val="none" w:sz="0" w:space="0" w:color="auto"/>
        <w:bottom w:val="none" w:sz="0" w:space="0" w:color="auto"/>
        <w:right w:val="none" w:sz="0" w:space="0" w:color="auto"/>
      </w:divBdr>
    </w:div>
    <w:div w:id="1406800048">
      <w:marLeft w:val="0"/>
      <w:marRight w:val="0"/>
      <w:marTop w:val="0"/>
      <w:marBottom w:val="0"/>
      <w:divBdr>
        <w:top w:val="none" w:sz="0" w:space="0" w:color="auto"/>
        <w:left w:val="none" w:sz="0" w:space="0" w:color="auto"/>
        <w:bottom w:val="none" w:sz="0" w:space="0" w:color="auto"/>
        <w:right w:val="none" w:sz="0" w:space="0" w:color="auto"/>
      </w:divBdr>
      <w:divsChild>
        <w:div w:id="2001619044">
          <w:marLeft w:val="0"/>
          <w:marRight w:val="0"/>
          <w:marTop w:val="0"/>
          <w:marBottom w:val="0"/>
          <w:divBdr>
            <w:top w:val="none" w:sz="0" w:space="0" w:color="auto"/>
            <w:left w:val="none" w:sz="0" w:space="0" w:color="auto"/>
            <w:bottom w:val="none" w:sz="0" w:space="0" w:color="auto"/>
            <w:right w:val="none" w:sz="0" w:space="0" w:color="auto"/>
          </w:divBdr>
        </w:div>
      </w:divsChild>
    </w:div>
    <w:div w:id="1407457668">
      <w:marLeft w:val="0"/>
      <w:marRight w:val="0"/>
      <w:marTop w:val="0"/>
      <w:marBottom w:val="0"/>
      <w:divBdr>
        <w:top w:val="none" w:sz="0" w:space="0" w:color="auto"/>
        <w:left w:val="none" w:sz="0" w:space="0" w:color="auto"/>
        <w:bottom w:val="none" w:sz="0" w:space="0" w:color="auto"/>
        <w:right w:val="none" w:sz="0" w:space="0" w:color="auto"/>
      </w:divBdr>
    </w:div>
    <w:div w:id="1408461167">
      <w:marLeft w:val="0"/>
      <w:marRight w:val="0"/>
      <w:marTop w:val="0"/>
      <w:marBottom w:val="0"/>
      <w:divBdr>
        <w:top w:val="none" w:sz="0" w:space="0" w:color="auto"/>
        <w:left w:val="none" w:sz="0" w:space="0" w:color="auto"/>
        <w:bottom w:val="none" w:sz="0" w:space="0" w:color="auto"/>
        <w:right w:val="none" w:sz="0" w:space="0" w:color="auto"/>
      </w:divBdr>
    </w:div>
    <w:div w:id="1409764799">
      <w:marLeft w:val="0"/>
      <w:marRight w:val="0"/>
      <w:marTop w:val="0"/>
      <w:marBottom w:val="0"/>
      <w:divBdr>
        <w:top w:val="none" w:sz="0" w:space="0" w:color="auto"/>
        <w:left w:val="none" w:sz="0" w:space="0" w:color="auto"/>
        <w:bottom w:val="none" w:sz="0" w:space="0" w:color="auto"/>
        <w:right w:val="none" w:sz="0" w:space="0" w:color="auto"/>
      </w:divBdr>
    </w:div>
    <w:div w:id="1410301262">
      <w:marLeft w:val="0"/>
      <w:marRight w:val="0"/>
      <w:marTop w:val="0"/>
      <w:marBottom w:val="0"/>
      <w:divBdr>
        <w:top w:val="none" w:sz="0" w:space="0" w:color="auto"/>
        <w:left w:val="none" w:sz="0" w:space="0" w:color="auto"/>
        <w:bottom w:val="none" w:sz="0" w:space="0" w:color="auto"/>
        <w:right w:val="none" w:sz="0" w:space="0" w:color="auto"/>
      </w:divBdr>
    </w:div>
    <w:div w:id="1410496498">
      <w:marLeft w:val="0"/>
      <w:marRight w:val="0"/>
      <w:marTop w:val="0"/>
      <w:marBottom w:val="0"/>
      <w:divBdr>
        <w:top w:val="none" w:sz="0" w:space="0" w:color="auto"/>
        <w:left w:val="none" w:sz="0" w:space="0" w:color="auto"/>
        <w:bottom w:val="none" w:sz="0" w:space="0" w:color="auto"/>
        <w:right w:val="none" w:sz="0" w:space="0" w:color="auto"/>
      </w:divBdr>
    </w:div>
    <w:div w:id="1415123649">
      <w:marLeft w:val="0"/>
      <w:marRight w:val="0"/>
      <w:marTop w:val="0"/>
      <w:marBottom w:val="0"/>
      <w:divBdr>
        <w:top w:val="none" w:sz="0" w:space="0" w:color="auto"/>
        <w:left w:val="none" w:sz="0" w:space="0" w:color="auto"/>
        <w:bottom w:val="none" w:sz="0" w:space="0" w:color="auto"/>
        <w:right w:val="none" w:sz="0" w:space="0" w:color="auto"/>
      </w:divBdr>
    </w:div>
    <w:div w:id="1415859493">
      <w:marLeft w:val="0"/>
      <w:marRight w:val="0"/>
      <w:marTop w:val="0"/>
      <w:marBottom w:val="0"/>
      <w:divBdr>
        <w:top w:val="none" w:sz="0" w:space="0" w:color="auto"/>
        <w:left w:val="none" w:sz="0" w:space="0" w:color="auto"/>
        <w:bottom w:val="none" w:sz="0" w:space="0" w:color="auto"/>
        <w:right w:val="none" w:sz="0" w:space="0" w:color="auto"/>
      </w:divBdr>
    </w:div>
    <w:div w:id="1417442006">
      <w:marLeft w:val="0"/>
      <w:marRight w:val="0"/>
      <w:marTop w:val="0"/>
      <w:marBottom w:val="0"/>
      <w:divBdr>
        <w:top w:val="none" w:sz="0" w:space="0" w:color="auto"/>
        <w:left w:val="none" w:sz="0" w:space="0" w:color="auto"/>
        <w:bottom w:val="none" w:sz="0" w:space="0" w:color="auto"/>
        <w:right w:val="none" w:sz="0" w:space="0" w:color="auto"/>
      </w:divBdr>
      <w:divsChild>
        <w:div w:id="113015218">
          <w:marLeft w:val="0"/>
          <w:marRight w:val="0"/>
          <w:marTop w:val="0"/>
          <w:marBottom w:val="0"/>
          <w:divBdr>
            <w:top w:val="none" w:sz="0" w:space="0" w:color="auto"/>
            <w:left w:val="none" w:sz="0" w:space="0" w:color="auto"/>
            <w:bottom w:val="none" w:sz="0" w:space="0" w:color="auto"/>
            <w:right w:val="none" w:sz="0" w:space="0" w:color="auto"/>
          </w:divBdr>
        </w:div>
      </w:divsChild>
    </w:div>
    <w:div w:id="1419521272">
      <w:marLeft w:val="0"/>
      <w:marRight w:val="0"/>
      <w:marTop w:val="0"/>
      <w:marBottom w:val="0"/>
      <w:divBdr>
        <w:top w:val="none" w:sz="0" w:space="0" w:color="auto"/>
        <w:left w:val="none" w:sz="0" w:space="0" w:color="auto"/>
        <w:bottom w:val="none" w:sz="0" w:space="0" w:color="auto"/>
        <w:right w:val="none" w:sz="0" w:space="0" w:color="auto"/>
      </w:divBdr>
    </w:div>
    <w:div w:id="1424103929">
      <w:marLeft w:val="0"/>
      <w:marRight w:val="0"/>
      <w:marTop w:val="0"/>
      <w:marBottom w:val="0"/>
      <w:divBdr>
        <w:top w:val="none" w:sz="0" w:space="0" w:color="auto"/>
        <w:left w:val="none" w:sz="0" w:space="0" w:color="auto"/>
        <w:bottom w:val="none" w:sz="0" w:space="0" w:color="auto"/>
        <w:right w:val="none" w:sz="0" w:space="0" w:color="auto"/>
      </w:divBdr>
    </w:div>
    <w:div w:id="1424761748">
      <w:marLeft w:val="0"/>
      <w:marRight w:val="0"/>
      <w:marTop w:val="0"/>
      <w:marBottom w:val="0"/>
      <w:divBdr>
        <w:top w:val="none" w:sz="0" w:space="0" w:color="auto"/>
        <w:left w:val="none" w:sz="0" w:space="0" w:color="auto"/>
        <w:bottom w:val="none" w:sz="0" w:space="0" w:color="auto"/>
        <w:right w:val="none" w:sz="0" w:space="0" w:color="auto"/>
      </w:divBdr>
    </w:div>
    <w:div w:id="1425833650">
      <w:marLeft w:val="0"/>
      <w:marRight w:val="0"/>
      <w:marTop w:val="0"/>
      <w:marBottom w:val="0"/>
      <w:divBdr>
        <w:top w:val="none" w:sz="0" w:space="0" w:color="auto"/>
        <w:left w:val="none" w:sz="0" w:space="0" w:color="auto"/>
        <w:bottom w:val="none" w:sz="0" w:space="0" w:color="auto"/>
        <w:right w:val="none" w:sz="0" w:space="0" w:color="auto"/>
      </w:divBdr>
    </w:div>
    <w:div w:id="1426415484">
      <w:marLeft w:val="0"/>
      <w:marRight w:val="0"/>
      <w:marTop w:val="0"/>
      <w:marBottom w:val="0"/>
      <w:divBdr>
        <w:top w:val="none" w:sz="0" w:space="0" w:color="auto"/>
        <w:left w:val="none" w:sz="0" w:space="0" w:color="auto"/>
        <w:bottom w:val="none" w:sz="0" w:space="0" w:color="auto"/>
        <w:right w:val="none" w:sz="0" w:space="0" w:color="auto"/>
      </w:divBdr>
    </w:div>
    <w:div w:id="1431587558">
      <w:marLeft w:val="0"/>
      <w:marRight w:val="0"/>
      <w:marTop w:val="0"/>
      <w:marBottom w:val="0"/>
      <w:divBdr>
        <w:top w:val="none" w:sz="0" w:space="0" w:color="auto"/>
        <w:left w:val="none" w:sz="0" w:space="0" w:color="auto"/>
        <w:bottom w:val="none" w:sz="0" w:space="0" w:color="auto"/>
        <w:right w:val="none" w:sz="0" w:space="0" w:color="auto"/>
      </w:divBdr>
    </w:div>
    <w:div w:id="1433434018">
      <w:marLeft w:val="0"/>
      <w:marRight w:val="0"/>
      <w:marTop w:val="0"/>
      <w:marBottom w:val="0"/>
      <w:divBdr>
        <w:top w:val="none" w:sz="0" w:space="0" w:color="auto"/>
        <w:left w:val="none" w:sz="0" w:space="0" w:color="auto"/>
        <w:bottom w:val="none" w:sz="0" w:space="0" w:color="auto"/>
        <w:right w:val="none" w:sz="0" w:space="0" w:color="auto"/>
      </w:divBdr>
    </w:div>
    <w:div w:id="1437365057">
      <w:marLeft w:val="0"/>
      <w:marRight w:val="0"/>
      <w:marTop w:val="0"/>
      <w:marBottom w:val="0"/>
      <w:divBdr>
        <w:top w:val="none" w:sz="0" w:space="0" w:color="auto"/>
        <w:left w:val="none" w:sz="0" w:space="0" w:color="auto"/>
        <w:bottom w:val="none" w:sz="0" w:space="0" w:color="auto"/>
        <w:right w:val="none" w:sz="0" w:space="0" w:color="auto"/>
      </w:divBdr>
    </w:div>
    <w:div w:id="1442872452">
      <w:marLeft w:val="0"/>
      <w:marRight w:val="0"/>
      <w:marTop w:val="0"/>
      <w:marBottom w:val="0"/>
      <w:divBdr>
        <w:top w:val="none" w:sz="0" w:space="0" w:color="auto"/>
        <w:left w:val="none" w:sz="0" w:space="0" w:color="auto"/>
        <w:bottom w:val="none" w:sz="0" w:space="0" w:color="auto"/>
        <w:right w:val="none" w:sz="0" w:space="0" w:color="auto"/>
      </w:divBdr>
    </w:div>
    <w:div w:id="1443264647">
      <w:marLeft w:val="0"/>
      <w:marRight w:val="0"/>
      <w:marTop w:val="0"/>
      <w:marBottom w:val="0"/>
      <w:divBdr>
        <w:top w:val="none" w:sz="0" w:space="0" w:color="auto"/>
        <w:left w:val="none" w:sz="0" w:space="0" w:color="auto"/>
        <w:bottom w:val="none" w:sz="0" w:space="0" w:color="auto"/>
        <w:right w:val="none" w:sz="0" w:space="0" w:color="auto"/>
      </w:divBdr>
    </w:div>
    <w:div w:id="1443525961">
      <w:marLeft w:val="0"/>
      <w:marRight w:val="0"/>
      <w:marTop w:val="0"/>
      <w:marBottom w:val="0"/>
      <w:divBdr>
        <w:top w:val="none" w:sz="0" w:space="0" w:color="auto"/>
        <w:left w:val="none" w:sz="0" w:space="0" w:color="auto"/>
        <w:bottom w:val="none" w:sz="0" w:space="0" w:color="auto"/>
        <w:right w:val="none" w:sz="0" w:space="0" w:color="auto"/>
      </w:divBdr>
    </w:div>
    <w:div w:id="1444232904">
      <w:marLeft w:val="0"/>
      <w:marRight w:val="0"/>
      <w:marTop w:val="0"/>
      <w:marBottom w:val="0"/>
      <w:divBdr>
        <w:top w:val="none" w:sz="0" w:space="0" w:color="auto"/>
        <w:left w:val="none" w:sz="0" w:space="0" w:color="auto"/>
        <w:bottom w:val="none" w:sz="0" w:space="0" w:color="auto"/>
        <w:right w:val="none" w:sz="0" w:space="0" w:color="auto"/>
      </w:divBdr>
    </w:div>
    <w:div w:id="1444421244">
      <w:marLeft w:val="0"/>
      <w:marRight w:val="0"/>
      <w:marTop w:val="0"/>
      <w:marBottom w:val="0"/>
      <w:divBdr>
        <w:top w:val="none" w:sz="0" w:space="0" w:color="auto"/>
        <w:left w:val="none" w:sz="0" w:space="0" w:color="auto"/>
        <w:bottom w:val="none" w:sz="0" w:space="0" w:color="auto"/>
        <w:right w:val="none" w:sz="0" w:space="0" w:color="auto"/>
      </w:divBdr>
    </w:div>
    <w:div w:id="1448085566">
      <w:marLeft w:val="0"/>
      <w:marRight w:val="0"/>
      <w:marTop w:val="0"/>
      <w:marBottom w:val="0"/>
      <w:divBdr>
        <w:top w:val="none" w:sz="0" w:space="0" w:color="auto"/>
        <w:left w:val="none" w:sz="0" w:space="0" w:color="auto"/>
        <w:bottom w:val="none" w:sz="0" w:space="0" w:color="auto"/>
        <w:right w:val="none" w:sz="0" w:space="0" w:color="auto"/>
      </w:divBdr>
    </w:div>
    <w:div w:id="1448236509">
      <w:marLeft w:val="0"/>
      <w:marRight w:val="0"/>
      <w:marTop w:val="0"/>
      <w:marBottom w:val="0"/>
      <w:divBdr>
        <w:top w:val="none" w:sz="0" w:space="0" w:color="auto"/>
        <w:left w:val="none" w:sz="0" w:space="0" w:color="auto"/>
        <w:bottom w:val="none" w:sz="0" w:space="0" w:color="auto"/>
        <w:right w:val="none" w:sz="0" w:space="0" w:color="auto"/>
      </w:divBdr>
      <w:divsChild>
        <w:div w:id="1673950275">
          <w:marLeft w:val="0"/>
          <w:marRight w:val="0"/>
          <w:marTop w:val="0"/>
          <w:marBottom w:val="0"/>
          <w:divBdr>
            <w:top w:val="none" w:sz="0" w:space="0" w:color="auto"/>
            <w:left w:val="none" w:sz="0" w:space="0" w:color="auto"/>
            <w:bottom w:val="none" w:sz="0" w:space="0" w:color="auto"/>
            <w:right w:val="none" w:sz="0" w:space="0" w:color="auto"/>
          </w:divBdr>
        </w:div>
      </w:divsChild>
    </w:div>
    <w:div w:id="1448620848">
      <w:marLeft w:val="0"/>
      <w:marRight w:val="0"/>
      <w:marTop w:val="0"/>
      <w:marBottom w:val="0"/>
      <w:divBdr>
        <w:top w:val="none" w:sz="0" w:space="0" w:color="auto"/>
        <w:left w:val="none" w:sz="0" w:space="0" w:color="auto"/>
        <w:bottom w:val="none" w:sz="0" w:space="0" w:color="auto"/>
        <w:right w:val="none" w:sz="0" w:space="0" w:color="auto"/>
      </w:divBdr>
    </w:div>
    <w:div w:id="1449159856">
      <w:marLeft w:val="0"/>
      <w:marRight w:val="0"/>
      <w:marTop w:val="0"/>
      <w:marBottom w:val="0"/>
      <w:divBdr>
        <w:top w:val="none" w:sz="0" w:space="0" w:color="auto"/>
        <w:left w:val="none" w:sz="0" w:space="0" w:color="auto"/>
        <w:bottom w:val="none" w:sz="0" w:space="0" w:color="auto"/>
        <w:right w:val="none" w:sz="0" w:space="0" w:color="auto"/>
      </w:divBdr>
      <w:divsChild>
        <w:div w:id="2007517321">
          <w:marLeft w:val="0"/>
          <w:marRight w:val="0"/>
          <w:marTop w:val="0"/>
          <w:marBottom w:val="0"/>
          <w:divBdr>
            <w:top w:val="none" w:sz="0" w:space="0" w:color="auto"/>
            <w:left w:val="none" w:sz="0" w:space="0" w:color="auto"/>
            <w:bottom w:val="none" w:sz="0" w:space="0" w:color="auto"/>
            <w:right w:val="none" w:sz="0" w:space="0" w:color="auto"/>
          </w:divBdr>
        </w:div>
      </w:divsChild>
    </w:div>
    <w:div w:id="1449204590">
      <w:marLeft w:val="0"/>
      <w:marRight w:val="0"/>
      <w:marTop w:val="0"/>
      <w:marBottom w:val="0"/>
      <w:divBdr>
        <w:top w:val="none" w:sz="0" w:space="0" w:color="auto"/>
        <w:left w:val="none" w:sz="0" w:space="0" w:color="auto"/>
        <w:bottom w:val="none" w:sz="0" w:space="0" w:color="auto"/>
        <w:right w:val="none" w:sz="0" w:space="0" w:color="auto"/>
      </w:divBdr>
    </w:div>
    <w:div w:id="1451121190">
      <w:marLeft w:val="0"/>
      <w:marRight w:val="0"/>
      <w:marTop w:val="0"/>
      <w:marBottom w:val="0"/>
      <w:divBdr>
        <w:top w:val="none" w:sz="0" w:space="0" w:color="auto"/>
        <w:left w:val="none" w:sz="0" w:space="0" w:color="auto"/>
        <w:bottom w:val="none" w:sz="0" w:space="0" w:color="auto"/>
        <w:right w:val="none" w:sz="0" w:space="0" w:color="auto"/>
      </w:divBdr>
      <w:divsChild>
        <w:div w:id="601767648">
          <w:marLeft w:val="0"/>
          <w:marRight w:val="0"/>
          <w:marTop w:val="0"/>
          <w:marBottom w:val="0"/>
          <w:divBdr>
            <w:top w:val="none" w:sz="0" w:space="0" w:color="auto"/>
            <w:left w:val="none" w:sz="0" w:space="0" w:color="auto"/>
            <w:bottom w:val="none" w:sz="0" w:space="0" w:color="auto"/>
            <w:right w:val="none" w:sz="0" w:space="0" w:color="auto"/>
          </w:divBdr>
        </w:div>
        <w:div w:id="989871723">
          <w:marLeft w:val="0"/>
          <w:marRight w:val="0"/>
          <w:marTop w:val="0"/>
          <w:marBottom w:val="0"/>
          <w:divBdr>
            <w:top w:val="none" w:sz="0" w:space="0" w:color="auto"/>
            <w:left w:val="none" w:sz="0" w:space="0" w:color="auto"/>
            <w:bottom w:val="none" w:sz="0" w:space="0" w:color="auto"/>
            <w:right w:val="none" w:sz="0" w:space="0" w:color="auto"/>
          </w:divBdr>
        </w:div>
        <w:div w:id="910582069">
          <w:marLeft w:val="0"/>
          <w:marRight w:val="0"/>
          <w:marTop w:val="0"/>
          <w:marBottom w:val="0"/>
          <w:divBdr>
            <w:top w:val="none" w:sz="0" w:space="0" w:color="auto"/>
            <w:left w:val="none" w:sz="0" w:space="0" w:color="auto"/>
            <w:bottom w:val="none" w:sz="0" w:space="0" w:color="auto"/>
            <w:right w:val="none" w:sz="0" w:space="0" w:color="auto"/>
          </w:divBdr>
        </w:div>
        <w:div w:id="1531187003">
          <w:marLeft w:val="0"/>
          <w:marRight w:val="0"/>
          <w:marTop w:val="0"/>
          <w:marBottom w:val="0"/>
          <w:divBdr>
            <w:top w:val="none" w:sz="0" w:space="0" w:color="auto"/>
            <w:left w:val="none" w:sz="0" w:space="0" w:color="auto"/>
            <w:bottom w:val="none" w:sz="0" w:space="0" w:color="auto"/>
            <w:right w:val="none" w:sz="0" w:space="0" w:color="auto"/>
          </w:divBdr>
        </w:div>
        <w:div w:id="1220244617">
          <w:marLeft w:val="0"/>
          <w:marRight w:val="0"/>
          <w:marTop w:val="0"/>
          <w:marBottom w:val="0"/>
          <w:divBdr>
            <w:top w:val="none" w:sz="0" w:space="0" w:color="auto"/>
            <w:left w:val="none" w:sz="0" w:space="0" w:color="auto"/>
            <w:bottom w:val="none" w:sz="0" w:space="0" w:color="auto"/>
            <w:right w:val="none" w:sz="0" w:space="0" w:color="auto"/>
          </w:divBdr>
        </w:div>
      </w:divsChild>
    </w:div>
    <w:div w:id="1455054117">
      <w:marLeft w:val="0"/>
      <w:marRight w:val="0"/>
      <w:marTop w:val="0"/>
      <w:marBottom w:val="0"/>
      <w:divBdr>
        <w:top w:val="none" w:sz="0" w:space="0" w:color="auto"/>
        <w:left w:val="none" w:sz="0" w:space="0" w:color="auto"/>
        <w:bottom w:val="none" w:sz="0" w:space="0" w:color="auto"/>
        <w:right w:val="none" w:sz="0" w:space="0" w:color="auto"/>
      </w:divBdr>
    </w:div>
    <w:div w:id="1458186440">
      <w:marLeft w:val="0"/>
      <w:marRight w:val="0"/>
      <w:marTop w:val="0"/>
      <w:marBottom w:val="0"/>
      <w:divBdr>
        <w:top w:val="none" w:sz="0" w:space="0" w:color="auto"/>
        <w:left w:val="none" w:sz="0" w:space="0" w:color="auto"/>
        <w:bottom w:val="none" w:sz="0" w:space="0" w:color="auto"/>
        <w:right w:val="none" w:sz="0" w:space="0" w:color="auto"/>
      </w:divBdr>
    </w:div>
    <w:div w:id="1458336253">
      <w:marLeft w:val="0"/>
      <w:marRight w:val="0"/>
      <w:marTop w:val="0"/>
      <w:marBottom w:val="0"/>
      <w:divBdr>
        <w:top w:val="none" w:sz="0" w:space="0" w:color="auto"/>
        <w:left w:val="none" w:sz="0" w:space="0" w:color="auto"/>
        <w:bottom w:val="none" w:sz="0" w:space="0" w:color="auto"/>
        <w:right w:val="none" w:sz="0" w:space="0" w:color="auto"/>
      </w:divBdr>
    </w:div>
    <w:div w:id="1464998796">
      <w:marLeft w:val="0"/>
      <w:marRight w:val="0"/>
      <w:marTop w:val="0"/>
      <w:marBottom w:val="0"/>
      <w:divBdr>
        <w:top w:val="none" w:sz="0" w:space="0" w:color="auto"/>
        <w:left w:val="none" w:sz="0" w:space="0" w:color="auto"/>
        <w:bottom w:val="none" w:sz="0" w:space="0" w:color="auto"/>
        <w:right w:val="none" w:sz="0" w:space="0" w:color="auto"/>
      </w:divBdr>
    </w:div>
    <w:div w:id="1465461089">
      <w:marLeft w:val="0"/>
      <w:marRight w:val="0"/>
      <w:marTop w:val="0"/>
      <w:marBottom w:val="0"/>
      <w:divBdr>
        <w:top w:val="none" w:sz="0" w:space="0" w:color="auto"/>
        <w:left w:val="none" w:sz="0" w:space="0" w:color="auto"/>
        <w:bottom w:val="none" w:sz="0" w:space="0" w:color="auto"/>
        <w:right w:val="none" w:sz="0" w:space="0" w:color="auto"/>
      </w:divBdr>
    </w:div>
    <w:div w:id="1467506334">
      <w:marLeft w:val="0"/>
      <w:marRight w:val="0"/>
      <w:marTop w:val="0"/>
      <w:marBottom w:val="0"/>
      <w:divBdr>
        <w:top w:val="none" w:sz="0" w:space="0" w:color="auto"/>
        <w:left w:val="none" w:sz="0" w:space="0" w:color="auto"/>
        <w:bottom w:val="none" w:sz="0" w:space="0" w:color="auto"/>
        <w:right w:val="none" w:sz="0" w:space="0" w:color="auto"/>
      </w:divBdr>
    </w:div>
    <w:div w:id="1468011924">
      <w:marLeft w:val="0"/>
      <w:marRight w:val="0"/>
      <w:marTop w:val="0"/>
      <w:marBottom w:val="0"/>
      <w:divBdr>
        <w:top w:val="none" w:sz="0" w:space="0" w:color="auto"/>
        <w:left w:val="none" w:sz="0" w:space="0" w:color="auto"/>
        <w:bottom w:val="none" w:sz="0" w:space="0" w:color="auto"/>
        <w:right w:val="none" w:sz="0" w:space="0" w:color="auto"/>
      </w:divBdr>
    </w:div>
    <w:div w:id="1469280214">
      <w:marLeft w:val="0"/>
      <w:marRight w:val="0"/>
      <w:marTop w:val="0"/>
      <w:marBottom w:val="0"/>
      <w:divBdr>
        <w:top w:val="none" w:sz="0" w:space="0" w:color="auto"/>
        <w:left w:val="none" w:sz="0" w:space="0" w:color="auto"/>
        <w:bottom w:val="none" w:sz="0" w:space="0" w:color="auto"/>
        <w:right w:val="none" w:sz="0" w:space="0" w:color="auto"/>
      </w:divBdr>
    </w:div>
    <w:div w:id="1470050765">
      <w:marLeft w:val="0"/>
      <w:marRight w:val="0"/>
      <w:marTop w:val="0"/>
      <w:marBottom w:val="0"/>
      <w:divBdr>
        <w:top w:val="none" w:sz="0" w:space="0" w:color="auto"/>
        <w:left w:val="none" w:sz="0" w:space="0" w:color="auto"/>
        <w:bottom w:val="none" w:sz="0" w:space="0" w:color="auto"/>
        <w:right w:val="none" w:sz="0" w:space="0" w:color="auto"/>
      </w:divBdr>
    </w:div>
    <w:div w:id="1470781737">
      <w:marLeft w:val="0"/>
      <w:marRight w:val="0"/>
      <w:marTop w:val="40"/>
      <w:marBottom w:val="40"/>
      <w:divBdr>
        <w:top w:val="none" w:sz="0" w:space="0" w:color="auto"/>
        <w:left w:val="none" w:sz="0" w:space="0" w:color="auto"/>
        <w:bottom w:val="none" w:sz="0" w:space="0" w:color="auto"/>
        <w:right w:val="none" w:sz="0" w:space="0" w:color="auto"/>
      </w:divBdr>
    </w:div>
    <w:div w:id="1471629092">
      <w:marLeft w:val="0"/>
      <w:marRight w:val="0"/>
      <w:marTop w:val="0"/>
      <w:marBottom w:val="0"/>
      <w:divBdr>
        <w:top w:val="none" w:sz="0" w:space="0" w:color="auto"/>
        <w:left w:val="none" w:sz="0" w:space="0" w:color="auto"/>
        <w:bottom w:val="none" w:sz="0" w:space="0" w:color="auto"/>
        <w:right w:val="none" w:sz="0" w:space="0" w:color="auto"/>
      </w:divBdr>
    </w:div>
    <w:div w:id="1472594337">
      <w:marLeft w:val="0"/>
      <w:marRight w:val="0"/>
      <w:marTop w:val="0"/>
      <w:marBottom w:val="0"/>
      <w:divBdr>
        <w:top w:val="none" w:sz="0" w:space="0" w:color="auto"/>
        <w:left w:val="none" w:sz="0" w:space="0" w:color="auto"/>
        <w:bottom w:val="none" w:sz="0" w:space="0" w:color="auto"/>
        <w:right w:val="none" w:sz="0" w:space="0" w:color="auto"/>
      </w:divBdr>
    </w:div>
    <w:div w:id="1474133962">
      <w:marLeft w:val="0"/>
      <w:marRight w:val="0"/>
      <w:marTop w:val="0"/>
      <w:marBottom w:val="0"/>
      <w:divBdr>
        <w:top w:val="none" w:sz="0" w:space="0" w:color="auto"/>
        <w:left w:val="none" w:sz="0" w:space="0" w:color="auto"/>
        <w:bottom w:val="none" w:sz="0" w:space="0" w:color="auto"/>
        <w:right w:val="none" w:sz="0" w:space="0" w:color="auto"/>
      </w:divBdr>
    </w:div>
    <w:div w:id="1475223083">
      <w:marLeft w:val="0"/>
      <w:marRight w:val="0"/>
      <w:marTop w:val="0"/>
      <w:marBottom w:val="0"/>
      <w:divBdr>
        <w:top w:val="none" w:sz="0" w:space="0" w:color="auto"/>
        <w:left w:val="none" w:sz="0" w:space="0" w:color="auto"/>
        <w:bottom w:val="none" w:sz="0" w:space="0" w:color="auto"/>
        <w:right w:val="none" w:sz="0" w:space="0" w:color="auto"/>
      </w:divBdr>
    </w:div>
    <w:div w:id="1475567224">
      <w:marLeft w:val="0"/>
      <w:marRight w:val="0"/>
      <w:marTop w:val="0"/>
      <w:marBottom w:val="0"/>
      <w:divBdr>
        <w:top w:val="none" w:sz="0" w:space="0" w:color="auto"/>
        <w:left w:val="none" w:sz="0" w:space="0" w:color="auto"/>
        <w:bottom w:val="none" w:sz="0" w:space="0" w:color="auto"/>
        <w:right w:val="none" w:sz="0" w:space="0" w:color="auto"/>
      </w:divBdr>
    </w:div>
    <w:div w:id="1477718490">
      <w:marLeft w:val="0"/>
      <w:marRight w:val="0"/>
      <w:marTop w:val="0"/>
      <w:marBottom w:val="0"/>
      <w:divBdr>
        <w:top w:val="none" w:sz="0" w:space="0" w:color="auto"/>
        <w:left w:val="none" w:sz="0" w:space="0" w:color="auto"/>
        <w:bottom w:val="none" w:sz="0" w:space="0" w:color="auto"/>
        <w:right w:val="none" w:sz="0" w:space="0" w:color="auto"/>
      </w:divBdr>
    </w:div>
    <w:div w:id="1481076628">
      <w:marLeft w:val="0"/>
      <w:marRight w:val="0"/>
      <w:marTop w:val="0"/>
      <w:marBottom w:val="0"/>
      <w:divBdr>
        <w:top w:val="none" w:sz="0" w:space="0" w:color="auto"/>
        <w:left w:val="none" w:sz="0" w:space="0" w:color="auto"/>
        <w:bottom w:val="none" w:sz="0" w:space="0" w:color="auto"/>
        <w:right w:val="none" w:sz="0" w:space="0" w:color="auto"/>
      </w:divBdr>
    </w:div>
    <w:div w:id="1482503806">
      <w:marLeft w:val="0"/>
      <w:marRight w:val="0"/>
      <w:marTop w:val="0"/>
      <w:marBottom w:val="0"/>
      <w:divBdr>
        <w:top w:val="none" w:sz="0" w:space="0" w:color="auto"/>
        <w:left w:val="none" w:sz="0" w:space="0" w:color="auto"/>
        <w:bottom w:val="none" w:sz="0" w:space="0" w:color="auto"/>
        <w:right w:val="none" w:sz="0" w:space="0" w:color="auto"/>
      </w:divBdr>
    </w:div>
    <w:div w:id="1486050832">
      <w:marLeft w:val="0"/>
      <w:marRight w:val="0"/>
      <w:marTop w:val="0"/>
      <w:marBottom w:val="0"/>
      <w:divBdr>
        <w:top w:val="none" w:sz="0" w:space="0" w:color="auto"/>
        <w:left w:val="none" w:sz="0" w:space="0" w:color="auto"/>
        <w:bottom w:val="none" w:sz="0" w:space="0" w:color="auto"/>
        <w:right w:val="none" w:sz="0" w:space="0" w:color="auto"/>
      </w:divBdr>
      <w:divsChild>
        <w:div w:id="1335180952">
          <w:marLeft w:val="0"/>
          <w:marRight w:val="0"/>
          <w:marTop w:val="0"/>
          <w:marBottom w:val="0"/>
          <w:divBdr>
            <w:top w:val="none" w:sz="0" w:space="0" w:color="auto"/>
            <w:left w:val="none" w:sz="0" w:space="0" w:color="auto"/>
            <w:bottom w:val="none" w:sz="0" w:space="0" w:color="auto"/>
            <w:right w:val="none" w:sz="0" w:space="0" w:color="auto"/>
          </w:divBdr>
        </w:div>
      </w:divsChild>
    </w:div>
    <w:div w:id="1487166628">
      <w:marLeft w:val="0"/>
      <w:marRight w:val="0"/>
      <w:marTop w:val="0"/>
      <w:marBottom w:val="0"/>
      <w:divBdr>
        <w:top w:val="none" w:sz="0" w:space="0" w:color="auto"/>
        <w:left w:val="none" w:sz="0" w:space="0" w:color="auto"/>
        <w:bottom w:val="none" w:sz="0" w:space="0" w:color="auto"/>
        <w:right w:val="none" w:sz="0" w:space="0" w:color="auto"/>
      </w:divBdr>
    </w:div>
    <w:div w:id="1489516722">
      <w:marLeft w:val="0"/>
      <w:marRight w:val="0"/>
      <w:marTop w:val="0"/>
      <w:marBottom w:val="0"/>
      <w:divBdr>
        <w:top w:val="none" w:sz="0" w:space="0" w:color="auto"/>
        <w:left w:val="none" w:sz="0" w:space="0" w:color="auto"/>
        <w:bottom w:val="none" w:sz="0" w:space="0" w:color="auto"/>
        <w:right w:val="none" w:sz="0" w:space="0" w:color="auto"/>
      </w:divBdr>
    </w:div>
    <w:div w:id="1491093061">
      <w:marLeft w:val="0"/>
      <w:marRight w:val="0"/>
      <w:marTop w:val="0"/>
      <w:marBottom w:val="0"/>
      <w:divBdr>
        <w:top w:val="none" w:sz="0" w:space="0" w:color="auto"/>
        <w:left w:val="none" w:sz="0" w:space="0" w:color="auto"/>
        <w:bottom w:val="none" w:sz="0" w:space="0" w:color="auto"/>
        <w:right w:val="none" w:sz="0" w:space="0" w:color="auto"/>
      </w:divBdr>
    </w:div>
    <w:div w:id="1493522499">
      <w:marLeft w:val="0"/>
      <w:marRight w:val="0"/>
      <w:marTop w:val="0"/>
      <w:marBottom w:val="0"/>
      <w:divBdr>
        <w:top w:val="none" w:sz="0" w:space="0" w:color="auto"/>
        <w:left w:val="none" w:sz="0" w:space="0" w:color="auto"/>
        <w:bottom w:val="none" w:sz="0" w:space="0" w:color="auto"/>
        <w:right w:val="none" w:sz="0" w:space="0" w:color="auto"/>
      </w:divBdr>
    </w:div>
    <w:div w:id="1494492644">
      <w:marLeft w:val="0"/>
      <w:marRight w:val="0"/>
      <w:marTop w:val="0"/>
      <w:marBottom w:val="0"/>
      <w:divBdr>
        <w:top w:val="none" w:sz="0" w:space="0" w:color="auto"/>
        <w:left w:val="none" w:sz="0" w:space="0" w:color="auto"/>
        <w:bottom w:val="none" w:sz="0" w:space="0" w:color="auto"/>
        <w:right w:val="none" w:sz="0" w:space="0" w:color="auto"/>
      </w:divBdr>
    </w:div>
    <w:div w:id="1496414654">
      <w:marLeft w:val="0"/>
      <w:marRight w:val="0"/>
      <w:marTop w:val="0"/>
      <w:marBottom w:val="0"/>
      <w:divBdr>
        <w:top w:val="none" w:sz="0" w:space="0" w:color="auto"/>
        <w:left w:val="none" w:sz="0" w:space="0" w:color="auto"/>
        <w:bottom w:val="none" w:sz="0" w:space="0" w:color="auto"/>
        <w:right w:val="none" w:sz="0" w:space="0" w:color="auto"/>
      </w:divBdr>
    </w:div>
    <w:div w:id="1499536900">
      <w:marLeft w:val="0"/>
      <w:marRight w:val="0"/>
      <w:marTop w:val="0"/>
      <w:marBottom w:val="0"/>
      <w:divBdr>
        <w:top w:val="none" w:sz="0" w:space="0" w:color="auto"/>
        <w:left w:val="none" w:sz="0" w:space="0" w:color="auto"/>
        <w:bottom w:val="none" w:sz="0" w:space="0" w:color="auto"/>
        <w:right w:val="none" w:sz="0" w:space="0" w:color="auto"/>
      </w:divBdr>
    </w:div>
    <w:div w:id="1505587412">
      <w:marLeft w:val="0"/>
      <w:marRight w:val="0"/>
      <w:marTop w:val="0"/>
      <w:marBottom w:val="0"/>
      <w:divBdr>
        <w:top w:val="none" w:sz="0" w:space="0" w:color="auto"/>
        <w:left w:val="none" w:sz="0" w:space="0" w:color="auto"/>
        <w:bottom w:val="none" w:sz="0" w:space="0" w:color="auto"/>
        <w:right w:val="none" w:sz="0" w:space="0" w:color="auto"/>
      </w:divBdr>
    </w:div>
    <w:div w:id="1506700265">
      <w:marLeft w:val="0"/>
      <w:marRight w:val="0"/>
      <w:marTop w:val="0"/>
      <w:marBottom w:val="0"/>
      <w:divBdr>
        <w:top w:val="none" w:sz="0" w:space="0" w:color="auto"/>
        <w:left w:val="none" w:sz="0" w:space="0" w:color="auto"/>
        <w:bottom w:val="none" w:sz="0" w:space="0" w:color="auto"/>
        <w:right w:val="none" w:sz="0" w:space="0" w:color="auto"/>
      </w:divBdr>
      <w:divsChild>
        <w:div w:id="1360013514">
          <w:marLeft w:val="0"/>
          <w:marRight w:val="0"/>
          <w:marTop w:val="0"/>
          <w:marBottom w:val="0"/>
          <w:divBdr>
            <w:top w:val="none" w:sz="0" w:space="0" w:color="auto"/>
            <w:left w:val="none" w:sz="0" w:space="0" w:color="auto"/>
            <w:bottom w:val="none" w:sz="0" w:space="0" w:color="auto"/>
            <w:right w:val="none" w:sz="0" w:space="0" w:color="auto"/>
          </w:divBdr>
        </w:div>
      </w:divsChild>
    </w:div>
    <w:div w:id="1508668123">
      <w:marLeft w:val="0"/>
      <w:marRight w:val="0"/>
      <w:marTop w:val="0"/>
      <w:marBottom w:val="0"/>
      <w:divBdr>
        <w:top w:val="none" w:sz="0" w:space="0" w:color="auto"/>
        <w:left w:val="none" w:sz="0" w:space="0" w:color="auto"/>
        <w:bottom w:val="none" w:sz="0" w:space="0" w:color="auto"/>
        <w:right w:val="none" w:sz="0" w:space="0" w:color="auto"/>
      </w:divBdr>
    </w:div>
    <w:div w:id="1508977964">
      <w:marLeft w:val="0"/>
      <w:marRight w:val="0"/>
      <w:marTop w:val="0"/>
      <w:marBottom w:val="0"/>
      <w:divBdr>
        <w:top w:val="none" w:sz="0" w:space="0" w:color="auto"/>
        <w:left w:val="none" w:sz="0" w:space="0" w:color="auto"/>
        <w:bottom w:val="none" w:sz="0" w:space="0" w:color="auto"/>
        <w:right w:val="none" w:sz="0" w:space="0" w:color="auto"/>
      </w:divBdr>
    </w:div>
    <w:div w:id="1509368980">
      <w:marLeft w:val="0"/>
      <w:marRight w:val="0"/>
      <w:marTop w:val="0"/>
      <w:marBottom w:val="0"/>
      <w:divBdr>
        <w:top w:val="none" w:sz="0" w:space="0" w:color="auto"/>
        <w:left w:val="none" w:sz="0" w:space="0" w:color="auto"/>
        <w:bottom w:val="none" w:sz="0" w:space="0" w:color="auto"/>
        <w:right w:val="none" w:sz="0" w:space="0" w:color="auto"/>
      </w:divBdr>
    </w:div>
    <w:div w:id="1509560195">
      <w:marLeft w:val="0"/>
      <w:marRight w:val="0"/>
      <w:marTop w:val="0"/>
      <w:marBottom w:val="0"/>
      <w:divBdr>
        <w:top w:val="none" w:sz="0" w:space="0" w:color="auto"/>
        <w:left w:val="none" w:sz="0" w:space="0" w:color="auto"/>
        <w:bottom w:val="none" w:sz="0" w:space="0" w:color="auto"/>
        <w:right w:val="none" w:sz="0" w:space="0" w:color="auto"/>
      </w:divBdr>
    </w:div>
    <w:div w:id="1510098172">
      <w:marLeft w:val="0"/>
      <w:marRight w:val="0"/>
      <w:marTop w:val="0"/>
      <w:marBottom w:val="0"/>
      <w:divBdr>
        <w:top w:val="none" w:sz="0" w:space="0" w:color="auto"/>
        <w:left w:val="none" w:sz="0" w:space="0" w:color="auto"/>
        <w:bottom w:val="none" w:sz="0" w:space="0" w:color="auto"/>
        <w:right w:val="none" w:sz="0" w:space="0" w:color="auto"/>
      </w:divBdr>
    </w:div>
    <w:div w:id="1510949121">
      <w:marLeft w:val="0"/>
      <w:marRight w:val="0"/>
      <w:marTop w:val="0"/>
      <w:marBottom w:val="0"/>
      <w:divBdr>
        <w:top w:val="none" w:sz="0" w:space="0" w:color="auto"/>
        <w:left w:val="none" w:sz="0" w:space="0" w:color="auto"/>
        <w:bottom w:val="none" w:sz="0" w:space="0" w:color="auto"/>
        <w:right w:val="none" w:sz="0" w:space="0" w:color="auto"/>
      </w:divBdr>
    </w:div>
    <w:div w:id="1511674805">
      <w:marLeft w:val="0"/>
      <w:marRight w:val="0"/>
      <w:marTop w:val="0"/>
      <w:marBottom w:val="0"/>
      <w:divBdr>
        <w:top w:val="none" w:sz="0" w:space="0" w:color="auto"/>
        <w:left w:val="none" w:sz="0" w:space="0" w:color="auto"/>
        <w:bottom w:val="none" w:sz="0" w:space="0" w:color="auto"/>
        <w:right w:val="none" w:sz="0" w:space="0" w:color="auto"/>
      </w:divBdr>
    </w:div>
    <w:div w:id="1513958785">
      <w:marLeft w:val="0"/>
      <w:marRight w:val="0"/>
      <w:marTop w:val="0"/>
      <w:marBottom w:val="0"/>
      <w:divBdr>
        <w:top w:val="none" w:sz="0" w:space="0" w:color="auto"/>
        <w:left w:val="none" w:sz="0" w:space="0" w:color="auto"/>
        <w:bottom w:val="none" w:sz="0" w:space="0" w:color="auto"/>
        <w:right w:val="none" w:sz="0" w:space="0" w:color="auto"/>
      </w:divBdr>
      <w:divsChild>
        <w:div w:id="500974308">
          <w:marLeft w:val="0"/>
          <w:marRight w:val="0"/>
          <w:marTop w:val="0"/>
          <w:marBottom w:val="0"/>
          <w:divBdr>
            <w:top w:val="none" w:sz="0" w:space="0" w:color="auto"/>
            <w:left w:val="none" w:sz="0" w:space="0" w:color="auto"/>
            <w:bottom w:val="none" w:sz="0" w:space="0" w:color="auto"/>
            <w:right w:val="none" w:sz="0" w:space="0" w:color="auto"/>
          </w:divBdr>
        </w:div>
        <w:div w:id="1192301005">
          <w:marLeft w:val="0"/>
          <w:marRight w:val="0"/>
          <w:marTop w:val="0"/>
          <w:marBottom w:val="0"/>
          <w:divBdr>
            <w:top w:val="none" w:sz="0" w:space="0" w:color="auto"/>
            <w:left w:val="none" w:sz="0" w:space="0" w:color="auto"/>
            <w:bottom w:val="none" w:sz="0" w:space="0" w:color="auto"/>
            <w:right w:val="none" w:sz="0" w:space="0" w:color="auto"/>
          </w:divBdr>
        </w:div>
        <w:div w:id="80181107">
          <w:marLeft w:val="0"/>
          <w:marRight w:val="0"/>
          <w:marTop w:val="0"/>
          <w:marBottom w:val="0"/>
          <w:divBdr>
            <w:top w:val="none" w:sz="0" w:space="0" w:color="auto"/>
            <w:left w:val="none" w:sz="0" w:space="0" w:color="auto"/>
            <w:bottom w:val="none" w:sz="0" w:space="0" w:color="auto"/>
            <w:right w:val="none" w:sz="0" w:space="0" w:color="auto"/>
          </w:divBdr>
        </w:div>
      </w:divsChild>
    </w:div>
    <w:div w:id="1516847302">
      <w:marLeft w:val="0"/>
      <w:marRight w:val="0"/>
      <w:marTop w:val="0"/>
      <w:marBottom w:val="0"/>
      <w:divBdr>
        <w:top w:val="none" w:sz="0" w:space="0" w:color="auto"/>
        <w:left w:val="none" w:sz="0" w:space="0" w:color="auto"/>
        <w:bottom w:val="none" w:sz="0" w:space="0" w:color="auto"/>
        <w:right w:val="none" w:sz="0" w:space="0" w:color="auto"/>
      </w:divBdr>
    </w:div>
    <w:div w:id="1519663982">
      <w:marLeft w:val="0"/>
      <w:marRight w:val="0"/>
      <w:marTop w:val="0"/>
      <w:marBottom w:val="0"/>
      <w:divBdr>
        <w:top w:val="none" w:sz="0" w:space="0" w:color="auto"/>
        <w:left w:val="none" w:sz="0" w:space="0" w:color="auto"/>
        <w:bottom w:val="none" w:sz="0" w:space="0" w:color="auto"/>
        <w:right w:val="none" w:sz="0" w:space="0" w:color="auto"/>
      </w:divBdr>
    </w:div>
    <w:div w:id="1521813636">
      <w:marLeft w:val="0"/>
      <w:marRight w:val="0"/>
      <w:marTop w:val="0"/>
      <w:marBottom w:val="0"/>
      <w:divBdr>
        <w:top w:val="none" w:sz="0" w:space="0" w:color="auto"/>
        <w:left w:val="none" w:sz="0" w:space="0" w:color="auto"/>
        <w:bottom w:val="none" w:sz="0" w:space="0" w:color="auto"/>
        <w:right w:val="none" w:sz="0" w:space="0" w:color="auto"/>
      </w:divBdr>
      <w:divsChild>
        <w:div w:id="1973435395">
          <w:marLeft w:val="0"/>
          <w:marRight w:val="0"/>
          <w:marTop w:val="0"/>
          <w:marBottom w:val="0"/>
          <w:divBdr>
            <w:top w:val="none" w:sz="0" w:space="0" w:color="auto"/>
            <w:left w:val="none" w:sz="0" w:space="0" w:color="auto"/>
            <w:bottom w:val="none" w:sz="0" w:space="0" w:color="auto"/>
            <w:right w:val="none" w:sz="0" w:space="0" w:color="auto"/>
          </w:divBdr>
        </w:div>
      </w:divsChild>
    </w:div>
    <w:div w:id="1522472157">
      <w:marLeft w:val="0"/>
      <w:marRight w:val="0"/>
      <w:marTop w:val="0"/>
      <w:marBottom w:val="0"/>
      <w:divBdr>
        <w:top w:val="none" w:sz="0" w:space="0" w:color="auto"/>
        <w:left w:val="none" w:sz="0" w:space="0" w:color="auto"/>
        <w:bottom w:val="none" w:sz="0" w:space="0" w:color="auto"/>
        <w:right w:val="none" w:sz="0" w:space="0" w:color="auto"/>
      </w:divBdr>
    </w:div>
    <w:div w:id="1522549773">
      <w:marLeft w:val="0"/>
      <w:marRight w:val="0"/>
      <w:marTop w:val="0"/>
      <w:marBottom w:val="0"/>
      <w:divBdr>
        <w:top w:val="none" w:sz="0" w:space="0" w:color="auto"/>
        <w:left w:val="none" w:sz="0" w:space="0" w:color="auto"/>
        <w:bottom w:val="none" w:sz="0" w:space="0" w:color="auto"/>
        <w:right w:val="none" w:sz="0" w:space="0" w:color="auto"/>
      </w:divBdr>
    </w:div>
    <w:div w:id="1524512663">
      <w:marLeft w:val="0"/>
      <w:marRight w:val="0"/>
      <w:marTop w:val="0"/>
      <w:marBottom w:val="0"/>
      <w:divBdr>
        <w:top w:val="none" w:sz="0" w:space="0" w:color="auto"/>
        <w:left w:val="none" w:sz="0" w:space="0" w:color="auto"/>
        <w:bottom w:val="none" w:sz="0" w:space="0" w:color="auto"/>
        <w:right w:val="none" w:sz="0" w:space="0" w:color="auto"/>
      </w:divBdr>
    </w:div>
    <w:div w:id="1524780767">
      <w:marLeft w:val="0"/>
      <w:marRight w:val="0"/>
      <w:marTop w:val="0"/>
      <w:marBottom w:val="0"/>
      <w:divBdr>
        <w:top w:val="none" w:sz="0" w:space="0" w:color="auto"/>
        <w:left w:val="none" w:sz="0" w:space="0" w:color="auto"/>
        <w:bottom w:val="none" w:sz="0" w:space="0" w:color="auto"/>
        <w:right w:val="none" w:sz="0" w:space="0" w:color="auto"/>
      </w:divBdr>
    </w:div>
    <w:div w:id="1526215723">
      <w:marLeft w:val="0"/>
      <w:marRight w:val="0"/>
      <w:marTop w:val="0"/>
      <w:marBottom w:val="0"/>
      <w:divBdr>
        <w:top w:val="none" w:sz="0" w:space="0" w:color="auto"/>
        <w:left w:val="none" w:sz="0" w:space="0" w:color="auto"/>
        <w:bottom w:val="none" w:sz="0" w:space="0" w:color="auto"/>
        <w:right w:val="none" w:sz="0" w:space="0" w:color="auto"/>
      </w:divBdr>
    </w:div>
    <w:div w:id="1526751226">
      <w:marLeft w:val="0"/>
      <w:marRight w:val="0"/>
      <w:marTop w:val="0"/>
      <w:marBottom w:val="0"/>
      <w:divBdr>
        <w:top w:val="none" w:sz="0" w:space="0" w:color="auto"/>
        <w:left w:val="none" w:sz="0" w:space="0" w:color="auto"/>
        <w:bottom w:val="none" w:sz="0" w:space="0" w:color="auto"/>
        <w:right w:val="none" w:sz="0" w:space="0" w:color="auto"/>
      </w:divBdr>
    </w:div>
    <w:div w:id="1527523310">
      <w:marLeft w:val="0"/>
      <w:marRight w:val="0"/>
      <w:marTop w:val="0"/>
      <w:marBottom w:val="0"/>
      <w:divBdr>
        <w:top w:val="none" w:sz="0" w:space="0" w:color="auto"/>
        <w:left w:val="none" w:sz="0" w:space="0" w:color="auto"/>
        <w:bottom w:val="none" w:sz="0" w:space="0" w:color="auto"/>
        <w:right w:val="none" w:sz="0" w:space="0" w:color="auto"/>
      </w:divBdr>
    </w:div>
    <w:div w:id="1529682025">
      <w:marLeft w:val="0"/>
      <w:marRight w:val="0"/>
      <w:marTop w:val="0"/>
      <w:marBottom w:val="0"/>
      <w:divBdr>
        <w:top w:val="none" w:sz="0" w:space="0" w:color="auto"/>
        <w:left w:val="none" w:sz="0" w:space="0" w:color="auto"/>
        <w:bottom w:val="none" w:sz="0" w:space="0" w:color="auto"/>
        <w:right w:val="none" w:sz="0" w:space="0" w:color="auto"/>
      </w:divBdr>
    </w:div>
    <w:div w:id="1532303965">
      <w:marLeft w:val="0"/>
      <w:marRight w:val="0"/>
      <w:marTop w:val="0"/>
      <w:marBottom w:val="0"/>
      <w:divBdr>
        <w:top w:val="none" w:sz="0" w:space="0" w:color="auto"/>
        <w:left w:val="none" w:sz="0" w:space="0" w:color="auto"/>
        <w:bottom w:val="none" w:sz="0" w:space="0" w:color="auto"/>
        <w:right w:val="none" w:sz="0" w:space="0" w:color="auto"/>
      </w:divBdr>
    </w:div>
    <w:div w:id="1534924982">
      <w:marLeft w:val="0"/>
      <w:marRight w:val="0"/>
      <w:marTop w:val="0"/>
      <w:marBottom w:val="0"/>
      <w:divBdr>
        <w:top w:val="none" w:sz="0" w:space="0" w:color="auto"/>
        <w:left w:val="none" w:sz="0" w:space="0" w:color="auto"/>
        <w:bottom w:val="none" w:sz="0" w:space="0" w:color="auto"/>
        <w:right w:val="none" w:sz="0" w:space="0" w:color="auto"/>
      </w:divBdr>
    </w:div>
    <w:div w:id="1538395443">
      <w:marLeft w:val="0"/>
      <w:marRight w:val="0"/>
      <w:marTop w:val="0"/>
      <w:marBottom w:val="0"/>
      <w:divBdr>
        <w:top w:val="none" w:sz="0" w:space="0" w:color="auto"/>
        <w:left w:val="none" w:sz="0" w:space="0" w:color="auto"/>
        <w:bottom w:val="none" w:sz="0" w:space="0" w:color="auto"/>
        <w:right w:val="none" w:sz="0" w:space="0" w:color="auto"/>
      </w:divBdr>
    </w:div>
    <w:div w:id="1538469923">
      <w:marLeft w:val="0"/>
      <w:marRight w:val="0"/>
      <w:marTop w:val="0"/>
      <w:marBottom w:val="0"/>
      <w:divBdr>
        <w:top w:val="none" w:sz="0" w:space="0" w:color="auto"/>
        <w:left w:val="none" w:sz="0" w:space="0" w:color="auto"/>
        <w:bottom w:val="none" w:sz="0" w:space="0" w:color="auto"/>
        <w:right w:val="none" w:sz="0" w:space="0" w:color="auto"/>
      </w:divBdr>
    </w:div>
    <w:div w:id="1539128466">
      <w:marLeft w:val="0"/>
      <w:marRight w:val="0"/>
      <w:marTop w:val="0"/>
      <w:marBottom w:val="0"/>
      <w:divBdr>
        <w:top w:val="none" w:sz="0" w:space="0" w:color="auto"/>
        <w:left w:val="none" w:sz="0" w:space="0" w:color="auto"/>
        <w:bottom w:val="none" w:sz="0" w:space="0" w:color="auto"/>
        <w:right w:val="none" w:sz="0" w:space="0" w:color="auto"/>
      </w:divBdr>
    </w:div>
    <w:div w:id="1539932033">
      <w:marLeft w:val="0"/>
      <w:marRight w:val="0"/>
      <w:marTop w:val="0"/>
      <w:marBottom w:val="0"/>
      <w:divBdr>
        <w:top w:val="none" w:sz="0" w:space="0" w:color="auto"/>
        <w:left w:val="none" w:sz="0" w:space="0" w:color="auto"/>
        <w:bottom w:val="none" w:sz="0" w:space="0" w:color="auto"/>
        <w:right w:val="none" w:sz="0" w:space="0" w:color="auto"/>
      </w:divBdr>
    </w:div>
    <w:div w:id="1545756628">
      <w:marLeft w:val="0"/>
      <w:marRight w:val="0"/>
      <w:marTop w:val="0"/>
      <w:marBottom w:val="0"/>
      <w:divBdr>
        <w:top w:val="none" w:sz="0" w:space="0" w:color="auto"/>
        <w:left w:val="none" w:sz="0" w:space="0" w:color="auto"/>
        <w:bottom w:val="none" w:sz="0" w:space="0" w:color="auto"/>
        <w:right w:val="none" w:sz="0" w:space="0" w:color="auto"/>
      </w:divBdr>
    </w:div>
    <w:div w:id="1550724671">
      <w:marLeft w:val="0"/>
      <w:marRight w:val="0"/>
      <w:marTop w:val="0"/>
      <w:marBottom w:val="0"/>
      <w:divBdr>
        <w:top w:val="none" w:sz="0" w:space="0" w:color="auto"/>
        <w:left w:val="none" w:sz="0" w:space="0" w:color="auto"/>
        <w:bottom w:val="none" w:sz="0" w:space="0" w:color="auto"/>
        <w:right w:val="none" w:sz="0" w:space="0" w:color="auto"/>
      </w:divBdr>
    </w:div>
    <w:div w:id="1552039509">
      <w:marLeft w:val="0"/>
      <w:marRight w:val="0"/>
      <w:marTop w:val="0"/>
      <w:marBottom w:val="0"/>
      <w:divBdr>
        <w:top w:val="none" w:sz="0" w:space="0" w:color="auto"/>
        <w:left w:val="none" w:sz="0" w:space="0" w:color="auto"/>
        <w:bottom w:val="none" w:sz="0" w:space="0" w:color="auto"/>
        <w:right w:val="none" w:sz="0" w:space="0" w:color="auto"/>
      </w:divBdr>
    </w:div>
    <w:div w:id="1554385231">
      <w:marLeft w:val="0"/>
      <w:marRight w:val="0"/>
      <w:marTop w:val="0"/>
      <w:marBottom w:val="0"/>
      <w:divBdr>
        <w:top w:val="none" w:sz="0" w:space="0" w:color="auto"/>
        <w:left w:val="none" w:sz="0" w:space="0" w:color="auto"/>
        <w:bottom w:val="none" w:sz="0" w:space="0" w:color="auto"/>
        <w:right w:val="none" w:sz="0" w:space="0" w:color="auto"/>
      </w:divBdr>
    </w:div>
    <w:div w:id="1558543998">
      <w:marLeft w:val="0"/>
      <w:marRight w:val="0"/>
      <w:marTop w:val="0"/>
      <w:marBottom w:val="0"/>
      <w:divBdr>
        <w:top w:val="none" w:sz="0" w:space="0" w:color="auto"/>
        <w:left w:val="none" w:sz="0" w:space="0" w:color="auto"/>
        <w:bottom w:val="none" w:sz="0" w:space="0" w:color="auto"/>
        <w:right w:val="none" w:sz="0" w:space="0" w:color="auto"/>
      </w:divBdr>
      <w:divsChild>
        <w:div w:id="319044047">
          <w:marLeft w:val="0"/>
          <w:marRight w:val="0"/>
          <w:marTop w:val="0"/>
          <w:marBottom w:val="0"/>
          <w:divBdr>
            <w:top w:val="none" w:sz="0" w:space="0" w:color="auto"/>
            <w:left w:val="none" w:sz="0" w:space="0" w:color="auto"/>
            <w:bottom w:val="none" w:sz="0" w:space="0" w:color="auto"/>
            <w:right w:val="none" w:sz="0" w:space="0" w:color="auto"/>
          </w:divBdr>
        </w:div>
      </w:divsChild>
    </w:div>
    <w:div w:id="1564561339">
      <w:marLeft w:val="0"/>
      <w:marRight w:val="0"/>
      <w:marTop w:val="0"/>
      <w:marBottom w:val="0"/>
      <w:divBdr>
        <w:top w:val="none" w:sz="0" w:space="0" w:color="auto"/>
        <w:left w:val="none" w:sz="0" w:space="0" w:color="auto"/>
        <w:bottom w:val="none" w:sz="0" w:space="0" w:color="auto"/>
        <w:right w:val="none" w:sz="0" w:space="0" w:color="auto"/>
      </w:divBdr>
    </w:div>
    <w:div w:id="1568491384">
      <w:marLeft w:val="0"/>
      <w:marRight w:val="0"/>
      <w:marTop w:val="0"/>
      <w:marBottom w:val="0"/>
      <w:divBdr>
        <w:top w:val="none" w:sz="0" w:space="0" w:color="auto"/>
        <w:left w:val="none" w:sz="0" w:space="0" w:color="auto"/>
        <w:bottom w:val="none" w:sz="0" w:space="0" w:color="auto"/>
        <w:right w:val="none" w:sz="0" w:space="0" w:color="auto"/>
      </w:divBdr>
    </w:div>
    <w:div w:id="1568492610">
      <w:marLeft w:val="0"/>
      <w:marRight w:val="0"/>
      <w:marTop w:val="0"/>
      <w:marBottom w:val="0"/>
      <w:divBdr>
        <w:top w:val="none" w:sz="0" w:space="0" w:color="auto"/>
        <w:left w:val="none" w:sz="0" w:space="0" w:color="auto"/>
        <w:bottom w:val="none" w:sz="0" w:space="0" w:color="auto"/>
        <w:right w:val="none" w:sz="0" w:space="0" w:color="auto"/>
      </w:divBdr>
    </w:div>
    <w:div w:id="1570194032">
      <w:marLeft w:val="0"/>
      <w:marRight w:val="0"/>
      <w:marTop w:val="0"/>
      <w:marBottom w:val="0"/>
      <w:divBdr>
        <w:top w:val="none" w:sz="0" w:space="0" w:color="auto"/>
        <w:left w:val="none" w:sz="0" w:space="0" w:color="auto"/>
        <w:bottom w:val="none" w:sz="0" w:space="0" w:color="auto"/>
        <w:right w:val="none" w:sz="0" w:space="0" w:color="auto"/>
      </w:divBdr>
    </w:div>
    <w:div w:id="1571230163">
      <w:marLeft w:val="0"/>
      <w:marRight w:val="0"/>
      <w:marTop w:val="0"/>
      <w:marBottom w:val="0"/>
      <w:divBdr>
        <w:top w:val="none" w:sz="0" w:space="0" w:color="auto"/>
        <w:left w:val="none" w:sz="0" w:space="0" w:color="auto"/>
        <w:bottom w:val="none" w:sz="0" w:space="0" w:color="auto"/>
        <w:right w:val="none" w:sz="0" w:space="0" w:color="auto"/>
      </w:divBdr>
    </w:div>
    <w:div w:id="1572620605">
      <w:marLeft w:val="0"/>
      <w:marRight w:val="0"/>
      <w:marTop w:val="0"/>
      <w:marBottom w:val="0"/>
      <w:divBdr>
        <w:top w:val="none" w:sz="0" w:space="0" w:color="auto"/>
        <w:left w:val="none" w:sz="0" w:space="0" w:color="auto"/>
        <w:bottom w:val="none" w:sz="0" w:space="0" w:color="auto"/>
        <w:right w:val="none" w:sz="0" w:space="0" w:color="auto"/>
      </w:divBdr>
    </w:div>
    <w:div w:id="1572693896">
      <w:marLeft w:val="0"/>
      <w:marRight w:val="0"/>
      <w:marTop w:val="0"/>
      <w:marBottom w:val="0"/>
      <w:divBdr>
        <w:top w:val="none" w:sz="0" w:space="0" w:color="auto"/>
        <w:left w:val="none" w:sz="0" w:space="0" w:color="auto"/>
        <w:bottom w:val="none" w:sz="0" w:space="0" w:color="auto"/>
        <w:right w:val="none" w:sz="0" w:space="0" w:color="auto"/>
      </w:divBdr>
    </w:div>
    <w:div w:id="1573544154">
      <w:marLeft w:val="0"/>
      <w:marRight w:val="0"/>
      <w:marTop w:val="0"/>
      <w:marBottom w:val="0"/>
      <w:divBdr>
        <w:top w:val="none" w:sz="0" w:space="0" w:color="auto"/>
        <w:left w:val="none" w:sz="0" w:space="0" w:color="auto"/>
        <w:bottom w:val="none" w:sz="0" w:space="0" w:color="auto"/>
        <w:right w:val="none" w:sz="0" w:space="0" w:color="auto"/>
      </w:divBdr>
    </w:div>
    <w:div w:id="1580938743">
      <w:marLeft w:val="0"/>
      <w:marRight w:val="0"/>
      <w:marTop w:val="0"/>
      <w:marBottom w:val="0"/>
      <w:divBdr>
        <w:top w:val="none" w:sz="0" w:space="0" w:color="auto"/>
        <w:left w:val="none" w:sz="0" w:space="0" w:color="auto"/>
        <w:bottom w:val="none" w:sz="0" w:space="0" w:color="auto"/>
        <w:right w:val="none" w:sz="0" w:space="0" w:color="auto"/>
      </w:divBdr>
    </w:div>
    <w:div w:id="1583946287">
      <w:marLeft w:val="0"/>
      <w:marRight w:val="0"/>
      <w:marTop w:val="0"/>
      <w:marBottom w:val="0"/>
      <w:divBdr>
        <w:top w:val="none" w:sz="0" w:space="0" w:color="auto"/>
        <w:left w:val="none" w:sz="0" w:space="0" w:color="auto"/>
        <w:bottom w:val="none" w:sz="0" w:space="0" w:color="auto"/>
        <w:right w:val="none" w:sz="0" w:space="0" w:color="auto"/>
      </w:divBdr>
    </w:div>
    <w:div w:id="1584608970">
      <w:marLeft w:val="0"/>
      <w:marRight w:val="0"/>
      <w:marTop w:val="0"/>
      <w:marBottom w:val="0"/>
      <w:divBdr>
        <w:top w:val="none" w:sz="0" w:space="0" w:color="auto"/>
        <w:left w:val="none" w:sz="0" w:space="0" w:color="auto"/>
        <w:bottom w:val="none" w:sz="0" w:space="0" w:color="auto"/>
        <w:right w:val="none" w:sz="0" w:space="0" w:color="auto"/>
      </w:divBdr>
    </w:div>
    <w:div w:id="1585142502">
      <w:marLeft w:val="0"/>
      <w:marRight w:val="0"/>
      <w:marTop w:val="0"/>
      <w:marBottom w:val="0"/>
      <w:divBdr>
        <w:top w:val="none" w:sz="0" w:space="0" w:color="auto"/>
        <w:left w:val="none" w:sz="0" w:space="0" w:color="auto"/>
        <w:bottom w:val="none" w:sz="0" w:space="0" w:color="auto"/>
        <w:right w:val="none" w:sz="0" w:space="0" w:color="auto"/>
      </w:divBdr>
    </w:div>
    <w:div w:id="1586455831">
      <w:marLeft w:val="0"/>
      <w:marRight w:val="0"/>
      <w:marTop w:val="0"/>
      <w:marBottom w:val="0"/>
      <w:divBdr>
        <w:top w:val="none" w:sz="0" w:space="0" w:color="auto"/>
        <w:left w:val="none" w:sz="0" w:space="0" w:color="auto"/>
        <w:bottom w:val="none" w:sz="0" w:space="0" w:color="auto"/>
        <w:right w:val="none" w:sz="0" w:space="0" w:color="auto"/>
      </w:divBdr>
    </w:div>
    <w:div w:id="1590852576">
      <w:marLeft w:val="0"/>
      <w:marRight w:val="0"/>
      <w:marTop w:val="0"/>
      <w:marBottom w:val="0"/>
      <w:divBdr>
        <w:top w:val="none" w:sz="0" w:space="0" w:color="auto"/>
        <w:left w:val="none" w:sz="0" w:space="0" w:color="auto"/>
        <w:bottom w:val="none" w:sz="0" w:space="0" w:color="auto"/>
        <w:right w:val="none" w:sz="0" w:space="0" w:color="auto"/>
      </w:divBdr>
      <w:divsChild>
        <w:div w:id="244269623">
          <w:marLeft w:val="0"/>
          <w:marRight w:val="0"/>
          <w:marTop w:val="0"/>
          <w:marBottom w:val="0"/>
          <w:divBdr>
            <w:top w:val="none" w:sz="0" w:space="0" w:color="auto"/>
            <w:left w:val="none" w:sz="0" w:space="0" w:color="auto"/>
            <w:bottom w:val="none" w:sz="0" w:space="0" w:color="auto"/>
            <w:right w:val="none" w:sz="0" w:space="0" w:color="auto"/>
          </w:divBdr>
        </w:div>
      </w:divsChild>
    </w:div>
    <w:div w:id="1592397483">
      <w:marLeft w:val="0"/>
      <w:marRight w:val="0"/>
      <w:marTop w:val="0"/>
      <w:marBottom w:val="0"/>
      <w:divBdr>
        <w:top w:val="none" w:sz="0" w:space="0" w:color="auto"/>
        <w:left w:val="none" w:sz="0" w:space="0" w:color="auto"/>
        <w:bottom w:val="none" w:sz="0" w:space="0" w:color="auto"/>
        <w:right w:val="none" w:sz="0" w:space="0" w:color="auto"/>
      </w:divBdr>
    </w:div>
    <w:div w:id="1598173322">
      <w:marLeft w:val="0"/>
      <w:marRight w:val="0"/>
      <w:marTop w:val="0"/>
      <w:marBottom w:val="0"/>
      <w:divBdr>
        <w:top w:val="none" w:sz="0" w:space="0" w:color="auto"/>
        <w:left w:val="none" w:sz="0" w:space="0" w:color="auto"/>
        <w:bottom w:val="none" w:sz="0" w:space="0" w:color="auto"/>
        <w:right w:val="none" w:sz="0" w:space="0" w:color="auto"/>
      </w:divBdr>
    </w:div>
    <w:div w:id="1599675489">
      <w:marLeft w:val="0"/>
      <w:marRight w:val="0"/>
      <w:marTop w:val="100"/>
      <w:marBottom w:val="80"/>
      <w:divBdr>
        <w:top w:val="none" w:sz="0" w:space="0" w:color="auto"/>
        <w:left w:val="none" w:sz="0" w:space="0" w:color="auto"/>
        <w:bottom w:val="none" w:sz="0" w:space="0" w:color="auto"/>
        <w:right w:val="none" w:sz="0" w:space="0" w:color="auto"/>
      </w:divBdr>
    </w:div>
    <w:div w:id="1599945033">
      <w:marLeft w:val="0"/>
      <w:marRight w:val="0"/>
      <w:marTop w:val="0"/>
      <w:marBottom w:val="0"/>
      <w:divBdr>
        <w:top w:val="none" w:sz="0" w:space="0" w:color="auto"/>
        <w:left w:val="none" w:sz="0" w:space="0" w:color="auto"/>
        <w:bottom w:val="none" w:sz="0" w:space="0" w:color="auto"/>
        <w:right w:val="none" w:sz="0" w:space="0" w:color="auto"/>
      </w:divBdr>
    </w:div>
    <w:div w:id="1600524013">
      <w:marLeft w:val="0"/>
      <w:marRight w:val="0"/>
      <w:marTop w:val="0"/>
      <w:marBottom w:val="0"/>
      <w:divBdr>
        <w:top w:val="none" w:sz="0" w:space="0" w:color="auto"/>
        <w:left w:val="none" w:sz="0" w:space="0" w:color="auto"/>
        <w:bottom w:val="none" w:sz="0" w:space="0" w:color="auto"/>
        <w:right w:val="none" w:sz="0" w:space="0" w:color="auto"/>
      </w:divBdr>
    </w:div>
    <w:div w:id="1604455031">
      <w:marLeft w:val="0"/>
      <w:marRight w:val="0"/>
      <w:marTop w:val="0"/>
      <w:marBottom w:val="0"/>
      <w:divBdr>
        <w:top w:val="none" w:sz="0" w:space="0" w:color="auto"/>
        <w:left w:val="none" w:sz="0" w:space="0" w:color="auto"/>
        <w:bottom w:val="none" w:sz="0" w:space="0" w:color="auto"/>
        <w:right w:val="none" w:sz="0" w:space="0" w:color="auto"/>
      </w:divBdr>
    </w:div>
    <w:div w:id="1610353666">
      <w:marLeft w:val="0"/>
      <w:marRight w:val="0"/>
      <w:marTop w:val="0"/>
      <w:marBottom w:val="0"/>
      <w:divBdr>
        <w:top w:val="none" w:sz="0" w:space="0" w:color="auto"/>
        <w:left w:val="none" w:sz="0" w:space="0" w:color="auto"/>
        <w:bottom w:val="none" w:sz="0" w:space="0" w:color="auto"/>
        <w:right w:val="none" w:sz="0" w:space="0" w:color="auto"/>
      </w:divBdr>
    </w:div>
    <w:div w:id="1610624436">
      <w:marLeft w:val="0"/>
      <w:marRight w:val="0"/>
      <w:marTop w:val="0"/>
      <w:marBottom w:val="0"/>
      <w:divBdr>
        <w:top w:val="none" w:sz="0" w:space="0" w:color="auto"/>
        <w:left w:val="none" w:sz="0" w:space="0" w:color="auto"/>
        <w:bottom w:val="none" w:sz="0" w:space="0" w:color="auto"/>
        <w:right w:val="none" w:sz="0" w:space="0" w:color="auto"/>
      </w:divBdr>
    </w:div>
    <w:div w:id="1621112952">
      <w:marLeft w:val="0"/>
      <w:marRight w:val="0"/>
      <w:marTop w:val="0"/>
      <w:marBottom w:val="0"/>
      <w:divBdr>
        <w:top w:val="none" w:sz="0" w:space="0" w:color="auto"/>
        <w:left w:val="none" w:sz="0" w:space="0" w:color="auto"/>
        <w:bottom w:val="none" w:sz="0" w:space="0" w:color="auto"/>
        <w:right w:val="none" w:sz="0" w:space="0" w:color="auto"/>
      </w:divBdr>
    </w:div>
    <w:div w:id="1623538675">
      <w:marLeft w:val="0"/>
      <w:marRight w:val="0"/>
      <w:marTop w:val="0"/>
      <w:marBottom w:val="0"/>
      <w:divBdr>
        <w:top w:val="none" w:sz="0" w:space="0" w:color="auto"/>
        <w:left w:val="none" w:sz="0" w:space="0" w:color="auto"/>
        <w:bottom w:val="none" w:sz="0" w:space="0" w:color="auto"/>
        <w:right w:val="none" w:sz="0" w:space="0" w:color="auto"/>
      </w:divBdr>
    </w:div>
    <w:div w:id="1623733558">
      <w:marLeft w:val="0"/>
      <w:marRight w:val="0"/>
      <w:marTop w:val="0"/>
      <w:marBottom w:val="0"/>
      <w:divBdr>
        <w:top w:val="none" w:sz="0" w:space="0" w:color="auto"/>
        <w:left w:val="none" w:sz="0" w:space="0" w:color="auto"/>
        <w:bottom w:val="none" w:sz="0" w:space="0" w:color="auto"/>
        <w:right w:val="none" w:sz="0" w:space="0" w:color="auto"/>
      </w:divBdr>
    </w:div>
    <w:div w:id="1623876642">
      <w:marLeft w:val="0"/>
      <w:marRight w:val="0"/>
      <w:marTop w:val="0"/>
      <w:marBottom w:val="0"/>
      <w:divBdr>
        <w:top w:val="none" w:sz="0" w:space="0" w:color="auto"/>
        <w:left w:val="none" w:sz="0" w:space="0" w:color="auto"/>
        <w:bottom w:val="none" w:sz="0" w:space="0" w:color="auto"/>
        <w:right w:val="none" w:sz="0" w:space="0" w:color="auto"/>
      </w:divBdr>
      <w:divsChild>
        <w:div w:id="1565527931">
          <w:marLeft w:val="0"/>
          <w:marRight w:val="0"/>
          <w:marTop w:val="0"/>
          <w:marBottom w:val="0"/>
          <w:divBdr>
            <w:top w:val="none" w:sz="0" w:space="0" w:color="auto"/>
            <w:left w:val="none" w:sz="0" w:space="0" w:color="auto"/>
            <w:bottom w:val="none" w:sz="0" w:space="0" w:color="auto"/>
            <w:right w:val="none" w:sz="0" w:space="0" w:color="auto"/>
          </w:divBdr>
        </w:div>
      </w:divsChild>
    </w:div>
    <w:div w:id="1624341214">
      <w:marLeft w:val="0"/>
      <w:marRight w:val="0"/>
      <w:marTop w:val="0"/>
      <w:marBottom w:val="0"/>
      <w:divBdr>
        <w:top w:val="none" w:sz="0" w:space="0" w:color="auto"/>
        <w:left w:val="none" w:sz="0" w:space="0" w:color="auto"/>
        <w:bottom w:val="none" w:sz="0" w:space="0" w:color="auto"/>
        <w:right w:val="none" w:sz="0" w:space="0" w:color="auto"/>
      </w:divBdr>
    </w:div>
    <w:div w:id="1626040602">
      <w:marLeft w:val="0"/>
      <w:marRight w:val="0"/>
      <w:marTop w:val="0"/>
      <w:marBottom w:val="0"/>
      <w:divBdr>
        <w:top w:val="none" w:sz="0" w:space="0" w:color="auto"/>
        <w:left w:val="none" w:sz="0" w:space="0" w:color="auto"/>
        <w:bottom w:val="none" w:sz="0" w:space="0" w:color="auto"/>
        <w:right w:val="none" w:sz="0" w:space="0" w:color="auto"/>
      </w:divBdr>
    </w:div>
    <w:div w:id="1626353713">
      <w:marLeft w:val="0"/>
      <w:marRight w:val="0"/>
      <w:marTop w:val="0"/>
      <w:marBottom w:val="0"/>
      <w:divBdr>
        <w:top w:val="none" w:sz="0" w:space="0" w:color="auto"/>
        <w:left w:val="none" w:sz="0" w:space="0" w:color="auto"/>
        <w:bottom w:val="none" w:sz="0" w:space="0" w:color="auto"/>
        <w:right w:val="none" w:sz="0" w:space="0" w:color="auto"/>
      </w:divBdr>
    </w:div>
    <w:div w:id="1628127244">
      <w:marLeft w:val="0"/>
      <w:marRight w:val="0"/>
      <w:marTop w:val="0"/>
      <w:marBottom w:val="0"/>
      <w:divBdr>
        <w:top w:val="none" w:sz="0" w:space="0" w:color="auto"/>
        <w:left w:val="none" w:sz="0" w:space="0" w:color="auto"/>
        <w:bottom w:val="none" w:sz="0" w:space="0" w:color="auto"/>
        <w:right w:val="none" w:sz="0" w:space="0" w:color="auto"/>
      </w:divBdr>
    </w:div>
    <w:div w:id="1629119269">
      <w:marLeft w:val="0"/>
      <w:marRight w:val="0"/>
      <w:marTop w:val="0"/>
      <w:marBottom w:val="0"/>
      <w:divBdr>
        <w:top w:val="none" w:sz="0" w:space="0" w:color="auto"/>
        <w:left w:val="none" w:sz="0" w:space="0" w:color="auto"/>
        <w:bottom w:val="none" w:sz="0" w:space="0" w:color="auto"/>
        <w:right w:val="none" w:sz="0" w:space="0" w:color="auto"/>
      </w:divBdr>
    </w:div>
    <w:div w:id="1631744177">
      <w:marLeft w:val="0"/>
      <w:marRight w:val="0"/>
      <w:marTop w:val="0"/>
      <w:marBottom w:val="0"/>
      <w:divBdr>
        <w:top w:val="none" w:sz="0" w:space="0" w:color="auto"/>
        <w:left w:val="none" w:sz="0" w:space="0" w:color="auto"/>
        <w:bottom w:val="none" w:sz="0" w:space="0" w:color="auto"/>
        <w:right w:val="none" w:sz="0" w:space="0" w:color="auto"/>
      </w:divBdr>
    </w:div>
    <w:div w:id="1631977520">
      <w:marLeft w:val="0"/>
      <w:marRight w:val="0"/>
      <w:marTop w:val="0"/>
      <w:marBottom w:val="0"/>
      <w:divBdr>
        <w:top w:val="none" w:sz="0" w:space="0" w:color="auto"/>
        <w:left w:val="none" w:sz="0" w:space="0" w:color="auto"/>
        <w:bottom w:val="none" w:sz="0" w:space="0" w:color="auto"/>
        <w:right w:val="none" w:sz="0" w:space="0" w:color="auto"/>
      </w:divBdr>
    </w:div>
    <w:div w:id="1635060756">
      <w:marLeft w:val="0"/>
      <w:marRight w:val="0"/>
      <w:marTop w:val="0"/>
      <w:marBottom w:val="0"/>
      <w:divBdr>
        <w:top w:val="none" w:sz="0" w:space="0" w:color="auto"/>
        <w:left w:val="none" w:sz="0" w:space="0" w:color="auto"/>
        <w:bottom w:val="none" w:sz="0" w:space="0" w:color="auto"/>
        <w:right w:val="none" w:sz="0" w:space="0" w:color="auto"/>
      </w:divBdr>
    </w:div>
    <w:div w:id="1635065522">
      <w:marLeft w:val="0"/>
      <w:marRight w:val="0"/>
      <w:marTop w:val="0"/>
      <w:marBottom w:val="0"/>
      <w:divBdr>
        <w:top w:val="none" w:sz="0" w:space="0" w:color="auto"/>
        <w:left w:val="none" w:sz="0" w:space="0" w:color="auto"/>
        <w:bottom w:val="none" w:sz="0" w:space="0" w:color="auto"/>
        <w:right w:val="none" w:sz="0" w:space="0" w:color="auto"/>
      </w:divBdr>
    </w:div>
    <w:div w:id="1644969668">
      <w:marLeft w:val="0"/>
      <w:marRight w:val="0"/>
      <w:marTop w:val="0"/>
      <w:marBottom w:val="0"/>
      <w:divBdr>
        <w:top w:val="none" w:sz="0" w:space="0" w:color="auto"/>
        <w:left w:val="none" w:sz="0" w:space="0" w:color="auto"/>
        <w:bottom w:val="none" w:sz="0" w:space="0" w:color="auto"/>
        <w:right w:val="none" w:sz="0" w:space="0" w:color="auto"/>
      </w:divBdr>
    </w:div>
    <w:div w:id="1647513479">
      <w:marLeft w:val="0"/>
      <w:marRight w:val="0"/>
      <w:marTop w:val="100"/>
      <w:marBottom w:val="0"/>
      <w:divBdr>
        <w:top w:val="none" w:sz="0" w:space="0" w:color="auto"/>
        <w:left w:val="none" w:sz="0" w:space="0" w:color="auto"/>
        <w:bottom w:val="none" w:sz="0" w:space="0" w:color="auto"/>
        <w:right w:val="none" w:sz="0" w:space="0" w:color="auto"/>
      </w:divBdr>
      <w:divsChild>
        <w:div w:id="973757590">
          <w:marLeft w:val="0"/>
          <w:marRight w:val="0"/>
          <w:marTop w:val="0"/>
          <w:marBottom w:val="0"/>
          <w:divBdr>
            <w:top w:val="none" w:sz="0" w:space="0" w:color="auto"/>
            <w:left w:val="none" w:sz="0" w:space="0" w:color="auto"/>
            <w:bottom w:val="none" w:sz="0" w:space="0" w:color="auto"/>
            <w:right w:val="none" w:sz="0" w:space="0" w:color="auto"/>
          </w:divBdr>
        </w:div>
        <w:div w:id="441536963">
          <w:marLeft w:val="0"/>
          <w:marRight w:val="0"/>
          <w:marTop w:val="0"/>
          <w:marBottom w:val="0"/>
          <w:divBdr>
            <w:top w:val="none" w:sz="0" w:space="0" w:color="auto"/>
            <w:left w:val="none" w:sz="0" w:space="0" w:color="auto"/>
            <w:bottom w:val="none" w:sz="0" w:space="0" w:color="auto"/>
            <w:right w:val="none" w:sz="0" w:space="0" w:color="auto"/>
          </w:divBdr>
        </w:div>
      </w:divsChild>
    </w:div>
    <w:div w:id="1648777769">
      <w:marLeft w:val="0"/>
      <w:marRight w:val="0"/>
      <w:marTop w:val="0"/>
      <w:marBottom w:val="0"/>
      <w:divBdr>
        <w:top w:val="none" w:sz="0" w:space="0" w:color="auto"/>
        <w:left w:val="none" w:sz="0" w:space="0" w:color="auto"/>
        <w:bottom w:val="none" w:sz="0" w:space="0" w:color="auto"/>
        <w:right w:val="none" w:sz="0" w:space="0" w:color="auto"/>
      </w:divBdr>
    </w:div>
    <w:div w:id="1649163065">
      <w:marLeft w:val="0"/>
      <w:marRight w:val="0"/>
      <w:marTop w:val="0"/>
      <w:marBottom w:val="0"/>
      <w:divBdr>
        <w:top w:val="none" w:sz="0" w:space="0" w:color="auto"/>
        <w:left w:val="none" w:sz="0" w:space="0" w:color="auto"/>
        <w:bottom w:val="none" w:sz="0" w:space="0" w:color="auto"/>
        <w:right w:val="none" w:sz="0" w:space="0" w:color="auto"/>
      </w:divBdr>
    </w:div>
    <w:div w:id="1650547753">
      <w:marLeft w:val="0"/>
      <w:marRight w:val="0"/>
      <w:marTop w:val="0"/>
      <w:marBottom w:val="0"/>
      <w:divBdr>
        <w:top w:val="none" w:sz="0" w:space="0" w:color="auto"/>
        <w:left w:val="none" w:sz="0" w:space="0" w:color="auto"/>
        <w:bottom w:val="none" w:sz="0" w:space="0" w:color="auto"/>
        <w:right w:val="none" w:sz="0" w:space="0" w:color="auto"/>
      </w:divBdr>
      <w:divsChild>
        <w:div w:id="1415932192">
          <w:marLeft w:val="0"/>
          <w:marRight w:val="0"/>
          <w:marTop w:val="0"/>
          <w:marBottom w:val="0"/>
          <w:divBdr>
            <w:top w:val="none" w:sz="0" w:space="0" w:color="auto"/>
            <w:left w:val="none" w:sz="0" w:space="0" w:color="auto"/>
            <w:bottom w:val="none" w:sz="0" w:space="0" w:color="auto"/>
            <w:right w:val="none" w:sz="0" w:space="0" w:color="auto"/>
          </w:divBdr>
        </w:div>
      </w:divsChild>
    </w:div>
    <w:div w:id="1651861250">
      <w:marLeft w:val="0"/>
      <w:marRight w:val="0"/>
      <w:marTop w:val="0"/>
      <w:marBottom w:val="0"/>
      <w:divBdr>
        <w:top w:val="none" w:sz="0" w:space="0" w:color="auto"/>
        <w:left w:val="none" w:sz="0" w:space="0" w:color="auto"/>
        <w:bottom w:val="none" w:sz="0" w:space="0" w:color="auto"/>
        <w:right w:val="none" w:sz="0" w:space="0" w:color="auto"/>
      </w:divBdr>
    </w:div>
    <w:div w:id="1652444923">
      <w:marLeft w:val="0"/>
      <w:marRight w:val="0"/>
      <w:marTop w:val="0"/>
      <w:marBottom w:val="0"/>
      <w:divBdr>
        <w:top w:val="none" w:sz="0" w:space="0" w:color="auto"/>
        <w:left w:val="none" w:sz="0" w:space="0" w:color="auto"/>
        <w:bottom w:val="none" w:sz="0" w:space="0" w:color="auto"/>
        <w:right w:val="none" w:sz="0" w:space="0" w:color="auto"/>
      </w:divBdr>
    </w:div>
    <w:div w:id="1652519290">
      <w:marLeft w:val="0"/>
      <w:marRight w:val="0"/>
      <w:marTop w:val="0"/>
      <w:marBottom w:val="0"/>
      <w:divBdr>
        <w:top w:val="none" w:sz="0" w:space="0" w:color="auto"/>
        <w:left w:val="none" w:sz="0" w:space="0" w:color="auto"/>
        <w:bottom w:val="none" w:sz="0" w:space="0" w:color="auto"/>
        <w:right w:val="none" w:sz="0" w:space="0" w:color="auto"/>
      </w:divBdr>
    </w:div>
    <w:div w:id="1654525454">
      <w:marLeft w:val="0"/>
      <w:marRight w:val="0"/>
      <w:marTop w:val="0"/>
      <w:marBottom w:val="0"/>
      <w:divBdr>
        <w:top w:val="none" w:sz="0" w:space="0" w:color="auto"/>
        <w:left w:val="none" w:sz="0" w:space="0" w:color="auto"/>
        <w:bottom w:val="none" w:sz="0" w:space="0" w:color="auto"/>
        <w:right w:val="none" w:sz="0" w:space="0" w:color="auto"/>
      </w:divBdr>
    </w:div>
    <w:div w:id="1656377171">
      <w:marLeft w:val="0"/>
      <w:marRight w:val="0"/>
      <w:marTop w:val="0"/>
      <w:marBottom w:val="0"/>
      <w:divBdr>
        <w:top w:val="none" w:sz="0" w:space="0" w:color="auto"/>
        <w:left w:val="none" w:sz="0" w:space="0" w:color="auto"/>
        <w:bottom w:val="none" w:sz="0" w:space="0" w:color="auto"/>
        <w:right w:val="none" w:sz="0" w:space="0" w:color="auto"/>
      </w:divBdr>
    </w:div>
    <w:div w:id="1657877143">
      <w:marLeft w:val="0"/>
      <w:marRight w:val="0"/>
      <w:marTop w:val="0"/>
      <w:marBottom w:val="0"/>
      <w:divBdr>
        <w:top w:val="none" w:sz="0" w:space="0" w:color="auto"/>
        <w:left w:val="none" w:sz="0" w:space="0" w:color="auto"/>
        <w:bottom w:val="none" w:sz="0" w:space="0" w:color="auto"/>
        <w:right w:val="none" w:sz="0" w:space="0" w:color="auto"/>
      </w:divBdr>
    </w:div>
    <w:div w:id="1658918275">
      <w:marLeft w:val="0"/>
      <w:marRight w:val="0"/>
      <w:marTop w:val="0"/>
      <w:marBottom w:val="0"/>
      <w:divBdr>
        <w:top w:val="none" w:sz="0" w:space="0" w:color="auto"/>
        <w:left w:val="none" w:sz="0" w:space="0" w:color="auto"/>
        <w:bottom w:val="none" w:sz="0" w:space="0" w:color="auto"/>
        <w:right w:val="none" w:sz="0" w:space="0" w:color="auto"/>
      </w:divBdr>
    </w:div>
    <w:div w:id="1660188676">
      <w:marLeft w:val="0"/>
      <w:marRight w:val="0"/>
      <w:marTop w:val="0"/>
      <w:marBottom w:val="0"/>
      <w:divBdr>
        <w:top w:val="none" w:sz="0" w:space="0" w:color="auto"/>
        <w:left w:val="none" w:sz="0" w:space="0" w:color="auto"/>
        <w:bottom w:val="none" w:sz="0" w:space="0" w:color="auto"/>
        <w:right w:val="none" w:sz="0" w:space="0" w:color="auto"/>
      </w:divBdr>
    </w:div>
    <w:div w:id="1663461915">
      <w:marLeft w:val="0"/>
      <w:marRight w:val="0"/>
      <w:marTop w:val="0"/>
      <w:marBottom w:val="0"/>
      <w:divBdr>
        <w:top w:val="none" w:sz="0" w:space="0" w:color="auto"/>
        <w:left w:val="none" w:sz="0" w:space="0" w:color="auto"/>
        <w:bottom w:val="none" w:sz="0" w:space="0" w:color="auto"/>
        <w:right w:val="none" w:sz="0" w:space="0" w:color="auto"/>
      </w:divBdr>
    </w:div>
    <w:div w:id="1665352919">
      <w:marLeft w:val="0"/>
      <w:marRight w:val="0"/>
      <w:marTop w:val="100"/>
      <w:marBottom w:val="80"/>
      <w:divBdr>
        <w:top w:val="none" w:sz="0" w:space="0" w:color="auto"/>
        <w:left w:val="none" w:sz="0" w:space="0" w:color="auto"/>
        <w:bottom w:val="none" w:sz="0" w:space="0" w:color="auto"/>
        <w:right w:val="none" w:sz="0" w:space="0" w:color="auto"/>
      </w:divBdr>
    </w:div>
    <w:div w:id="1665431515">
      <w:marLeft w:val="0"/>
      <w:marRight w:val="0"/>
      <w:marTop w:val="0"/>
      <w:marBottom w:val="0"/>
      <w:divBdr>
        <w:top w:val="none" w:sz="0" w:space="0" w:color="auto"/>
        <w:left w:val="none" w:sz="0" w:space="0" w:color="auto"/>
        <w:bottom w:val="none" w:sz="0" w:space="0" w:color="auto"/>
        <w:right w:val="none" w:sz="0" w:space="0" w:color="auto"/>
      </w:divBdr>
    </w:div>
    <w:div w:id="1669136776">
      <w:marLeft w:val="0"/>
      <w:marRight w:val="0"/>
      <w:marTop w:val="0"/>
      <w:marBottom w:val="0"/>
      <w:divBdr>
        <w:top w:val="none" w:sz="0" w:space="0" w:color="auto"/>
        <w:left w:val="none" w:sz="0" w:space="0" w:color="auto"/>
        <w:bottom w:val="none" w:sz="0" w:space="0" w:color="auto"/>
        <w:right w:val="none" w:sz="0" w:space="0" w:color="auto"/>
      </w:divBdr>
    </w:div>
    <w:div w:id="1675498399">
      <w:marLeft w:val="0"/>
      <w:marRight w:val="0"/>
      <w:marTop w:val="0"/>
      <w:marBottom w:val="0"/>
      <w:divBdr>
        <w:top w:val="none" w:sz="0" w:space="0" w:color="auto"/>
        <w:left w:val="none" w:sz="0" w:space="0" w:color="auto"/>
        <w:bottom w:val="none" w:sz="0" w:space="0" w:color="auto"/>
        <w:right w:val="none" w:sz="0" w:space="0" w:color="auto"/>
      </w:divBdr>
    </w:div>
    <w:div w:id="1678266995">
      <w:marLeft w:val="0"/>
      <w:marRight w:val="0"/>
      <w:marTop w:val="0"/>
      <w:marBottom w:val="0"/>
      <w:divBdr>
        <w:top w:val="none" w:sz="0" w:space="0" w:color="auto"/>
        <w:left w:val="none" w:sz="0" w:space="0" w:color="auto"/>
        <w:bottom w:val="none" w:sz="0" w:space="0" w:color="auto"/>
        <w:right w:val="none" w:sz="0" w:space="0" w:color="auto"/>
      </w:divBdr>
    </w:div>
    <w:div w:id="1678382900">
      <w:marLeft w:val="0"/>
      <w:marRight w:val="0"/>
      <w:marTop w:val="0"/>
      <w:marBottom w:val="0"/>
      <w:divBdr>
        <w:top w:val="none" w:sz="0" w:space="0" w:color="auto"/>
        <w:left w:val="none" w:sz="0" w:space="0" w:color="auto"/>
        <w:bottom w:val="none" w:sz="0" w:space="0" w:color="auto"/>
        <w:right w:val="none" w:sz="0" w:space="0" w:color="auto"/>
      </w:divBdr>
    </w:div>
    <w:div w:id="1695299670">
      <w:marLeft w:val="0"/>
      <w:marRight w:val="0"/>
      <w:marTop w:val="0"/>
      <w:marBottom w:val="0"/>
      <w:divBdr>
        <w:top w:val="none" w:sz="0" w:space="0" w:color="auto"/>
        <w:left w:val="none" w:sz="0" w:space="0" w:color="auto"/>
        <w:bottom w:val="none" w:sz="0" w:space="0" w:color="auto"/>
        <w:right w:val="none" w:sz="0" w:space="0" w:color="auto"/>
      </w:divBdr>
    </w:div>
    <w:div w:id="1700662108">
      <w:marLeft w:val="0"/>
      <w:marRight w:val="0"/>
      <w:marTop w:val="0"/>
      <w:marBottom w:val="0"/>
      <w:divBdr>
        <w:top w:val="none" w:sz="0" w:space="0" w:color="auto"/>
        <w:left w:val="none" w:sz="0" w:space="0" w:color="auto"/>
        <w:bottom w:val="none" w:sz="0" w:space="0" w:color="auto"/>
        <w:right w:val="none" w:sz="0" w:space="0" w:color="auto"/>
      </w:divBdr>
    </w:div>
    <w:div w:id="1701280685">
      <w:marLeft w:val="0"/>
      <w:marRight w:val="0"/>
      <w:marTop w:val="0"/>
      <w:marBottom w:val="0"/>
      <w:divBdr>
        <w:top w:val="none" w:sz="0" w:space="0" w:color="auto"/>
        <w:left w:val="none" w:sz="0" w:space="0" w:color="auto"/>
        <w:bottom w:val="none" w:sz="0" w:space="0" w:color="auto"/>
        <w:right w:val="none" w:sz="0" w:space="0" w:color="auto"/>
      </w:divBdr>
    </w:div>
    <w:div w:id="1703360024">
      <w:marLeft w:val="0"/>
      <w:marRight w:val="0"/>
      <w:marTop w:val="0"/>
      <w:marBottom w:val="0"/>
      <w:divBdr>
        <w:top w:val="none" w:sz="0" w:space="0" w:color="auto"/>
        <w:left w:val="none" w:sz="0" w:space="0" w:color="auto"/>
        <w:bottom w:val="none" w:sz="0" w:space="0" w:color="auto"/>
        <w:right w:val="none" w:sz="0" w:space="0" w:color="auto"/>
      </w:divBdr>
    </w:div>
    <w:div w:id="1708026583">
      <w:marLeft w:val="0"/>
      <w:marRight w:val="0"/>
      <w:marTop w:val="0"/>
      <w:marBottom w:val="0"/>
      <w:divBdr>
        <w:top w:val="none" w:sz="0" w:space="0" w:color="auto"/>
        <w:left w:val="none" w:sz="0" w:space="0" w:color="auto"/>
        <w:bottom w:val="none" w:sz="0" w:space="0" w:color="auto"/>
        <w:right w:val="none" w:sz="0" w:space="0" w:color="auto"/>
      </w:divBdr>
    </w:div>
    <w:div w:id="1712412853">
      <w:marLeft w:val="0"/>
      <w:marRight w:val="0"/>
      <w:marTop w:val="0"/>
      <w:marBottom w:val="0"/>
      <w:divBdr>
        <w:top w:val="none" w:sz="0" w:space="0" w:color="auto"/>
        <w:left w:val="none" w:sz="0" w:space="0" w:color="auto"/>
        <w:bottom w:val="none" w:sz="0" w:space="0" w:color="auto"/>
        <w:right w:val="none" w:sz="0" w:space="0" w:color="auto"/>
      </w:divBdr>
    </w:div>
    <w:div w:id="1716809215">
      <w:marLeft w:val="0"/>
      <w:marRight w:val="0"/>
      <w:marTop w:val="0"/>
      <w:marBottom w:val="0"/>
      <w:divBdr>
        <w:top w:val="none" w:sz="0" w:space="0" w:color="auto"/>
        <w:left w:val="none" w:sz="0" w:space="0" w:color="auto"/>
        <w:bottom w:val="none" w:sz="0" w:space="0" w:color="auto"/>
        <w:right w:val="none" w:sz="0" w:space="0" w:color="auto"/>
      </w:divBdr>
    </w:div>
    <w:div w:id="1717194731">
      <w:marLeft w:val="0"/>
      <w:marRight w:val="0"/>
      <w:marTop w:val="0"/>
      <w:marBottom w:val="0"/>
      <w:divBdr>
        <w:top w:val="none" w:sz="0" w:space="0" w:color="auto"/>
        <w:left w:val="none" w:sz="0" w:space="0" w:color="auto"/>
        <w:bottom w:val="none" w:sz="0" w:space="0" w:color="auto"/>
        <w:right w:val="none" w:sz="0" w:space="0" w:color="auto"/>
      </w:divBdr>
      <w:divsChild>
        <w:div w:id="2054190934">
          <w:marLeft w:val="0"/>
          <w:marRight w:val="0"/>
          <w:marTop w:val="0"/>
          <w:marBottom w:val="0"/>
          <w:divBdr>
            <w:top w:val="none" w:sz="0" w:space="0" w:color="auto"/>
            <w:left w:val="none" w:sz="0" w:space="0" w:color="auto"/>
            <w:bottom w:val="none" w:sz="0" w:space="0" w:color="auto"/>
            <w:right w:val="none" w:sz="0" w:space="0" w:color="auto"/>
          </w:divBdr>
        </w:div>
        <w:div w:id="1485656648">
          <w:marLeft w:val="0"/>
          <w:marRight w:val="0"/>
          <w:marTop w:val="0"/>
          <w:marBottom w:val="0"/>
          <w:divBdr>
            <w:top w:val="none" w:sz="0" w:space="0" w:color="auto"/>
            <w:left w:val="none" w:sz="0" w:space="0" w:color="auto"/>
            <w:bottom w:val="none" w:sz="0" w:space="0" w:color="auto"/>
            <w:right w:val="none" w:sz="0" w:space="0" w:color="auto"/>
          </w:divBdr>
        </w:div>
      </w:divsChild>
    </w:div>
    <w:div w:id="1717656337">
      <w:marLeft w:val="0"/>
      <w:marRight w:val="0"/>
      <w:marTop w:val="0"/>
      <w:marBottom w:val="0"/>
      <w:divBdr>
        <w:top w:val="none" w:sz="0" w:space="0" w:color="auto"/>
        <w:left w:val="none" w:sz="0" w:space="0" w:color="auto"/>
        <w:bottom w:val="none" w:sz="0" w:space="0" w:color="auto"/>
        <w:right w:val="none" w:sz="0" w:space="0" w:color="auto"/>
      </w:divBdr>
    </w:div>
    <w:div w:id="1719431454">
      <w:marLeft w:val="0"/>
      <w:marRight w:val="0"/>
      <w:marTop w:val="0"/>
      <w:marBottom w:val="0"/>
      <w:divBdr>
        <w:top w:val="none" w:sz="0" w:space="0" w:color="auto"/>
        <w:left w:val="none" w:sz="0" w:space="0" w:color="auto"/>
        <w:bottom w:val="none" w:sz="0" w:space="0" w:color="auto"/>
        <w:right w:val="none" w:sz="0" w:space="0" w:color="auto"/>
      </w:divBdr>
    </w:div>
    <w:div w:id="1720323413">
      <w:marLeft w:val="0"/>
      <w:marRight w:val="0"/>
      <w:marTop w:val="0"/>
      <w:marBottom w:val="0"/>
      <w:divBdr>
        <w:top w:val="none" w:sz="0" w:space="0" w:color="auto"/>
        <w:left w:val="none" w:sz="0" w:space="0" w:color="auto"/>
        <w:bottom w:val="none" w:sz="0" w:space="0" w:color="auto"/>
        <w:right w:val="none" w:sz="0" w:space="0" w:color="auto"/>
      </w:divBdr>
    </w:div>
    <w:div w:id="1721324375">
      <w:marLeft w:val="0"/>
      <w:marRight w:val="0"/>
      <w:marTop w:val="0"/>
      <w:marBottom w:val="0"/>
      <w:divBdr>
        <w:top w:val="none" w:sz="0" w:space="0" w:color="auto"/>
        <w:left w:val="none" w:sz="0" w:space="0" w:color="auto"/>
        <w:bottom w:val="none" w:sz="0" w:space="0" w:color="auto"/>
        <w:right w:val="none" w:sz="0" w:space="0" w:color="auto"/>
      </w:divBdr>
      <w:divsChild>
        <w:div w:id="164787618">
          <w:marLeft w:val="0"/>
          <w:marRight w:val="0"/>
          <w:marTop w:val="0"/>
          <w:marBottom w:val="0"/>
          <w:divBdr>
            <w:top w:val="none" w:sz="0" w:space="0" w:color="auto"/>
            <w:left w:val="none" w:sz="0" w:space="0" w:color="auto"/>
            <w:bottom w:val="none" w:sz="0" w:space="0" w:color="auto"/>
            <w:right w:val="none" w:sz="0" w:space="0" w:color="auto"/>
          </w:divBdr>
        </w:div>
      </w:divsChild>
    </w:div>
    <w:div w:id="1725369932">
      <w:marLeft w:val="0"/>
      <w:marRight w:val="0"/>
      <w:marTop w:val="0"/>
      <w:marBottom w:val="0"/>
      <w:divBdr>
        <w:top w:val="none" w:sz="0" w:space="0" w:color="auto"/>
        <w:left w:val="none" w:sz="0" w:space="0" w:color="auto"/>
        <w:bottom w:val="none" w:sz="0" w:space="0" w:color="auto"/>
        <w:right w:val="none" w:sz="0" w:space="0" w:color="auto"/>
      </w:divBdr>
    </w:div>
    <w:div w:id="1725905516">
      <w:marLeft w:val="0"/>
      <w:marRight w:val="0"/>
      <w:marTop w:val="0"/>
      <w:marBottom w:val="0"/>
      <w:divBdr>
        <w:top w:val="none" w:sz="0" w:space="0" w:color="auto"/>
        <w:left w:val="none" w:sz="0" w:space="0" w:color="auto"/>
        <w:bottom w:val="none" w:sz="0" w:space="0" w:color="auto"/>
        <w:right w:val="none" w:sz="0" w:space="0" w:color="auto"/>
      </w:divBdr>
    </w:div>
    <w:div w:id="1730301202">
      <w:marLeft w:val="0"/>
      <w:marRight w:val="0"/>
      <w:marTop w:val="0"/>
      <w:marBottom w:val="0"/>
      <w:divBdr>
        <w:top w:val="none" w:sz="0" w:space="0" w:color="auto"/>
        <w:left w:val="none" w:sz="0" w:space="0" w:color="auto"/>
        <w:bottom w:val="none" w:sz="0" w:space="0" w:color="auto"/>
        <w:right w:val="none" w:sz="0" w:space="0" w:color="auto"/>
      </w:divBdr>
    </w:div>
    <w:div w:id="1730952533">
      <w:marLeft w:val="0"/>
      <w:marRight w:val="0"/>
      <w:marTop w:val="0"/>
      <w:marBottom w:val="0"/>
      <w:divBdr>
        <w:top w:val="none" w:sz="0" w:space="0" w:color="auto"/>
        <w:left w:val="none" w:sz="0" w:space="0" w:color="auto"/>
        <w:bottom w:val="none" w:sz="0" w:space="0" w:color="auto"/>
        <w:right w:val="none" w:sz="0" w:space="0" w:color="auto"/>
      </w:divBdr>
    </w:div>
    <w:div w:id="1732577135">
      <w:marLeft w:val="0"/>
      <w:marRight w:val="0"/>
      <w:marTop w:val="0"/>
      <w:marBottom w:val="0"/>
      <w:divBdr>
        <w:top w:val="none" w:sz="0" w:space="0" w:color="auto"/>
        <w:left w:val="none" w:sz="0" w:space="0" w:color="auto"/>
        <w:bottom w:val="none" w:sz="0" w:space="0" w:color="auto"/>
        <w:right w:val="none" w:sz="0" w:space="0" w:color="auto"/>
      </w:divBdr>
    </w:div>
    <w:div w:id="1732994109">
      <w:marLeft w:val="0"/>
      <w:marRight w:val="0"/>
      <w:marTop w:val="0"/>
      <w:marBottom w:val="0"/>
      <w:divBdr>
        <w:top w:val="none" w:sz="0" w:space="0" w:color="auto"/>
        <w:left w:val="none" w:sz="0" w:space="0" w:color="auto"/>
        <w:bottom w:val="none" w:sz="0" w:space="0" w:color="auto"/>
        <w:right w:val="none" w:sz="0" w:space="0" w:color="auto"/>
      </w:divBdr>
    </w:div>
    <w:div w:id="1735004596">
      <w:marLeft w:val="0"/>
      <w:marRight w:val="0"/>
      <w:marTop w:val="0"/>
      <w:marBottom w:val="0"/>
      <w:divBdr>
        <w:top w:val="none" w:sz="0" w:space="0" w:color="auto"/>
        <w:left w:val="none" w:sz="0" w:space="0" w:color="auto"/>
        <w:bottom w:val="none" w:sz="0" w:space="0" w:color="auto"/>
        <w:right w:val="none" w:sz="0" w:space="0" w:color="auto"/>
      </w:divBdr>
    </w:div>
    <w:div w:id="1736776442">
      <w:marLeft w:val="0"/>
      <w:marRight w:val="0"/>
      <w:marTop w:val="0"/>
      <w:marBottom w:val="0"/>
      <w:divBdr>
        <w:top w:val="none" w:sz="0" w:space="0" w:color="auto"/>
        <w:left w:val="none" w:sz="0" w:space="0" w:color="auto"/>
        <w:bottom w:val="none" w:sz="0" w:space="0" w:color="auto"/>
        <w:right w:val="none" w:sz="0" w:space="0" w:color="auto"/>
      </w:divBdr>
      <w:divsChild>
        <w:div w:id="1659648403">
          <w:marLeft w:val="0"/>
          <w:marRight w:val="0"/>
          <w:marTop w:val="0"/>
          <w:marBottom w:val="0"/>
          <w:divBdr>
            <w:top w:val="none" w:sz="0" w:space="0" w:color="auto"/>
            <w:left w:val="none" w:sz="0" w:space="0" w:color="auto"/>
            <w:bottom w:val="none" w:sz="0" w:space="0" w:color="auto"/>
            <w:right w:val="none" w:sz="0" w:space="0" w:color="auto"/>
          </w:divBdr>
        </w:div>
      </w:divsChild>
    </w:div>
    <w:div w:id="1741173247">
      <w:marLeft w:val="0"/>
      <w:marRight w:val="0"/>
      <w:marTop w:val="0"/>
      <w:marBottom w:val="0"/>
      <w:divBdr>
        <w:top w:val="none" w:sz="0" w:space="0" w:color="auto"/>
        <w:left w:val="none" w:sz="0" w:space="0" w:color="auto"/>
        <w:bottom w:val="none" w:sz="0" w:space="0" w:color="auto"/>
        <w:right w:val="none" w:sz="0" w:space="0" w:color="auto"/>
      </w:divBdr>
    </w:div>
    <w:div w:id="1742365321">
      <w:marLeft w:val="0"/>
      <w:marRight w:val="0"/>
      <w:marTop w:val="0"/>
      <w:marBottom w:val="0"/>
      <w:divBdr>
        <w:top w:val="none" w:sz="0" w:space="0" w:color="auto"/>
        <w:left w:val="none" w:sz="0" w:space="0" w:color="auto"/>
        <w:bottom w:val="none" w:sz="0" w:space="0" w:color="auto"/>
        <w:right w:val="none" w:sz="0" w:space="0" w:color="auto"/>
      </w:divBdr>
      <w:divsChild>
        <w:div w:id="275675694">
          <w:marLeft w:val="0"/>
          <w:marRight w:val="0"/>
          <w:marTop w:val="0"/>
          <w:marBottom w:val="0"/>
          <w:divBdr>
            <w:top w:val="none" w:sz="0" w:space="0" w:color="auto"/>
            <w:left w:val="none" w:sz="0" w:space="0" w:color="auto"/>
            <w:bottom w:val="none" w:sz="0" w:space="0" w:color="auto"/>
            <w:right w:val="none" w:sz="0" w:space="0" w:color="auto"/>
          </w:divBdr>
        </w:div>
      </w:divsChild>
    </w:div>
    <w:div w:id="1749883396">
      <w:marLeft w:val="0"/>
      <w:marRight w:val="0"/>
      <w:marTop w:val="0"/>
      <w:marBottom w:val="0"/>
      <w:divBdr>
        <w:top w:val="none" w:sz="0" w:space="0" w:color="auto"/>
        <w:left w:val="none" w:sz="0" w:space="0" w:color="auto"/>
        <w:bottom w:val="none" w:sz="0" w:space="0" w:color="auto"/>
        <w:right w:val="none" w:sz="0" w:space="0" w:color="auto"/>
      </w:divBdr>
    </w:div>
    <w:div w:id="1752383495">
      <w:marLeft w:val="0"/>
      <w:marRight w:val="0"/>
      <w:marTop w:val="0"/>
      <w:marBottom w:val="0"/>
      <w:divBdr>
        <w:top w:val="none" w:sz="0" w:space="0" w:color="auto"/>
        <w:left w:val="none" w:sz="0" w:space="0" w:color="auto"/>
        <w:bottom w:val="none" w:sz="0" w:space="0" w:color="auto"/>
        <w:right w:val="none" w:sz="0" w:space="0" w:color="auto"/>
      </w:divBdr>
    </w:div>
    <w:div w:id="1753772679">
      <w:marLeft w:val="0"/>
      <w:marRight w:val="0"/>
      <w:marTop w:val="0"/>
      <w:marBottom w:val="0"/>
      <w:divBdr>
        <w:top w:val="none" w:sz="0" w:space="0" w:color="auto"/>
        <w:left w:val="none" w:sz="0" w:space="0" w:color="auto"/>
        <w:bottom w:val="none" w:sz="0" w:space="0" w:color="auto"/>
        <w:right w:val="none" w:sz="0" w:space="0" w:color="auto"/>
      </w:divBdr>
    </w:div>
    <w:div w:id="1755741410">
      <w:marLeft w:val="0"/>
      <w:marRight w:val="0"/>
      <w:marTop w:val="0"/>
      <w:marBottom w:val="0"/>
      <w:divBdr>
        <w:top w:val="none" w:sz="0" w:space="0" w:color="auto"/>
        <w:left w:val="none" w:sz="0" w:space="0" w:color="auto"/>
        <w:bottom w:val="none" w:sz="0" w:space="0" w:color="auto"/>
        <w:right w:val="none" w:sz="0" w:space="0" w:color="auto"/>
      </w:divBdr>
    </w:div>
    <w:div w:id="1755780979">
      <w:marLeft w:val="0"/>
      <w:marRight w:val="0"/>
      <w:marTop w:val="0"/>
      <w:marBottom w:val="0"/>
      <w:divBdr>
        <w:top w:val="none" w:sz="0" w:space="0" w:color="auto"/>
        <w:left w:val="none" w:sz="0" w:space="0" w:color="auto"/>
        <w:bottom w:val="none" w:sz="0" w:space="0" w:color="auto"/>
        <w:right w:val="none" w:sz="0" w:space="0" w:color="auto"/>
      </w:divBdr>
    </w:div>
    <w:div w:id="1756200636">
      <w:marLeft w:val="0"/>
      <w:marRight w:val="0"/>
      <w:marTop w:val="0"/>
      <w:marBottom w:val="0"/>
      <w:divBdr>
        <w:top w:val="none" w:sz="0" w:space="0" w:color="auto"/>
        <w:left w:val="none" w:sz="0" w:space="0" w:color="auto"/>
        <w:bottom w:val="none" w:sz="0" w:space="0" w:color="auto"/>
        <w:right w:val="none" w:sz="0" w:space="0" w:color="auto"/>
      </w:divBdr>
    </w:div>
    <w:div w:id="1756901471">
      <w:marLeft w:val="0"/>
      <w:marRight w:val="0"/>
      <w:marTop w:val="0"/>
      <w:marBottom w:val="0"/>
      <w:divBdr>
        <w:top w:val="none" w:sz="0" w:space="0" w:color="auto"/>
        <w:left w:val="none" w:sz="0" w:space="0" w:color="auto"/>
        <w:bottom w:val="none" w:sz="0" w:space="0" w:color="auto"/>
        <w:right w:val="none" w:sz="0" w:space="0" w:color="auto"/>
      </w:divBdr>
    </w:div>
    <w:div w:id="1762331477">
      <w:marLeft w:val="0"/>
      <w:marRight w:val="0"/>
      <w:marTop w:val="0"/>
      <w:marBottom w:val="0"/>
      <w:divBdr>
        <w:top w:val="none" w:sz="0" w:space="0" w:color="auto"/>
        <w:left w:val="none" w:sz="0" w:space="0" w:color="auto"/>
        <w:bottom w:val="none" w:sz="0" w:space="0" w:color="auto"/>
        <w:right w:val="none" w:sz="0" w:space="0" w:color="auto"/>
      </w:divBdr>
    </w:div>
    <w:div w:id="1763138970">
      <w:marLeft w:val="0"/>
      <w:marRight w:val="0"/>
      <w:marTop w:val="0"/>
      <w:marBottom w:val="0"/>
      <w:divBdr>
        <w:top w:val="none" w:sz="0" w:space="0" w:color="auto"/>
        <w:left w:val="none" w:sz="0" w:space="0" w:color="auto"/>
        <w:bottom w:val="none" w:sz="0" w:space="0" w:color="auto"/>
        <w:right w:val="none" w:sz="0" w:space="0" w:color="auto"/>
      </w:divBdr>
    </w:div>
    <w:div w:id="1764108306">
      <w:marLeft w:val="0"/>
      <w:marRight w:val="0"/>
      <w:marTop w:val="0"/>
      <w:marBottom w:val="0"/>
      <w:divBdr>
        <w:top w:val="none" w:sz="0" w:space="0" w:color="auto"/>
        <w:left w:val="none" w:sz="0" w:space="0" w:color="auto"/>
        <w:bottom w:val="none" w:sz="0" w:space="0" w:color="auto"/>
        <w:right w:val="none" w:sz="0" w:space="0" w:color="auto"/>
      </w:divBdr>
      <w:divsChild>
        <w:div w:id="178857436">
          <w:marLeft w:val="0"/>
          <w:marRight w:val="0"/>
          <w:marTop w:val="0"/>
          <w:marBottom w:val="0"/>
          <w:divBdr>
            <w:top w:val="none" w:sz="0" w:space="0" w:color="auto"/>
            <w:left w:val="none" w:sz="0" w:space="0" w:color="auto"/>
            <w:bottom w:val="none" w:sz="0" w:space="0" w:color="auto"/>
            <w:right w:val="none" w:sz="0" w:space="0" w:color="auto"/>
          </w:divBdr>
        </w:div>
      </w:divsChild>
    </w:div>
    <w:div w:id="1765152720">
      <w:marLeft w:val="0"/>
      <w:marRight w:val="0"/>
      <w:marTop w:val="0"/>
      <w:marBottom w:val="0"/>
      <w:divBdr>
        <w:top w:val="none" w:sz="0" w:space="0" w:color="auto"/>
        <w:left w:val="none" w:sz="0" w:space="0" w:color="auto"/>
        <w:bottom w:val="none" w:sz="0" w:space="0" w:color="auto"/>
        <w:right w:val="none" w:sz="0" w:space="0" w:color="auto"/>
      </w:divBdr>
    </w:div>
    <w:div w:id="1768967203">
      <w:marLeft w:val="0"/>
      <w:marRight w:val="0"/>
      <w:marTop w:val="0"/>
      <w:marBottom w:val="0"/>
      <w:divBdr>
        <w:top w:val="none" w:sz="0" w:space="0" w:color="auto"/>
        <w:left w:val="none" w:sz="0" w:space="0" w:color="auto"/>
        <w:bottom w:val="none" w:sz="0" w:space="0" w:color="auto"/>
        <w:right w:val="none" w:sz="0" w:space="0" w:color="auto"/>
      </w:divBdr>
    </w:div>
    <w:div w:id="1773548532">
      <w:marLeft w:val="0"/>
      <w:marRight w:val="0"/>
      <w:marTop w:val="0"/>
      <w:marBottom w:val="0"/>
      <w:divBdr>
        <w:top w:val="none" w:sz="0" w:space="0" w:color="auto"/>
        <w:left w:val="none" w:sz="0" w:space="0" w:color="auto"/>
        <w:bottom w:val="none" w:sz="0" w:space="0" w:color="auto"/>
        <w:right w:val="none" w:sz="0" w:space="0" w:color="auto"/>
      </w:divBdr>
    </w:div>
    <w:div w:id="1776249765">
      <w:marLeft w:val="0"/>
      <w:marRight w:val="0"/>
      <w:marTop w:val="0"/>
      <w:marBottom w:val="0"/>
      <w:divBdr>
        <w:top w:val="none" w:sz="0" w:space="0" w:color="auto"/>
        <w:left w:val="none" w:sz="0" w:space="0" w:color="auto"/>
        <w:bottom w:val="none" w:sz="0" w:space="0" w:color="auto"/>
        <w:right w:val="none" w:sz="0" w:space="0" w:color="auto"/>
      </w:divBdr>
    </w:div>
    <w:div w:id="1777599028">
      <w:marLeft w:val="0"/>
      <w:marRight w:val="0"/>
      <w:marTop w:val="0"/>
      <w:marBottom w:val="0"/>
      <w:divBdr>
        <w:top w:val="none" w:sz="0" w:space="0" w:color="auto"/>
        <w:left w:val="none" w:sz="0" w:space="0" w:color="auto"/>
        <w:bottom w:val="none" w:sz="0" w:space="0" w:color="auto"/>
        <w:right w:val="none" w:sz="0" w:space="0" w:color="auto"/>
      </w:divBdr>
    </w:div>
    <w:div w:id="1778672786">
      <w:marLeft w:val="0"/>
      <w:marRight w:val="0"/>
      <w:marTop w:val="0"/>
      <w:marBottom w:val="0"/>
      <w:divBdr>
        <w:top w:val="none" w:sz="0" w:space="0" w:color="auto"/>
        <w:left w:val="none" w:sz="0" w:space="0" w:color="auto"/>
        <w:bottom w:val="none" w:sz="0" w:space="0" w:color="auto"/>
        <w:right w:val="none" w:sz="0" w:space="0" w:color="auto"/>
      </w:divBdr>
    </w:div>
    <w:div w:id="1781995597">
      <w:marLeft w:val="0"/>
      <w:marRight w:val="0"/>
      <w:marTop w:val="0"/>
      <w:marBottom w:val="0"/>
      <w:divBdr>
        <w:top w:val="none" w:sz="0" w:space="0" w:color="auto"/>
        <w:left w:val="none" w:sz="0" w:space="0" w:color="auto"/>
        <w:bottom w:val="none" w:sz="0" w:space="0" w:color="auto"/>
        <w:right w:val="none" w:sz="0" w:space="0" w:color="auto"/>
      </w:divBdr>
    </w:div>
    <w:div w:id="1784155548">
      <w:marLeft w:val="0"/>
      <w:marRight w:val="0"/>
      <w:marTop w:val="0"/>
      <w:marBottom w:val="0"/>
      <w:divBdr>
        <w:top w:val="none" w:sz="0" w:space="0" w:color="auto"/>
        <w:left w:val="none" w:sz="0" w:space="0" w:color="auto"/>
        <w:bottom w:val="none" w:sz="0" w:space="0" w:color="auto"/>
        <w:right w:val="none" w:sz="0" w:space="0" w:color="auto"/>
      </w:divBdr>
    </w:div>
    <w:div w:id="1786536874">
      <w:marLeft w:val="0"/>
      <w:marRight w:val="0"/>
      <w:marTop w:val="0"/>
      <w:marBottom w:val="0"/>
      <w:divBdr>
        <w:top w:val="none" w:sz="0" w:space="0" w:color="auto"/>
        <w:left w:val="none" w:sz="0" w:space="0" w:color="auto"/>
        <w:bottom w:val="none" w:sz="0" w:space="0" w:color="auto"/>
        <w:right w:val="none" w:sz="0" w:space="0" w:color="auto"/>
      </w:divBdr>
    </w:div>
    <w:div w:id="1788740423">
      <w:marLeft w:val="0"/>
      <w:marRight w:val="0"/>
      <w:marTop w:val="0"/>
      <w:marBottom w:val="0"/>
      <w:divBdr>
        <w:top w:val="none" w:sz="0" w:space="0" w:color="auto"/>
        <w:left w:val="none" w:sz="0" w:space="0" w:color="auto"/>
        <w:bottom w:val="none" w:sz="0" w:space="0" w:color="auto"/>
        <w:right w:val="none" w:sz="0" w:space="0" w:color="auto"/>
      </w:divBdr>
    </w:div>
    <w:div w:id="1791128728">
      <w:marLeft w:val="0"/>
      <w:marRight w:val="0"/>
      <w:marTop w:val="0"/>
      <w:marBottom w:val="0"/>
      <w:divBdr>
        <w:top w:val="none" w:sz="0" w:space="0" w:color="auto"/>
        <w:left w:val="none" w:sz="0" w:space="0" w:color="auto"/>
        <w:bottom w:val="none" w:sz="0" w:space="0" w:color="auto"/>
        <w:right w:val="none" w:sz="0" w:space="0" w:color="auto"/>
      </w:divBdr>
    </w:div>
    <w:div w:id="1792213428">
      <w:marLeft w:val="0"/>
      <w:marRight w:val="0"/>
      <w:marTop w:val="0"/>
      <w:marBottom w:val="0"/>
      <w:divBdr>
        <w:top w:val="none" w:sz="0" w:space="0" w:color="auto"/>
        <w:left w:val="none" w:sz="0" w:space="0" w:color="auto"/>
        <w:bottom w:val="none" w:sz="0" w:space="0" w:color="auto"/>
        <w:right w:val="none" w:sz="0" w:space="0" w:color="auto"/>
      </w:divBdr>
    </w:div>
    <w:div w:id="1792287319">
      <w:marLeft w:val="0"/>
      <w:marRight w:val="0"/>
      <w:marTop w:val="0"/>
      <w:marBottom w:val="0"/>
      <w:divBdr>
        <w:top w:val="none" w:sz="0" w:space="0" w:color="auto"/>
        <w:left w:val="none" w:sz="0" w:space="0" w:color="auto"/>
        <w:bottom w:val="none" w:sz="0" w:space="0" w:color="auto"/>
        <w:right w:val="none" w:sz="0" w:space="0" w:color="auto"/>
      </w:divBdr>
    </w:div>
    <w:div w:id="1794521430">
      <w:marLeft w:val="0"/>
      <w:marRight w:val="0"/>
      <w:marTop w:val="0"/>
      <w:marBottom w:val="0"/>
      <w:divBdr>
        <w:top w:val="none" w:sz="0" w:space="0" w:color="auto"/>
        <w:left w:val="none" w:sz="0" w:space="0" w:color="auto"/>
        <w:bottom w:val="none" w:sz="0" w:space="0" w:color="auto"/>
        <w:right w:val="none" w:sz="0" w:space="0" w:color="auto"/>
      </w:divBdr>
      <w:divsChild>
        <w:div w:id="580140702">
          <w:marLeft w:val="0"/>
          <w:marRight w:val="0"/>
          <w:marTop w:val="0"/>
          <w:marBottom w:val="0"/>
          <w:divBdr>
            <w:top w:val="none" w:sz="0" w:space="0" w:color="auto"/>
            <w:left w:val="none" w:sz="0" w:space="0" w:color="auto"/>
            <w:bottom w:val="none" w:sz="0" w:space="0" w:color="auto"/>
            <w:right w:val="none" w:sz="0" w:space="0" w:color="auto"/>
          </w:divBdr>
        </w:div>
      </w:divsChild>
    </w:div>
    <w:div w:id="1794984179">
      <w:marLeft w:val="0"/>
      <w:marRight w:val="0"/>
      <w:marTop w:val="0"/>
      <w:marBottom w:val="0"/>
      <w:divBdr>
        <w:top w:val="none" w:sz="0" w:space="0" w:color="auto"/>
        <w:left w:val="none" w:sz="0" w:space="0" w:color="auto"/>
        <w:bottom w:val="none" w:sz="0" w:space="0" w:color="auto"/>
        <w:right w:val="none" w:sz="0" w:space="0" w:color="auto"/>
      </w:divBdr>
    </w:div>
    <w:div w:id="1796025552">
      <w:marLeft w:val="0"/>
      <w:marRight w:val="0"/>
      <w:marTop w:val="0"/>
      <w:marBottom w:val="0"/>
      <w:divBdr>
        <w:top w:val="none" w:sz="0" w:space="0" w:color="auto"/>
        <w:left w:val="none" w:sz="0" w:space="0" w:color="auto"/>
        <w:bottom w:val="none" w:sz="0" w:space="0" w:color="auto"/>
        <w:right w:val="none" w:sz="0" w:space="0" w:color="auto"/>
      </w:divBdr>
    </w:div>
    <w:div w:id="1797679994">
      <w:marLeft w:val="0"/>
      <w:marRight w:val="0"/>
      <w:marTop w:val="0"/>
      <w:marBottom w:val="0"/>
      <w:divBdr>
        <w:top w:val="none" w:sz="0" w:space="0" w:color="auto"/>
        <w:left w:val="none" w:sz="0" w:space="0" w:color="auto"/>
        <w:bottom w:val="none" w:sz="0" w:space="0" w:color="auto"/>
        <w:right w:val="none" w:sz="0" w:space="0" w:color="auto"/>
      </w:divBdr>
    </w:div>
    <w:div w:id="1798183193">
      <w:marLeft w:val="0"/>
      <w:marRight w:val="0"/>
      <w:marTop w:val="0"/>
      <w:marBottom w:val="0"/>
      <w:divBdr>
        <w:top w:val="none" w:sz="0" w:space="0" w:color="auto"/>
        <w:left w:val="none" w:sz="0" w:space="0" w:color="auto"/>
        <w:bottom w:val="none" w:sz="0" w:space="0" w:color="auto"/>
        <w:right w:val="none" w:sz="0" w:space="0" w:color="auto"/>
      </w:divBdr>
    </w:div>
    <w:div w:id="1798523189">
      <w:marLeft w:val="0"/>
      <w:marRight w:val="0"/>
      <w:marTop w:val="0"/>
      <w:marBottom w:val="0"/>
      <w:divBdr>
        <w:top w:val="none" w:sz="0" w:space="0" w:color="auto"/>
        <w:left w:val="none" w:sz="0" w:space="0" w:color="auto"/>
        <w:bottom w:val="none" w:sz="0" w:space="0" w:color="auto"/>
        <w:right w:val="none" w:sz="0" w:space="0" w:color="auto"/>
      </w:divBdr>
    </w:div>
    <w:div w:id="1799570809">
      <w:marLeft w:val="0"/>
      <w:marRight w:val="0"/>
      <w:marTop w:val="0"/>
      <w:marBottom w:val="0"/>
      <w:divBdr>
        <w:top w:val="none" w:sz="0" w:space="0" w:color="auto"/>
        <w:left w:val="none" w:sz="0" w:space="0" w:color="auto"/>
        <w:bottom w:val="none" w:sz="0" w:space="0" w:color="auto"/>
        <w:right w:val="none" w:sz="0" w:space="0" w:color="auto"/>
      </w:divBdr>
    </w:div>
    <w:div w:id="1800995330">
      <w:marLeft w:val="0"/>
      <w:marRight w:val="0"/>
      <w:marTop w:val="0"/>
      <w:marBottom w:val="0"/>
      <w:divBdr>
        <w:top w:val="none" w:sz="0" w:space="0" w:color="auto"/>
        <w:left w:val="none" w:sz="0" w:space="0" w:color="auto"/>
        <w:bottom w:val="none" w:sz="0" w:space="0" w:color="auto"/>
        <w:right w:val="none" w:sz="0" w:space="0" w:color="auto"/>
      </w:divBdr>
    </w:div>
    <w:div w:id="1801879478">
      <w:marLeft w:val="0"/>
      <w:marRight w:val="0"/>
      <w:marTop w:val="0"/>
      <w:marBottom w:val="0"/>
      <w:divBdr>
        <w:top w:val="none" w:sz="0" w:space="0" w:color="auto"/>
        <w:left w:val="none" w:sz="0" w:space="0" w:color="auto"/>
        <w:bottom w:val="none" w:sz="0" w:space="0" w:color="auto"/>
        <w:right w:val="none" w:sz="0" w:space="0" w:color="auto"/>
      </w:divBdr>
    </w:div>
    <w:div w:id="1804617184">
      <w:marLeft w:val="0"/>
      <w:marRight w:val="0"/>
      <w:marTop w:val="0"/>
      <w:marBottom w:val="0"/>
      <w:divBdr>
        <w:top w:val="none" w:sz="0" w:space="0" w:color="auto"/>
        <w:left w:val="none" w:sz="0" w:space="0" w:color="auto"/>
        <w:bottom w:val="none" w:sz="0" w:space="0" w:color="auto"/>
        <w:right w:val="none" w:sz="0" w:space="0" w:color="auto"/>
      </w:divBdr>
      <w:divsChild>
        <w:div w:id="228544803">
          <w:marLeft w:val="0"/>
          <w:marRight w:val="0"/>
          <w:marTop w:val="0"/>
          <w:marBottom w:val="0"/>
          <w:divBdr>
            <w:top w:val="none" w:sz="0" w:space="0" w:color="auto"/>
            <w:left w:val="none" w:sz="0" w:space="0" w:color="auto"/>
            <w:bottom w:val="none" w:sz="0" w:space="0" w:color="auto"/>
            <w:right w:val="none" w:sz="0" w:space="0" w:color="auto"/>
          </w:divBdr>
        </w:div>
        <w:div w:id="1523201343">
          <w:marLeft w:val="0"/>
          <w:marRight w:val="0"/>
          <w:marTop w:val="0"/>
          <w:marBottom w:val="0"/>
          <w:divBdr>
            <w:top w:val="none" w:sz="0" w:space="0" w:color="auto"/>
            <w:left w:val="none" w:sz="0" w:space="0" w:color="auto"/>
            <w:bottom w:val="none" w:sz="0" w:space="0" w:color="auto"/>
            <w:right w:val="none" w:sz="0" w:space="0" w:color="auto"/>
          </w:divBdr>
        </w:div>
        <w:div w:id="1110321851">
          <w:marLeft w:val="0"/>
          <w:marRight w:val="0"/>
          <w:marTop w:val="0"/>
          <w:marBottom w:val="0"/>
          <w:divBdr>
            <w:top w:val="none" w:sz="0" w:space="0" w:color="auto"/>
            <w:left w:val="none" w:sz="0" w:space="0" w:color="auto"/>
            <w:bottom w:val="none" w:sz="0" w:space="0" w:color="auto"/>
            <w:right w:val="none" w:sz="0" w:space="0" w:color="auto"/>
          </w:divBdr>
        </w:div>
        <w:div w:id="1452047850">
          <w:marLeft w:val="0"/>
          <w:marRight w:val="0"/>
          <w:marTop w:val="0"/>
          <w:marBottom w:val="0"/>
          <w:divBdr>
            <w:top w:val="none" w:sz="0" w:space="0" w:color="auto"/>
            <w:left w:val="none" w:sz="0" w:space="0" w:color="auto"/>
            <w:bottom w:val="none" w:sz="0" w:space="0" w:color="auto"/>
            <w:right w:val="none" w:sz="0" w:space="0" w:color="auto"/>
          </w:divBdr>
        </w:div>
        <w:div w:id="943463696">
          <w:marLeft w:val="0"/>
          <w:marRight w:val="0"/>
          <w:marTop w:val="0"/>
          <w:marBottom w:val="0"/>
          <w:divBdr>
            <w:top w:val="none" w:sz="0" w:space="0" w:color="auto"/>
            <w:left w:val="none" w:sz="0" w:space="0" w:color="auto"/>
            <w:bottom w:val="none" w:sz="0" w:space="0" w:color="auto"/>
            <w:right w:val="none" w:sz="0" w:space="0" w:color="auto"/>
          </w:divBdr>
        </w:div>
        <w:div w:id="1933705978">
          <w:marLeft w:val="0"/>
          <w:marRight w:val="0"/>
          <w:marTop w:val="0"/>
          <w:marBottom w:val="0"/>
          <w:divBdr>
            <w:top w:val="none" w:sz="0" w:space="0" w:color="auto"/>
            <w:left w:val="none" w:sz="0" w:space="0" w:color="auto"/>
            <w:bottom w:val="none" w:sz="0" w:space="0" w:color="auto"/>
            <w:right w:val="none" w:sz="0" w:space="0" w:color="auto"/>
          </w:divBdr>
        </w:div>
      </w:divsChild>
    </w:div>
    <w:div w:id="1805124600">
      <w:marLeft w:val="0"/>
      <w:marRight w:val="0"/>
      <w:marTop w:val="0"/>
      <w:marBottom w:val="0"/>
      <w:divBdr>
        <w:top w:val="none" w:sz="0" w:space="0" w:color="auto"/>
        <w:left w:val="none" w:sz="0" w:space="0" w:color="auto"/>
        <w:bottom w:val="none" w:sz="0" w:space="0" w:color="auto"/>
        <w:right w:val="none" w:sz="0" w:space="0" w:color="auto"/>
      </w:divBdr>
    </w:div>
    <w:div w:id="1806310311">
      <w:marLeft w:val="0"/>
      <w:marRight w:val="0"/>
      <w:marTop w:val="0"/>
      <w:marBottom w:val="0"/>
      <w:divBdr>
        <w:top w:val="none" w:sz="0" w:space="0" w:color="auto"/>
        <w:left w:val="none" w:sz="0" w:space="0" w:color="auto"/>
        <w:bottom w:val="none" w:sz="0" w:space="0" w:color="auto"/>
        <w:right w:val="none" w:sz="0" w:space="0" w:color="auto"/>
      </w:divBdr>
    </w:div>
    <w:div w:id="1806392105">
      <w:marLeft w:val="0"/>
      <w:marRight w:val="0"/>
      <w:marTop w:val="0"/>
      <w:marBottom w:val="0"/>
      <w:divBdr>
        <w:top w:val="none" w:sz="0" w:space="0" w:color="auto"/>
        <w:left w:val="none" w:sz="0" w:space="0" w:color="auto"/>
        <w:bottom w:val="none" w:sz="0" w:space="0" w:color="auto"/>
        <w:right w:val="none" w:sz="0" w:space="0" w:color="auto"/>
      </w:divBdr>
    </w:div>
    <w:div w:id="1809319937">
      <w:marLeft w:val="0"/>
      <w:marRight w:val="0"/>
      <w:marTop w:val="0"/>
      <w:marBottom w:val="0"/>
      <w:divBdr>
        <w:top w:val="none" w:sz="0" w:space="0" w:color="auto"/>
        <w:left w:val="none" w:sz="0" w:space="0" w:color="auto"/>
        <w:bottom w:val="none" w:sz="0" w:space="0" w:color="auto"/>
        <w:right w:val="none" w:sz="0" w:space="0" w:color="auto"/>
      </w:divBdr>
    </w:div>
    <w:div w:id="1810590955">
      <w:marLeft w:val="0"/>
      <w:marRight w:val="0"/>
      <w:marTop w:val="0"/>
      <w:marBottom w:val="0"/>
      <w:divBdr>
        <w:top w:val="none" w:sz="0" w:space="0" w:color="auto"/>
        <w:left w:val="none" w:sz="0" w:space="0" w:color="auto"/>
        <w:bottom w:val="none" w:sz="0" w:space="0" w:color="auto"/>
        <w:right w:val="none" w:sz="0" w:space="0" w:color="auto"/>
      </w:divBdr>
    </w:div>
    <w:div w:id="1811242034">
      <w:marLeft w:val="0"/>
      <w:marRight w:val="0"/>
      <w:marTop w:val="0"/>
      <w:marBottom w:val="0"/>
      <w:divBdr>
        <w:top w:val="none" w:sz="0" w:space="0" w:color="auto"/>
        <w:left w:val="none" w:sz="0" w:space="0" w:color="auto"/>
        <w:bottom w:val="none" w:sz="0" w:space="0" w:color="auto"/>
        <w:right w:val="none" w:sz="0" w:space="0" w:color="auto"/>
      </w:divBdr>
      <w:divsChild>
        <w:div w:id="578487682">
          <w:marLeft w:val="0"/>
          <w:marRight w:val="0"/>
          <w:marTop w:val="0"/>
          <w:marBottom w:val="0"/>
          <w:divBdr>
            <w:top w:val="none" w:sz="0" w:space="0" w:color="auto"/>
            <w:left w:val="none" w:sz="0" w:space="0" w:color="auto"/>
            <w:bottom w:val="none" w:sz="0" w:space="0" w:color="auto"/>
            <w:right w:val="none" w:sz="0" w:space="0" w:color="auto"/>
          </w:divBdr>
        </w:div>
        <w:div w:id="1610967602">
          <w:marLeft w:val="0"/>
          <w:marRight w:val="0"/>
          <w:marTop w:val="0"/>
          <w:marBottom w:val="0"/>
          <w:divBdr>
            <w:top w:val="none" w:sz="0" w:space="0" w:color="auto"/>
            <w:left w:val="none" w:sz="0" w:space="0" w:color="auto"/>
            <w:bottom w:val="none" w:sz="0" w:space="0" w:color="auto"/>
            <w:right w:val="none" w:sz="0" w:space="0" w:color="auto"/>
          </w:divBdr>
        </w:div>
        <w:div w:id="622467121">
          <w:marLeft w:val="0"/>
          <w:marRight w:val="0"/>
          <w:marTop w:val="0"/>
          <w:marBottom w:val="0"/>
          <w:divBdr>
            <w:top w:val="none" w:sz="0" w:space="0" w:color="auto"/>
            <w:left w:val="none" w:sz="0" w:space="0" w:color="auto"/>
            <w:bottom w:val="none" w:sz="0" w:space="0" w:color="auto"/>
            <w:right w:val="none" w:sz="0" w:space="0" w:color="auto"/>
          </w:divBdr>
        </w:div>
        <w:div w:id="720710894">
          <w:marLeft w:val="0"/>
          <w:marRight w:val="0"/>
          <w:marTop w:val="0"/>
          <w:marBottom w:val="0"/>
          <w:divBdr>
            <w:top w:val="none" w:sz="0" w:space="0" w:color="auto"/>
            <w:left w:val="none" w:sz="0" w:space="0" w:color="auto"/>
            <w:bottom w:val="none" w:sz="0" w:space="0" w:color="auto"/>
            <w:right w:val="none" w:sz="0" w:space="0" w:color="auto"/>
          </w:divBdr>
        </w:div>
        <w:div w:id="1270746410">
          <w:marLeft w:val="0"/>
          <w:marRight w:val="0"/>
          <w:marTop w:val="0"/>
          <w:marBottom w:val="0"/>
          <w:divBdr>
            <w:top w:val="none" w:sz="0" w:space="0" w:color="auto"/>
            <w:left w:val="none" w:sz="0" w:space="0" w:color="auto"/>
            <w:bottom w:val="none" w:sz="0" w:space="0" w:color="auto"/>
            <w:right w:val="none" w:sz="0" w:space="0" w:color="auto"/>
          </w:divBdr>
        </w:div>
      </w:divsChild>
    </w:div>
    <w:div w:id="1811359120">
      <w:marLeft w:val="0"/>
      <w:marRight w:val="0"/>
      <w:marTop w:val="0"/>
      <w:marBottom w:val="0"/>
      <w:divBdr>
        <w:top w:val="none" w:sz="0" w:space="0" w:color="auto"/>
        <w:left w:val="none" w:sz="0" w:space="0" w:color="auto"/>
        <w:bottom w:val="none" w:sz="0" w:space="0" w:color="auto"/>
        <w:right w:val="none" w:sz="0" w:space="0" w:color="auto"/>
      </w:divBdr>
    </w:div>
    <w:div w:id="1813134432">
      <w:marLeft w:val="0"/>
      <w:marRight w:val="0"/>
      <w:marTop w:val="0"/>
      <w:marBottom w:val="0"/>
      <w:divBdr>
        <w:top w:val="none" w:sz="0" w:space="0" w:color="auto"/>
        <w:left w:val="none" w:sz="0" w:space="0" w:color="auto"/>
        <w:bottom w:val="none" w:sz="0" w:space="0" w:color="auto"/>
        <w:right w:val="none" w:sz="0" w:space="0" w:color="auto"/>
      </w:divBdr>
    </w:div>
    <w:div w:id="1814371869">
      <w:marLeft w:val="0"/>
      <w:marRight w:val="0"/>
      <w:marTop w:val="0"/>
      <w:marBottom w:val="0"/>
      <w:divBdr>
        <w:top w:val="none" w:sz="0" w:space="0" w:color="auto"/>
        <w:left w:val="none" w:sz="0" w:space="0" w:color="auto"/>
        <w:bottom w:val="none" w:sz="0" w:space="0" w:color="auto"/>
        <w:right w:val="none" w:sz="0" w:space="0" w:color="auto"/>
      </w:divBdr>
      <w:divsChild>
        <w:div w:id="2001618965">
          <w:marLeft w:val="0"/>
          <w:marRight w:val="0"/>
          <w:marTop w:val="0"/>
          <w:marBottom w:val="0"/>
          <w:divBdr>
            <w:top w:val="none" w:sz="0" w:space="0" w:color="auto"/>
            <w:left w:val="none" w:sz="0" w:space="0" w:color="auto"/>
            <w:bottom w:val="none" w:sz="0" w:space="0" w:color="auto"/>
            <w:right w:val="none" w:sz="0" w:space="0" w:color="auto"/>
          </w:divBdr>
        </w:div>
      </w:divsChild>
    </w:div>
    <w:div w:id="1817642270">
      <w:marLeft w:val="0"/>
      <w:marRight w:val="0"/>
      <w:marTop w:val="0"/>
      <w:marBottom w:val="0"/>
      <w:divBdr>
        <w:top w:val="none" w:sz="0" w:space="0" w:color="auto"/>
        <w:left w:val="none" w:sz="0" w:space="0" w:color="auto"/>
        <w:bottom w:val="none" w:sz="0" w:space="0" w:color="auto"/>
        <w:right w:val="none" w:sz="0" w:space="0" w:color="auto"/>
      </w:divBdr>
    </w:div>
    <w:div w:id="1821725965">
      <w:marLeft w:val="0"/>
      <w:marRight w:val="0"/>
      <w:marTop w:val="0"/>
      <w:marBottom w:val="0"/>
      <w:divBdr>
        <w:top w:val="none" w:sz="0" w:space="0" w:color="auto"/>
        <w:left w:val="none" w:sz="0" w:space="0" w:color="auto"/>
        <w:bottom w:val="none" w:sz="0" w:space="0" w:color="auto"/>
        <w:right w:val="none" w:sz="0" w:space="0" w:color="auto"/>
      </w:divBdr>
    </w:div>
    <w:div w:id="1822387059">
      <w:marLeft w:val="0"/>
      <w:marRight w:val="0"/>
      <w:marTop w:val="0"/>
      <w:marBottom w:val="0"/>
      <w:divBdr>
        <w:top w:val="none" w:sz="0" w:space="0" w:color="auto"/>
        <w:left w:val="none" w:sz="0" w:space="0" w:color="auto"/>
        <w:bottom w:val="none" w:sz="0" w:space="0" w:color="auto"/>
        <w:right w:val="none" w:sz="0" w:space="0" w:color="auto"/>
      </w:divBdr>
    </w:div>
    <w:div w:id="1826318692">
      <w:marLeft w:val="0"/>
      <w:marRight w:val="0"/>
      <w:marTop w:val="0"/>
      <w:marBottom w:val="0"/>
      <w:divBdr>
        <w:top w:val="none" w:sz="0" w:space="0" w:color="auto"/>
        <w:left w:val="none" w:sz="0" w:space="0" w:color="auto"/>
        <w:bottom w:val="none" w:sz="0" w:space="0" w:color="auto"/>
        <w:right w:val="none" w:sz="0" w:space="0" w:color="auto"/>
      </w:divBdr>
      <w:divsChild>
        <w:div w:id="179781035">
          <w:marLeft w:val="0"/>
          <w:marRight w:val="0"/>
          <w:marTop w:val="0"/>
          <w:marBottom w:val="0"/>
          <w:divBdr>
            <w:top w:val="none" w:sz="0" w:space="0" w:color="auto"/>
            <w:left w:val="none" w:sz="0" w:space="0" w:color="auto"/>
            <w:bottom w:val="none" w:sz="0" w:space="0" w:color="auto"/>
            <w:right w:val="none" w:sz="0" w:space="0" w:color="auto"/>
          </w:divBdr>
        </w:div>
      </w:divsChild>
    </w:div>
    <w:div w:id="1827937832">
      <w:marLeft w:val="0"/>
      <w:marRight w:val="0"/>
      <w:marTop w:val="0"/>
      <w:marBottom w:val="0"/>
      <w:divBdr>
        <w:top w:val="none" w:sz="0" w:space="0" w:color="auto"/>
        <w:left w:val="none" w:sz="0" w:space="0" w:color="auto"/>
        <w:bottom w:val="none" w:sz="0" w:space="0" w:color="auto"/>
        <w:right w:val="none" w:sz="0" w:space="0" w:color="auto"/>
      </w:divBdr>
    </w:div>
    <w:div w:id="1828551577">
      <w:marLeft w:val="0"/>
      <w:marRight w:val="0"/>
      <w:marTop w:val="0"/>
      <w:marBottom w:val="0"/>
      <w:divBdr>
        <w:top w:val="none" w:sz="0" w:space="0" w:color="auto"/>
        <w:left w:val="none" w:sz="0" w:space="0" w:color="auto"/>
        <w:bottom w:val="none" w:sz="0" w:space="0" w:color="auto"/>
        <w:right w:val="none" w:sz="0" w:space="0" w:color="auto"/>
      </w:divBdr>
    </w:div>
    <w:div w:id="1829401577">
      <w:marLeft w:val="0"/>
      <w:marRight w:val="0"/>
      <w:marTop w:val="0"/>
      <w:marBottom w:val="0"/>
      <w:divBdr>
        <w:top w:val="none" w:sz="0" w:space="0" w:color="auto"/>
        <w:left w:val="none" w:sz="0" w:space="0" w:color="auto"/>
        <w:bottom w:val="none" w:sz="0" w:space="0" w:color="auto"/>
        <w:right w:val="none" w:sz="0" w:space="0" w:color="auto"/>
      </w:divBdr>
    </w:div>
    <w:div w:id="1833984721">
      <w:marLeft w:val="0"/>
      <w:marRight w:val="0"/>
      <w:marTop w:val="0"/>
      <w:marBottom w:val="0"/>
      <w:divBdr>
        <w:top w:val="none" w:sz="0" w:space="0" w:color="auto"/>
        <w:left w:val="none" w:sz="0" w:space="0" w:color="auto"/>
        <w:bottom w:val="none" w:sz="0" w:space="0" w:color="auto"/>
        <w:right w:val="none" w:sz="0" w:space="0" w:color="auto"/>
      </w:divBdr>
    </w:div>
    <w:div w:id="1835753934">
      <w:marLeft w:val="0"/>
      <w:marRight w:val="0"/>
      <w:marTop w:val="0"/>
      <w:marBottom w:val="0"/>
      <w:divBdr>
        <w:top w:val="none" w:sz="0" w:space="0" w:color="auto"/>
        <w:left w:val="none" w:sz="0" w:space="0" w:color="auto"/>
        <w:bottom w:val="none" w:sz="0" w:space="0" w:color="auto"/>
        <w:right w:val="none" w:sz="0" w:space="0" w:color="auto"/>
      </w:divBdr>
    </w:div>
    <w:div w:id="1837724795">
      <w:marLeft w:val="0"/>
      <w:marRight w:val="0"/>
      <w:marTop w:val="0"/>
      <w:marBottom w:val="0"/>
      <w:divBdr>
        <w:top w:val="none" w:sz="0" w:space="0" w:color="auto"/>
        <w:left w:val="none" w:sz="0" w:space="0" w:color="auto"/>
        <w:bottom w:val="none" w:sz="0" w:space="0" w:color="auto"/>
        <w:right w:val="none" w:sz="0" w:space="0" w:color="auto"/>
      </w:divBdr>
    </w:div>
    <w:div w:id="1838154819">
      <w:marLeft w:val="0"/>
      <w:marRight w:val="0"/>
      <w:marTop w:val="0"/>
      <w:marBottom w:val="0"/>
      <w:divBdr>
        <w:top w:val="none" w:sz="0" w:space="0" w:color="auto"/>
        <w:left w:val="none" w:sz="0" w:space="0" w:color="auto"/>
        <w:bottom w:val="none" w:sz="0" w:space="0" w:color="auto"/>
        <w:right w:val="none" w:sz="0" w:space="0" w:color="auto"/>
      </w:divBdr>
    </w:div>
    <w:div w:id="1840458154">
      <w:marLeft w:val="0"/>
      <w:marRight w:val="0"/>
      <w:marTop w:val="0"/>
      <w:marBottom w:val="0"/>
      <w:divBdr>
        <w:top w:val="none" w:sz="0" w:space="0" w:color="auto"/>
        <w:left w:val="none" w:sz="0" w:space="0" w:color="auto"/>
        <w:bottom w:val="none" w:sz="0" w:space="0" w:color="auto"/>
        <w:right w:val="none" w:sz="0" w:space="0" w:color="auto"/>
      </w:divBdr>
    </w:div>
    <w:div w:id="1840655900">
      <w:marLeft w:val="0"/>
      <w:marRight w:val="0"/>
      <w:marTop w:val="0"/>
      <w:marBottom w:val="0"/>
      <w:divBdr>
        <w:top w:val="none" w:sz="0" w:space="0" w:color="auto"/>
        <w:left w:val="none" w:sz="0" w:space="0" w:color="auto"/>
        <w:bottom w:val="none" w:sz="0" w:space="0" w:color="auto"/>
        <w:right w:val="none" w:sz="0" w:space="0" w:color="auto"/>
      </w:divBdr>
      <w:divsChild>
        <w:div w:id="1902711712">
          <w:marLeft w:val="0"/>
          <w:marRight w:val="0"/>
          <w:marTop w:val="0"/>
          <w:marBottom w:val="0"/>
          <w:divBdr>
            <w:top w:val="none" w:sz="0" w:space="0" w:color="auto"/>
            <w:left w:val="none" w:sz="0" w:space="0" w:color="auto"/>
            <w:bottom w:val="none" w:sz="0" w:space="0" w:color="auto"/>
            <w:right w:val="none" w:sz="0" w:space="0" w:color="auto"/>
          </w:divBdr>
        </w:div>
      </w:divsChild>
    </w:div>
    <w:div w:id="1843616360">
      <w:marLeft w:val="0"/>
      <w:marRight w:val="0"/>
      <w:marTop w:val="0"/>
      <w:marBottom w:val="0"/>
      <w:divBdr>
        <w:top w:val="none" w:sz="0" w:space="0" w:color="auto"/>
        <w:left w:val="none" w:sz="0" w:space="0" w:color="auto"/>
        <w:bottom w:val="none" w:sz="0" w:space="0" w:color="auto"/>
        <w:right w:val="none" w:sz="0" w:space="0" w:color="auto"/>
      </w:divBdr>
    </w:div>
    <w:div w:id="1844272290">
      <w:marLeft w:val="0"/>
      <w:marRight w:val="0"/>
      <w:marTop w:val="0"/>
      <w:marBottom w:val="0"/>
      <w:divBdr>
        <w:top w:val="none" w:sz="0" w:space="0" w:color="auto"/>
        <w:left w:val="none" w:sz="0" w:space="0" w:color="auto"/>
        <w:bottom w:val="none" w:sz="0" w:space="0" w:color="auto"/>
        <w:right w:val="none" w:sz="0" w:space="0" w:color="auto"/>
      </w:divBdr>
    </w:div>
    <w:div w:id="1845245716">
      <w:marLeft w:val="0"/>
      <w:marRight w:val="0"/>
      <w:marTop w:val="0"/>
      <w:marBottom w:val="0"/>
      <w:divBdr>
        <w:top w:val="none" w:sz="0" w:space="0" w:color="auto"/>
        <w:left w:val="none" w:sz="0" w:space="0" w:color="auto"/>
        <w:bottom w:val="none" w:sz="0" w:space="0" w:color="auto"/>
        <w:right w:val="none" w:sz="0" w:space="0" w:color="auto"/>
      </w:divBdr>
    </w:div>
    <w:div w:id="1846431030">
      <w:marLeft w:val="0"/>
      <w:marRight w:val="0"/>
      <w:marTop w:val="0"/>
      <w:marBottom w:val="0"/>
      <w:divBdr>
        <w:top w:val="none" w:sz="0" w:space="0" w:color="auto"/>
        <w:left w:val="none" w:sz="0" w:space="0" w:color="auto"/>
        <w:bottom w:val="none" w:sz="0" w:space="0" w:color="auto"/>
        <w:right w:val="none" w:sz="0" w:space="0" w:color="auto"/>
      </w:divBdr>
    </w:div>
    <w:div w:id="1849249976">
      <w:marLeft w:val="0"/>
      <w:marRight w:val="0"/>
      <w:marTop w:val="0"/>
      <w:marBottom w:val="0"/>
      <w:divBdr>
        <w:top w:val="none" w:sz="0" w:space="0" w:color="auto"/>
        <w:left w:val="none" w:sz="0" w:space="0" w:color="auto"/>
        <w:bottom w:val="none" w:sz="0" w:space="0" w:color="auto"/>
        <w:right w:val="none" w:sz="0" w:space="0" w:color="auto"/>
      </w:divBdr>
      <w:divsChild>
        <w:div w:id="1467312336">
          <w:marLeft w:val="0"/>
          <w:marRight w:val="0"/>
          <w:marTop w:val="0"/>
          <w:marBottom w:val="0"/>
          <w:divBdr>
            <w:top w:val="none" w:sz="0" w:space="0" w:color="auto"/>
            <w:left w:val="none" w:sz="0" w:space="0" w:color="auto"/>
            <w:bottom w:val="none" w:sz="0" w:space="0" w:color="auto"/>
            <w:right w:val="none" w:sz="0" w:space="0" w:color="auto"/>
          </w:divBdr>
        </w:div>
        <w:div w:id="326396920">
          <w:marLeft w:val="0"/>
          <w:marRight w:val="0"/>
          <w:marTop w:val="0"/>
          <w:marBottom w:val="0"/>
          <w:divBdr>
            <w:top w:val="none" w:sz="0" w:space="0" w:color="auto"/>
            <w:left w:val="none" w:sz="0" w:space="0" w:color="auto"/>
            <w:bottom w:val="none" w:sz="0" w:space="0" w:color="auto"/>
            <w:right w:val="none" w:sz="0" w:space="0" w:color="auto"/>
          </w:divBdr>
        </w:div>
      </w:divsChild>
    </w:div>
    <w:div w:id="1853716702">
      <w:marLeft w:val="0"/>
      <w:marRight w:val="0"/>
      <w:marTop w:val="0"/>
      <w:marBottom w:val="0"/>
      <w:divBdr>
        <w:top w:val="none" w:sz="0" w:space="0" w:color="auto"/>
        <w:left w:val="none" w:sz="0" w:space="0" w:color="auto"/>
        <w:bottom w:val="none" w:sz="0" w:space="0" w:color="auto"/>
        <w:right w:val="none" w:sz="0" w:space="0" w:color="auto"/>
      </w:divBdr>
    </w:div>
    <w:div w:id="1854294470">
      <w:marLeft w:val="0"/>
      <w:marRight w:val="0"/>
      <w:marTop w:val="0"/>
      <w:marBottom w:val="0"/>
      <w:divBdr>
        <w:top w:val="none" w:sz="0" w:space="0" w:color="auto"/>
        <w:left w:val="none" w:sz="0" w:space="0" w:color="auto"/>
        <w:bottom w:val="none" w:sz="0" w:space="0" w:color="auto"/>
        <w:right w:val="none" w:sz="0" w:space="0" w:color="auto"/>
      </w:divBdr>
    </w:div>
    <w:div w:id="1857695285">
      <w:marLeft w:val="0"/>
      <w:marRight w:val="0"/>
      <w:marTop w:val="0"/>
      <w:marBottom w:val="0"/>
      <w:divBdr>
        <w:top w:val="none" w:sz="0" w:space="0" w:color="auto"/>
        <w:left w:val="none" w:sz="0" w:space="0" w:color="auto"/>
        <w:bottom w:val="none" w:sz="0" w:space="0" w:color="auto"/>
        <w:right w:val="none" w:sz="0" w:space="0" w:color="auto"/>
      </w:divBdr>
    </w:div>
    <w:div w:id="1859538078">
      <w:marLeft w:val="0"/>
      <w:marRight w:val="0"/>
      <w:marTop w:val="0"/>
      <w:marBottom w:val="0"/>
      <w:divBdr>
        <w:top w:val="none" w:sz="0" w:space="0" w:color="auto"/>
        <w:left w:val="none" w:sz="0" w:space="0" w:color="auto"/>
        <w:bottom w:val="none" w:sz="0" w:space="0" w:color="auto"/>
        <w:right w:val="none" w:sz="0" w:space="0" w:color="auto"/>
      </w:divBdr>
    </w:div>
    <w:div w:id="1860465181">
      <w:marLeft w:val="0"/>
      <w:marRight w:val="0"/>
      <w:marTop w:val="0"/>
      <w:marBottom w:val="0"/>
      <w:divBdr>
        <w:top w:val="none" w:sz="0" w:space="0" w:color="auto"/>
        <w:left w:val="none" w:sz="0" w:space="0" w:color="auto"/>
        <w:bottom w:val="none" w:sz="0" w:space="0" w:color="auto"/>
        <w:right w:val="none" w:sz="0" w:space="0" w:color="auto"/>
      </w:divBdr>
    </w:div>
    <w:div w:id="1863589448">
      <w:marLeft w:val="0"/>
      <w:marRight w:val="0"/>
      <w:marTop w:val="0"/>
      <w:marBottom w:val="0"/>
      <w:divBdr>
        <w:top w:val="none" w:sz="0" w:space="0" w:color="auto"/>
        <w:left w:val="none" w:sz="0" w:space="0" w:color="auto"/>
        <w:bottom w:val="none" w:sz="0" w:space="0" w:color="auto"/>
        <w:right w:val="none" w:sz="0" w:space="0" w:color="auto"/>
      </w:divBdr>
    </w:div>
    <w:div w:id="1866746811">
      <w:marLeft w:val="0"/>
      <w:marRight w:val="0"/>
      <w:marTop w:val="0"/>
      <w:marBottom w:val="0"/>
      <w:divBdr>
        <w:top w:val="none" w:sz="0" w:space="0" w:color="auto"/>
        <w:left w:val="none" w:sz="0" w:space="0" w:color="auto"/>
        <w:bottom w:val="none" w:sz="0" w:space="0" w:color="auto"/>
        <w:right w:val="none" w:sz="0" w:space="0" w:color="auto"/>
      </w:divBdr>
    </w:div>
    <w:div w:id="1866937826">
      <w:marLeft w:val="0"/>
      <w:marRight w:val="0"/>
      <w:marTop w:val="0"/>
      <w:marBottom w:val="0"/>
      <w:divBdr>
        <w:top w:val="none" w:sz="0" w:space="0" w:color="auto"/>
        <w:left w:val="none" w:sz="0" w:space="0" w:color="auto"/>
        <w:bottom w:val="none" w:sz="0" w:space="0" w:color="auto"/>
        <w:right w:val="none" w:sz="0" w:space="0" w:color="auto"/>
      </w:divBdr>
    </w:div>
    <w:div w:id="1869181418">
      <w:marLeft w:val="0"/>
      <w:marRight w:val="0"/>
      <w:marTop w:val="0"/>
      <w:marBottom w:val="0"/>
      <w:divBdr>
        <w:top w:val="none" w:sz="0" w:space="0" w:color="auto"/>
        <w:left w:val="none" w:sz="0" w:space="0" w:color="auto"/>
        <w:bottom w:val="none" w:sz="0" w:space="0" w:color="auto"/>
        <w:right w:val="none" w:sz="0" w:space="0" w:color="auto"/>
      </w:divBdr>
    </w:div>
    <w:div w:id="1874224489">
      <w:marLeft w:val="0"/>
      <w:marRight w:val="0"/>
      <w:marTop w:val="0"/>
      <w:marBottom w:val="0"/>
      <w:divBdr>
        <w:top w:val="none" w:sz="0" w:space="0" w:color="auto"/>
        <w:left w:val="none" w:sz="0" w:space="0" w:color="auto"/>
        <w:bottom w:val="none" w:sz="0" w:space="0" w:color="auto"/>
        <w:right w:val="none" w:sz="0" w:space="0" w:color="auto"/>
      </w:divBdr>
    </w:div>
    <w:div w:id="1874657791">
      <w:marLeft w:val="0"/>
      <w:marRight w:val="0"/>
      <w:marTop w:val="0"/>
      <w:marBottom w:val="0"/>
      <w:divBdr>
        <w:top w:val="none" w:sz="0" w:space="0" w:color="auto"/>
        <w:left w:val="none" w:sz="0" w:space="0" w:color="auto"/>
        <w:bottom w:val="none" w:sz="0" w:space="0" w:color="auto"/>
        <w:right w:val="none" w:sz="0" w:space="0" w:color="auto"/>
      </w:divBdr>
    </w:div>
    <w:div w:id="1875387160">
      <w:marLeft w:val="0"/>
      <w:marRight w:val="0"/>
      <w:marTop w:val="0"/>
      <w:marBottom w:val="0"/>
      <w:divBdr>
        <w:top w:val="none" w:sz="0" w:space="0" w:color="auto"/>
        <w:left w:val="none" w:sz="0" w:space="0" w:color="auto"/>
        <w:bottom w:val="none" w:sz="0" w:space="0" w:color="auto"/>
        <w:right w:val="none" w:sz="0" w:space="0" w:color="auto"/>
      </w:divBdr>
    </w:div>
    <w:div w:id="1877810387">
      <w:marLeft w:val="0"/>
      <w:marRight w:val="0"/>
      <w:marTop w:val="0"/>
      <w:marBottom w:val="0"/>
      <w:divBdr>
        <w:top w:val="none" w:sz="0" w:space="0" w:color="auto"/>
        <w:left w:val="none" w:sz="0" w:space="0" w:color="auto"/>
        <w:bottom w:val="none" w:sz="0" w:space="0" w:color="auto"/>
        <w:right w:val="none" w:sz="0" w:space="0" w:color="auto"/>
      </w:divBdr>
    </w:div>
    <w:div w:id="1880435464">
      <w:marLeft w:val="0"/>
      <w:marRight w:val="0"/>
      <w:marTop w:val="0"/>
      <w:marBottom w:val="0"/>
      <w:divBdr>
        <w:top w:val="none" w:sz="0" w:space="0" w:color="auto"/>
        <w:left w:val="none" w:sz="0" w:space="0" w:color="auto"/>
        <w:bottom w:val="none" w:sz="0" w:space="0" w:color="auto"/>
        <w:right w:val="none" w:sz="0" w:space="0" w:color="auto"/>
      </w:divBdr>
    </w:div>
    <w:div w:id="1882012257">
      <w:marLeft w:val="0"/>
      <w:marRight w:val="0"/>
      <w:marTop w:val="0"/>
      <w:marBottom w:val="0"/>
      <w:divBdr>
        <w:top w:val="none" w:sz="0" w:space="0" w:color="auto"/>
        <w:left w:val="none" w:sz="0" w:space="0" w:color="auto"/>
        <w:bottom w:val="none" w:sz="0" w:space="0" w:color="auto"/>
        <w:right w:val="none" w:sz="0" w:space="0" w:color="auto"/>
      </w:divBdr>
    </w:div>
    <w:div w:id="1883394558">
      <w:marLeft w:val="0"/>
      <w:marRight w:val="0"/>
      <w:marTop w:val="0"/>
      <w:marBottom w:val="0"/>
      <w:divBdr>
        <w:top w:val="none" w:sz="0" w:space="0" w:color="auto"/>
        <w:left w:val="none" w:sz="0" w:space="0" w:color="auto"/>
        <w:bottom w:val="none" w:sz="0" w:space="0" w:color="auto"/>
        <w:right w:val="none" w:sz="0" w:space="0" w:color="auto"/>
      </w:divBdr>
      <w:divsChild>
        <w:div w:id="1786534854">
          <w:marLeft w:val="0"/>
          <w:marRight w:val="0"/>
          <w:marTop w:val="0"/>
          <w:marBottom w:val="0"/>
          <w:divBdr>
            <w:top w:val="none" w:sz="0" w:space="0" w:color="auto"/>
            <w:left w:val="none" w:sz="0" w:space="0" w:color="auto"/>
            <w:bottom w:val="none" w:sz="0" w:space="0" w:color="auto"/>
            <w:right w:val="none" w:sz="0" w:space="0" w:color="auto"/>
          </w:divBdr>
        </w:div>
      </w:divsChild>
    </w:div>
    <w:div w:id="1883440568">
      <w:marLeft w:val="0"/>
      <w:marRight w:val="0"/>
      <w:marTop w:val="0"/>
      <w:marBottom w:val="0"/>
      <w:divBdr>
        <w:top w:val="none" w:sz="0" w:space="0" w:color="auto"/>
        <w:left w:val="none" w:sz="0" w:space="0" w:color="auto"/>
        <w:bottom w:val="none" w:sz="0" w:space="0" w:color="auto"/>
        <w:right w:val="none" w:sz="0" w:space="0" w:color="auto"/>
      </w:divBdr>
      <w:divsChild>
        <w:div w:id="1380277504">
          <w:marLeft w:val="0"/>
          <w:marRight w:val="0"/>
          <w:marTop w:val="0"/>
          <w:marBottom w:val="0"/>
          <w:divBdr>
            <w:top w:val="none" w:sz="0" w:space="0" w:color="auto"/>
            <w:left w:val="none" w:sz="0" w:space="0" w:color="auto"/>
            <w:bottom w:val="none" w:sz="0" w:space="0" w:color="auto"/>
            <w:right w:val="none" w:sz="0" w:space="0" w:color="auto"/>
          </w:divBdr>
        </w:div>
      </w:divsChild>
    </w:div>
    <w:div w:id="1886016416">
      <w:marLeft w:val="0"/>
      <w:marRight w:val="0"/>
      <w:marTop w:val="0"/>
      <w:marBottom w:val="0"/>
      <w:divBdr>
        <w:top w:val="none" w:sz="0" w:space="0" w:color="auto"/>
        <w:left w:val="none" w:sz="0" w:space="0" w:color="auto"/>
        <w:bottom w:val="none" w:sz="0" w:space="0" w:color="auto"/>
        <w:right w:val="none" w:sz="0" w:space="0" w:color="auto"/>
      </w:divBdr>
    </w:div>
    <w:div w:id="1888836802">
      <w:marLeft w:val="0"/>
      <w:marRight w:val="0"/>
      <w:marTop w:val="0"/>
      <w:marBottom w:val="0"/>
      <w:divBdr>
        <w:top w:val="none" w:sz="0" w:space="0" w:color="auto"/>
        <w:left w:val="none" w:sz="0" w:space="0" w:color="auto"/>
        <w:bottom w:val="none" w:sz="0" w:space="0" w:color="auto"/>
        <w:right w:val="none" w:sz="0" w:space="0" w:color="auto"/>
      </w:divBdr>
    </w:div>
    <w:div w:id="1889487854">
      <w:marLeft w:val="0"/>
      <w:marRight w:val="0"/>
      <w:marTop w:val="0"/>
      <w:marBottom w:val="0"/>
      <w:divBdr>
        <w:top w:val="none" w:sz="0" w:space="0" w:color="auto"/>
        <w:left w:val="none" w:sz="0" w:space="0" w:color="auto"/>
        <w:bottom w:val="none" w:sz="0" w:space="0" w:color="auto"/>
        <w:right w:val="none" w:sz="0" w:space="0" w:color="auto"/>
      </w:divBdr>
    </w:div>
    <w:div w:id="1890603329">
      <w:marLeft w:val="0"/>
      <w:marRight w:val="0"/>
      <w:marTop w:val="0"/>
      <w:marBottom w:val="0"/>
      <w:divBdr>
        <w:top w:val="none" w:sz="0" w:space="0" w:color="auto"/>
        <w:left w:val="none" w:sz="0" w:space="0" w:color="auto"/>
        <w:bottom w:val="none" w:sz="0" w:space="0" w:color="auto"/>
        <w:right w:val="none" w:sz="0" w:space="0" w:color="auto"/>
      </w:divBdr>
    </w:div>
    <w:div w:id="1890993936">
      <w:marLeft w:val="0"/>
      <w:marRight w:val="0"/>
      <w:marTop w:val="0"/>
      <w:marBottom w:val="0"/>
      <w:divBdr>
        <w:top w:val="none" w:sz="0" w:space="0" w:color="auto"/>
        <w:left w:val="none" w:sz="0" w:space="0" w:color="auto"/>
        <w:bottom w:val="none" w:sz="0" w:space="0" w:color="auto"/>
        <w:right w:val="none" w:sz="0" w:space="0" w:color="auto"/>
      </w:divBdr>
    </w:div>
    <w:div w:id="1895045014">
      <w:marLeft w:val="0"/>
      <w:marRight w:val="0"/>
      <w:marTop w:val="0"/>
      <w:marBottom w:val="0"/>
      <w:divBdr>
        <w:top w:val="none" w:sz="0" w:space="0" w:color="auto"/>
        <w:left w:val="none" w:sz="0" w:space="0" w:color="auto"/>
        <w:bottom w:val="none" w:sz="0" w:space="0" w:color="auto"/>
        <w:right w:val="none" w:sz="0" w:space="0" w:color="auto"/>
      </w:divBdr>
    </w:div>
    <w:div w:id="1897743053">
      <w:marLeft w:val="0"/>
      <w:marRight w:val="0"/>
      <w:marTop w:val="0"/>
      <w:marBottom w:val="0"/>
      <w:divBdr>
        <w:top w:val="none" w:sz="0" w:space="0" w:color="auto"/>
        <w:left w:val="none" w:sz="0" w:space="0" w:color="auto"/>
        <w:bottom w:val="none" w:sz="0" w:space="0" w:color="auto"/>
        <w:right w:val="none" w:sz="0" w:space="0" w:color="auto"/>
      </w:divBdr>
    </w:div>
    <w:div w:id="1898128417">
      <w:marLeft w:val="0"/>
      <w:marRight w:val="0"/>
      <w:marTop w:val="0"/>
      <w:marBottom w:val="0"/>
      <w:divBdr>
        <w:top w:val="none" w:sz="0" w:space="0" w:color="auto"/>
        <w:left w:val="none" w:sz="0" w:space="0" w:color="auto"/>
        <w:bottom w:val="none" w:sz="0" w:space="0" w:color="auto"/>
        <w:right w:val="none" w:sz="0" w:space="0" w:color="auto"/>
      </w:divBdr>
    </w:div>
    <w:div w:id="1898274854">
      <w:marLeft w:val="0"/>
      <w:marRight w:val="0"/>
      <w:marTop w:val="0"/>
      <w:marBottom w:val="0"/>
      <w:divBdr>
        <w:top w:val="none" w:sz="0" w:space="0" w:color="auto"/>
        <w:left w:val="none" w:sz="0" w:space="0" w:color="auto"/>
        <w:bottom w:val="none" w:sz="0" w:space="0" w:color="auto"/>
        <w:right w:val="none" w:sz="0" w:space="0" w:color="auto"/>
      </w:divBdr>
    </w:div>
    <w:div w:id="1899585283">
      <w:marLeft w:val="0"/>
      <w:marRight w:val="0"/>
      <w:marTop w:val="0"/>
      <w:marBottom w:val="0"/>
      <w:divBdr>
        <w:top w:val="none" w:sz="0" w:space="0" w:color="auto"/>
        <w:left w:val="none" w:sz="0" w:space="0" w:color="auto"/>
        <w:bottom w:val="none" w:sz="0" w:space="0" w:color="auto"/>
        <w:right w:val="none" w:sz="0" w:space="0" w:color="auto"/>
      </w:divBdr>
    </w:div>
    <w:div w:id="1901550761">
      <w:marLeft w:val="0"/>
      <w:marRight w:val="0"/>
      <w:marTop w:val="0"/>
      <w:marBottom w:val="0"/>
      <w:divBdr>
        <w:top w:val="none" w:sz="0" w:space="0" w:color="auto"/>
        <w:left w:val="none" w:sz="0" w:space="0" w:color="auto"/>
        <w:bottom w:val="none" w:sz="0" w:space="0" w:color="auto"/>
        <w:right w:val="none" w:sz="0" w:space="0" w:color="auto"/>
      </w:divBdr>
      <w:divsChild>
        <w:div w:id="947540232">
          <w:marLeft w:val="0"/>
          <w:marRight w:val="0"/>
          <w:marTop w:val="0"/>
          <w:marBottom w:val="0"/>
          <w:divBdr>
            <w:top w:val="none" w:sz="0" w:space="0" w:color="auto"/>
            <w:left w:val="none" w:sz="0" w:space="0" w:color="auto"/>
            <w:bottom w:val="none" w:sz="0" w:space="0" w:color="auto"/>
            <w:right w:val="none" w:sz="0" w:space="0" w:color="auto"/>
          </w:divBdr>
        </w:div>
        <w:div w:id="979647575">
          <w:marLeft w:val="0"/>
          <w:marRight w:val="0"/>
          <w:marTop w:val="0"/>
          <w:marBottom w:val="0"/>
          <w:divBdr>
            <w:top w:val="none" w:sz="0" w:space="0" w:color="auto"/>
            <w:left w:val="none" w:sz="0" w:space="0" w:color="auto"/>
            <w:bottom w:val="none" w:sz="0" w:space="0" w:color="auto"/>
            <w:right w:val="none" w:sz="0" w:space="0" w:color="auto"/>
          </w:divBdr>
        </w:div>
        <w:div w:id="1989167960">
          <w:marLeft w:val="0"/>
          <w:marRight w:val="0"/>
          <w:marTop w:val="0"/>
          <w:marBottom w:val="0"/>
          <w:divBdr>
            <w:top w:val="none" w:sz="0" w:space="0" w:color="auto"/>
            <w:left w:val="none" w:sz="0" w:space="0" w:color="auto"/>
            <w:bottom w:val="none" w:sz="0" w:space="0" w:color="auto"/>
            <w:right w:val="none" w:sz="0" w:space="0" w:color="auto"/>
          </w:divBdr>
        </w:div>
        <w:div w:id="164513965">
          <w:marLeft w:val="0"/>
          <w:marRight w:val="0"/>
          <w:marTop w:val="0"/>
          <w:marBottom w:val="0"/>
          <w:divBdr>
            <w:top w:val="none" w:sz="0" w:space="0" w:color="auto"/>
            <w:left w:val="none" w:sz="0" w:space="0" w:color="auto"/>
            <w:bottom w:val="none" w:sz="0" w:space="0" w:color="auto"/>
            <w:right w:val="none" w:sz="0" w:space="0" w:color="auto"/>
          </w:divBdr>
        </w:div>
        <w:div w:id="547574195">
          <w:marLeft w:val="0"/>
          <w:marRight w:val="0"/>
          <w:marTop w:val="0"/>
          <w:marBottom w:val="0"/>
          <w:divBdr>
            <w:top w:val="none" w:sz="0" w:space="0" w:color="auto"/>
            <w:left w:val="none" w:sz="0" w:space="0" w:color="auto"/>
            <w:bottom w:val="none" w:sz="0" w:space="0" w:color="auto"/>
            <w:right w:val="none" w:sz="0" w:space="0" w:color="auto"/>
          </w:divBdr>
        </w:div>
        <w:div w:id="1825581871">
          <w:marLeft w:val="0"/>
          <w:marRight w:val="0"/>
          <w:marTop w:val="0"/>
          <w:marBottom w:val="0"/>
          <w:divBdr>
            <w:top w:val="none" w:sz="0" w:space="0" w:color="auto"/>
            <w:left w:val="none" w:sz="0" w:space="0" w:color="auto"/>
            <w:bottom w:val="none" w:sz="0" w:space="0" w:color="auto"/>
            <w:right w:val="none" w:sz="0" w:space="0" w:color="auto"/>
          </w:divBdr>
        </w:div>
        <w:div w:id="1010916426">
          <w:marLeft w:val="0"/>
          <w:marRight w:val="0"/>
          <w:marTop w:val="0"/>
          <w:marBottom w:val="0"/>
          <w:divBdr>
            <w:top w:val="none" w:sz="0" w:space="0" w:color="auto"/>
            <w:left w:val="none" w:sz="0" w:space="0" w:color="auto"/>
            <w:bottom w:val="none" w:sz="0" w:space="0" w:color="auto"/>
            <w:right w:val="none" w:sz="0" w:space="0" w:color="auto"/>
          </w:divBdr>
        </w:div>
      </w:divsChild>
    </w:div>
    <w:div w:id="1902862087">
      <w:marLeft w:val="0"/>
      <w:marRight w:val="0"/>
      <w:marTop w:val="0"/>
      <w:marBottom w:val="0"/>
      <w:divBdr>
        <w:top w:val="none" w:sz="0" w:space="0" w:color="auto"/>
        <w:left w:val="none" w:sz="0" w:space="0" w:color="auto"/>
        <w:bottom w:val="none" w:sz="0" w:space="0" w:color="auto"/>
        <w:right w:val="none" w:sz="0" w:space="0" w:color="auto"/>
      </w:divBdr>
    </w:div>
    <w:div w:id="1902904799">
      <w:marLeft w:val="0"/>
      <w:marRight w:val="0"/>
      <w:marTop w:val="0"/>
      <w:marBottom w:val="0"/>
      <w:divBdr>
        <w:top w:val="none" w:sz="0" w:space="0" w:color="auto"/>
        <w:left w:val="none" w:sz="0" w:space="0" w:color="auto"/>
        <w:bottom w:val="none" w:sz="0" w:space="0" w:color="auto"/>
        <w:right w:val="none" w:sz="0" w:space="0" w:color="auto"/>
      </w:divBdr>
      <w:divsChild>
        <w:div w:id="2112818613">
          <w:marLeft w:val="0"/>
          <w:marRight w:val="0"/>
          <w:marTop w:val="0"/>
          <w:marBottom w:val="0"/>
          <w:divBdr>
            <w:top w:val="none" w:sz="0" w:space="0" w:color="auto"/>
            <w:left w:val="none" w:sz="0" w:space="0" w:color="auto"/>
            <w:bottom w:val="none" w:sz="0" w:space="0" w:color="auto"/>
            <w:right w:val="none" w:sz="0" w:space="0" w:color="auto"/>
          </w:divBdr>
        </w:div>
      </w:divsChild>
    </w:div>
    <w:div w:id="1904754834">
      <w:marLeft w:val="0"/>
      <w:marRight w:val="0"/>
      <w:marTop w:val="0"/>
      <w:marBottom w:val="0"/>
      <w:divBdr>
        <w:top w:val="none" w:sz="0" w:space="0" w:color="auto"/>
        <w:left w:val="none" w:sz="0" w:space="0" w:color="auto"/>
        <w:bottom w:val="none" w:sz="0" w:space="0" w:color="auto"/>
        <w:right w:val="none" w:sz="0" w:space="0" w:color="auto"/>
      </w:divBdr>
    </w:div>
    <w:div w:id="1908882179">
      <w:marLeft w:val="0"/>
      <w:marRight w:val="0"/>
      <w:marTop w:val="0"/>
      <w:marBottom w:val="0"/>
      <w:divBdr>
        <w:top w:val="none" w:sz="0" w:space="0" w:color="auto"/>
        <w:left w:val="none" w:sz="0" w:space="0" w:color="auto"/>
        <w:bottom w:val="none" w:sz="0" w:space="0" w:color="auto"/>
        <w:right w:val="none" w:sz="0" w:space="0" w:color="auto"/>
      </w:divBdr>
    </w:div>
    <w:div w:id="1909533363">
      <w:marLeft w:val="0"/>
      <w:marRight w:val="0"/>
      <w:marTop w:val="0"/>
      <w:marBottom w:val="0"/>
      <w:divBdr>
        <w:top w:val="none" w:sz="0" w:space="0" w:color="auto"/>
        <w:left w:val="none" w:sz="0" w:space="0" w:color="auto"/>
        <w:bottom w:val="none" w:sz="0" w:space="0" w:color="auto"/>
        <w:right w:val="none" w:sz="0" w:space="0" w:color="auto"/>
      </w:divBdr>
    </w:div>
    <w:div w:id="1911890326">
      <w:marLeft w:val="0"/>
      <w:marRight w:val="0"/>
      <w:marTop w:val="0"/>
      <w:marBottom w:val="0"/>
      <w:divBdr>
        <w:top w:val="none" w:sz="0" w:space="0" w:color="auto"/>
        <w:left w:val="none" w:sz="0" w:space="0" w:color="auto"/>
        <w:bottom w:val="none" w:sz="0" w:space="0" w:color="auto"/>
        <w:right w:val="none" w:sz="0" w:space="0" w:color="auto"/>
      </w:divBdr>
    </w:div>
    <w:div w:id="1916359745">
      <w:marLeft w:val="0"/>
      <w:marRight w:val="0"/>
      <w:marTop w:val="0"/>
      <w:marBottom w:val="0"/>
      <w:divBdr>
        <w:top w:val="none" w:sz="0" w:space="0" w:color="auto"/>
        <w:left w:val="none" w:sz="0" w:space="0" w:color="auto"/>
        <w:bottom w:val="none" w:sz="0" w:space="0" w:color="auto"/>
        <w:right w:val="none" w:sz="0" w:space="0" w:color="auto"/>
      </w:divBdr>
    </w:div>
    <w:div w:id="1917589043">
      <w:marLeft w:val="0"/>
      <w:marRight w:val="0"/>
      <w:marTop w:val="0"/>
      <w:marBottom w:val="0"/>
      <w:divBdr>
        <w:top w:val="none" w:sz="0" w:space="0" w:color="auto"/>
        <w:left w:val="none" w:sz="0" w:space="0" w:color="auto"/>
        <w:bottom w:val="none" w:sz="0" w:space="0" w:color="auto"/>
        <w:right w:val="none" w:sz="0" w:space="0" w:color="auto"/>
      </w:divBdr>
    </w:div>
    <w:div w:id="1918662556">
      <w:marLeft w:val="0"/>
      <w:marRight w:val="0"/>
      <w:marTop w:val="0"/>
      <w:marBottom w:val="0"/>
      <w:divBdr>
        <w:top w:val="none" w:sz="0" w:space="0" w:color="auto"/>
        <w:left w:val="none" w:sz="0" w:space="0" w:color="auto"/>
        <w:bottom w:val="none" w:sz="0" w:space="0" w:color="auto"/>
        <w:right w:val="none" w:sz="0" w:space="0" w:color="auto"/>
      </w:divBdr>
    </w:div>
    <w:div w:id="1918858270">
      <w:marLeft w:val="0"/>
      <w:marRight w:val="0"/>
      <w:marTop w:val="0"/>
      <w:marBottom w:val="0"/>
      <w:divBdr>
        <w:top w:val="none" w:sz="0" w:space="0" w:color="auto"/>
        <w:left w:val="none" w:sz="0" w:space="0" w:color="auto"/>
        <w:bottom w:val="none" w:sz="0" w:space="0" w:color="auto"/>
        <w:right w:val="none" w:sz="0" w:space="0" w:color="auto"/>
      </w:divBdr>
    </w:div>
    <w:div w:id="1920678017">
      <w:marLeft w:val="0"/>
      <w:marRight w:val="0"/>
      <w:marTop w:val="0"/>
      <w:marBottom w:val="0"/>
      <w:divBdr>
        <w:top w:val="none" w:sz="0" w:space="0" w:color="auto"/>
        <w:left w:val="none" w:sz="0" w:space="0" w:color="auto"/>
        <w:bottom w:val="none" w:sz="0" w:space="0" w:color="auto"/>
        <w:right w:val="none" w:sz="0" w:space="0" w:color="auto"/>
      </w:divBdr>
    </w:div>
    <w:div w:id="1921712162">
      <w:marLeft w:val="0"/>
      <w:marRight w:val="0"/>
      <w:marTop w:val="0"/>
      <w:marBottom w:val="0"/>
      <w:divBdr>
        <w:top w:val="none" w:sz="0" w:space="0" w:color="auto"/>
        <w:left w:val="none" w:sz="0" w:space="0" w:color="auto"/>
        <w:bottom w:val="none" w:sz="0" w:space="0" w:color="auto"/>
        <w:right w:val="none" w:sz="0" w:space="0" w:color="auto"/>
      </w:divBdr>
    </w:div>
    <w:div w:id="1925872585">
      <w:marLeft w:val="0"/>
      <w:marRight w:val="0"/>
      <w:marTop w:val="0"/>
      <w:marBottom w:val="0"/>
      <w:divBdr>
        <w:top w:val="none" w:sz="0" w:space="0" w:color="auto"/>
        <w:left w:val="none" w:sz="0" w:space="0" w:color="auto"/>
        <w:bottom w:val="none" w:sz="0" w:space="0" w:color="auto"/>
        <w:right w:val="none" w:sz="0" w:space="0" w:color="auto"/>
      </w:divBdr>
    </w:div>
    <w:div w:id="1928730980">
      <w:marLeft w:val="0"/>
      <w:marRight w:val="0"/>
      <w:marTop w:val="0"/>
      <w:marBottom w:val="0"/>
      <w:divBdr>
        <w:top w:val="none" w:sz="0" w:space="0" w:color="auto"/>
        <w:left w:val="none" w:sz="0" w:space="0" w:color="auto"/>
        <w:bottom w:val="none" w:sz="0" w:space="0" w:color="auto"/>
        <w:right w:val="none" w:sz="0" w:space="0" w:color="auto"/>
      </w:divBdr>
    </w:div>
    <w:div w:id="1929920882">
      <w:marLeft w:val="0"/>
      <w:marRight w:val="0"/>
      <w:marTop w:val="0"/>
      <w:marBottom w:val="0"/>
      <w:divBdr>
        <w:top w:val="none" w:sz="0" w:space="0" w:color="auto"/>
        <w:left w:val="none" w:sz="0" w:space="0" w:color="auto"/>
        <w:bottom w:val="none" w:sz="0" w:space="0" w:color="auto"/>
        <w:right w:val="none" w:sz="0" w:space="0" w:color="auto"/>
      </w:divBdr>
    </w:div>
    <w:div w:id="1932854269">
      <w:marLeft w:val="0"/>
      <w:marRight w:val="0"/>
      <w:marTop w:val="0"/>
      <w:marBottom w:val="0"/>
      <w:divBdr>
        <w:top w:val="none" w:sz="0" w:space="0" w:color="auto"/>
        <w:left w:val="none" w:sz="0" w:space="0" w:color="auto"/>
        <w:bottom w:val="none" w:sz="0" w:space="0" w:color="auto"/>
        <w:right w:val="none" w:sz="0" w:space="0" w:color="auto"/>
      </w:divBdr>
    </w:div>
    <w:div w:id="1936399610">
      <w:marLeft w:val="0"/>
      <w:marRight w:val="0"/>
      <w:marTop w:val="0"/>
      <w:marBottom w:val="0"/>
      <w:divBdr>
        <w:top w:val="none" w:sz="0" w:space="0" w:color="auto"/>
        <w:left w:val="none" w:sz="0" w:space="0" w:color="auto"/>
        <w:bottom w:val="none" w:sz="0" w:space="0" w:color="auto"/>
        <w:right w:val="none" w:sz="0" w:space="0" w:color="auto"/>
      </w:divBdr>
    </w:div>
    <w:div w:id="1942491981">
      <w:marLeft w:val="0"/>
      <w:marRight w:val="0"/>
      <w:marTop w:val="0"/>
      <w:marBottom w:val="0"/>
      <w:divBdr>
        <w:top w:val="none" w:sz="0" w:space="0" w:color="auto"/>
        <w:left w:val="none" w:sz="0" w:space="0" w:color="auto"/>
        <w:bottom w:val="none" w:sz="0" w:space="0" w:color="auto"/>
        <w:right w:val="none" w:sz="0" w:space="0" w:color="auto"/>
      </w:divBdr>
    </w:div>
    <w:div w:id="1942639397">
      <w:marLeft w:val="0"/>
      <w:marRight w:val="0"/>
      <w:marTop w:val="0"/>
      <w:marBottom w:val="0"/>
      <w:divBdr>
        <w:top w:val="none" w:sz="0" w:space="0" w:color="auto"/>
        <w:left w:val="none" w:sz="0" w:space="0" w:color="auto"/>
        <w:bottom w:val="none" w:sz="0" w:space="0" w:color="auto"/>
        <w:right w:val="none" w:sz="0" w:space="0" w:color="auto"/>
      </w:divBdr>
    </w:div>
    <w:div w:id="1945109880">
      <w:marLeft w:val="0"/>
      <w:marRight w:val="0"/>
      <w:marTop w:val="0"/>
      <w:marBottom w:val="0"/>
      <w:divBdr>
        <w:top w:val="none" w:sz="0" w:space="0" w:color="auto"/>
        <w:left w:val="none" w:sz="0" w:space="0" w:color="auto"/>
        <w:bottom w:val="none" w:sz="0" w:space="0" w:color="auto"/>
        <w:right w:val="none" w:sz="0" w:space="0" w:color="auto"/>
      </w:divBdr>
    </w:div>
    <w:div w:id="1949196443">
      <w:marLeft w:val="0"/>
      <w:marRight w:val="0"/>
      <w:marTop w:val="0"/>
      <w:marBottom w:val="0"/>
      <w:divBdr>
        <w:top w:val="none" w:sz="0" w:space="0" w:color="auto"/>
        <w:left w:val="none" w:sz="0" w:space="0" w:color="auto"/>
        <w:bottom w:val="none" w:sz="0" w:space="0" w:color="auto"/>
        <w:right w:val="none" w:sz="0" w:space="0" w:color="auto"/>
      </w:divBdr>
    </w:div>
    <w:div w:id="1949964036">
      <w:marLeft w:val="0"/>
      <w:marRight w:val="0"/>
      <w:marTop w:val="0"/>
      <w:marBottom w:val="0"/>
      <w:divBdr>
        <w:top w:val="none" w:sz="0" w:space="0" w:color="auto"/>
        <w:left w:val="none" w:sz="0" w:space="0" w:color="auto"/>
        <w:bottom w:val="none" w:sz="0" w:space="0" w:color="auto"/>
        <w:right w:val="none" w:sz="0" w:space="0" w:color="auto"/>
      </w:divBdr>
    </w:div>
    <w:div w:id="1950043405">
      <w:marLeft w:val="0"/>
      <w:marRight w:val="0"/>
      <w:marTop w:val="0"/>
      <w:marBottom w:val="0"/>
      <w:divBdr>
        <w:top w:val="none" w:sz="0" w:space="0" w:color="auto"/>
        <w:left w:val="none" w:sz="0" w:space="0" w:color="auto"/>
        <w:bottom w:val="none" w:sz="0" w:space="0" w:color="auto"/>
        <w:right w:val="none" w:sz="0" w:space="0" w:color="auto"/>
      </w:divBdr>
      <w:divsChild>
        <w:div w:id="317618675">
          <w:marLeft w:val="0"/>
          <w:marRight w:val="0"/>
          <w:marTop w:val="0"/>
          <w:marBottom w:val="0"/>
          <w:divBdr>
            <w:top w:val="none" w:sz="0" w:space="0" w:color="auto"/>
            <w:left w:val="none" w:sz="0" w:space="0" w:color="auto"/>
            <w:bottom w:val="none" w:sz="0" w:space="0" w:color="auto"/>
            <w:right w:val="none" w:sz="0" w:space="0" w:color="auto"/>
          </w:divBdr>
        </w:div>
      </w:divsChild>
    </w:div>
    <w:div w:id="1950894751">
      <w:marLeft w:val="0"/>
      <w:marRight w:val="0"/>
      <w:marTop w:val="0"/>
      <w:marBottom w:val="0"/>
      <w:divBdr>
        <w:top w:val="none" w:sz="0" w:space="0" w:color="auto"/>
        <w:left w:val="none" w:sz="0" w:space="0" w:color="auto"/>
        <w:bottom w:val="none" w:sz="0" w:space="0" w:color="auto"/>
        <w:right w:val="none" w:sz="0" w:space="0" w:color="auto"/>
      </w:divBdr>
      <w:divsChild>
        <w:div w:id="1974022147">
          <w:marLeft w:val="0"/>
          <w:marRight w:val="0"/>
          <w:marTop w:val="0"/>
          <w:marBottom w:val="0"/>
          <w:divBdr>
            <w:top w:val="none" w:sz="0" w:space="0" w:color="auto"/>
            <w:left w:val="none" w:sz="0" w:space="0" w:color="auto"/>
            <w:bottom w:val="none" w:sz="0" w:space="0" w:color="auto"/>
            <w:right w:val="none" w:sz="0" w:space="0" w:color="auto"/>
          </w:divBdr>
        </w:div>
      </w:divsChild>
    </w:div>
    <w:div w:id="1952661045">
      <w:marLeft w:val="0"/>
      <w:marRight w:val="0"/>
      <w:marTop w:val="0"/>
      <w:marBottom w:val="0"/>
      <w:divBdr>
        <w:top w:val="none" w:sz="0" w:space="0" w:color="auto"/>
        <w:left w:val="none" w:sz="0" w:space="0" w:color="auto"/>
        <w:bottom w:val="none" w:sz="0" w:space="0" w:color="auto"/>
        <w:right w:val="none" w:sz="0" w:space="0" w:color="auto"/>
      </w:divBdr>
    </w:div>
    <w:div w:id="1952859869">
      <w:marLeft w:val="0"/>
      <w:marRight w:val="0"/>
      <w:marTop w:val="0"/>
      <w:marBottom w:val="0"/>
      <w:divBdr>
        <w:top w:val="none" w:sz="0" w:space="0" w:color="auto"/>
        <w:left w:val="none" w:sz="0" w:space="0" w:color="auto"/>
        <w:bottom w:val="none" w:sz="0" w:space="0" w:color="auto"/>
        <w:right w:val="none" w:sz="0" w:space="0" w:color="auto"/>
      </w:divBdr>
    </w:div>
    <w:div w:id="1953319953">
      <w:marLeft w:val="0"/>
      <w:marRight w:val="0"/>
      <w:marTop w:val="0"/>
      <w:marBottom w:val="0"/>
      <w:divBdr>
        <w:top w:val="none" w:sz="0" w:space="0" w:color="auto"/>
        <w:left w:val="none" w:sz="0" w:space="0" w:color="auto"/>
        <w:bottom w:val="none" w:sz="0" w:space="0" w:color="auto"/>
        <w:right w:val="none" w:sz="0" w:space="0" w:color="auto"/>
      </w:divBdr>
    </w:div>
    <w:div w:id="1953511578">
      <w:marLeft w:val="0"/>
      <w:marRight w:val="0"/>
      <w:marTop w:val="0"/>
      <w:marBottom w:val="0"/>
      <w:divBdr>
        <w:top w:val="none" w:sz="0" w:space="0" w:color="auto"/>
        <w:left w:val="none" w:sz="0" w:space="0" w:color="auto"/>
        <w:bottom w:val="none" w:sz="0" w:space="0" w:color="auto"/>
        <w:right w:val="none" w:sz="0" w:space="0" w:color="auto"/>
      </w:divBdr>
    </w:div>
    <w:div w:id="1953590096">
      <w:marLeft w:val="0"/>
      <w:marRight w:val="0"/>
      <w:marTop w:val="0"/>
      <w:marBottom w:val="0"/>
      <w:divBdr>
        <w:top w:val="none" w:sz="0" w:space="0" w:color="auto"/>
        <w:left w:val="none" w:sz="0" w:space="0" w:color="auto"/>
        <w:bottom w:val="none" w:sz="0" w:space="0" w:color="auto"/>
        <w:right w:val="none" w:sz="0" w:space="0" w:color="auto"/>
      </w:divBdr>
    </w:div>
    <w:div w:id="1963074404">
      <w:marLeft w:val="0"/>
      <w:marRight w:val="0"/>
      <w:marTop w:val="0"/>
      <w:marBottom w:val="0"/>
      <w:divBdr>
        <w:top w:val="none" w:sz="0" w:space="0" w:color="auto"/>
        <w:left w:val="none" w:sz="0" w:space="0" w:color="auto"/>
        <w:bottom w:val="none" w:sz="0" w:space="0" w:color="auto"/>
        <w:right w:val="none" w:sz="0" w:space="0" w:color="auto"/>
      </w:divBdr>
    </w:div>
    <w:div w:id="1965693032">
      <w:marLeft w:val="0"/>
      <w:marRight w:val="0"/>
      <w:marTop w:val="0"/>
      <w:marBottom w:val="0"/>
      <w:divBdr>
        <w:top w:val="none" w:sz="0" w:space="0" w:color="auto"/>
        <w:left w:val="none" w:sz="0" w:space="0" w:color="auto"/>
        <w:bottom w:val="none" w:sz="0" w:space="0" w:color="auto"/>
        <w:right w:val="none" w:sz="0" w:space="0" w:color="auto"/>
      </w:divBdr>
    </w:div>
    <w:div w:id="1966309333">
      <w:marLeft w:val="0"/>
      <w:marRight w:val="0"/>
      <w:marTop w:val="0"/>
      <w:marBottom w:val="0"/>
      <w:divBdr>
        <w:top w:val="none" w:sz="0" w:space="0" w:color="auto"/>
        <w:left w:val="none" w:sz="0" w:space="0" w:color="auto"/>
        <w:bottom w:val="none" w:sz="0" w:space="0" w:color="auto"/>
        <w:right w:val="none" w:sz="0" w:space="0" w:color="auto"/>
      </w:divBdr>
    </w:div>
    <w:div w:id="1966422554">
      <w:marLeft w:val="0"/>
      <w:marRight w:val="0"/>
      <w:marTop w:val="0"/>
      <w:marBottom w:val="0"/>
      <w:divBdr>
        <w:top w:val="none" w:sz="0" w:space="0" w:color="auto"/>
        <w:left w:val="none" w:sz="0" w:space="0" w:color="auto"/>
        <w:bottom w:val="none" w:sz="0" w:space="0" w:color="auto"/>
        <w:right w:val="none" w:sz="0" w:space="0" w:color="auto"/>
      </w:divBdr>
    </w:div>
    <w:div w:id="1967078441">
      <w:marLeft w:val="0"/>
      <w:marRight w:val="0"/>
      <w:marTop w:val="0"/>
      <w:marBottom w:val="0"/>
      <w:divBdr>
        <w:top w:val="none" w:sz="0" w:space="0" w:color="auto"/>
        <w:left w:val="none" w:sz="0" w:space="0" w:color="auto"/>
        <w:bottom w:val="none" w:sz="0" w:space="0" w:color="auto"/>
        <w:right w:val="none" w:sz="0" w:space="0" w:color="auto"/>
      </w:divBdr>
    </w:div>
    <w:div w:id="1967659085">
      <w:marLeft w:val="0"/>
      <w:marRight w:val="0"/>
      <w:marTop w:val="0"/>
      <w:marBottom w:val="0"/>
      <w:divBdr>
        <w:top w:val="none" w:sz="0" w:space="0" w:color="auto"/>
        <w:left w:val="none" w:sz="0" w:space="0" w:color="auto"/>
        <w:bottom w:val="none" w:sz="0" w:space="0" w:color="auto"/>
        <w:right w:val="none" w:sz="0" w:space="0" w:color="auto"/>
      </w:divBdr>
    </w:div>
    <w:div w:id="1968274722">
      <w:marLeft w:val="0"/>
      <w:marRight w:val="0"/>
      <w:marTop w:val="0"/>
      <w:marBottom w:val="0"/>
      <w:divBdr>
        <w:top w:val="none" w:sz="0" w:space="0" w:color="auto"/>
        <w:left w:val="none" w:sz="0" w:space="0" w:color="auto"/>
        <w:bottom w:val="none" w:sz="0" w:space="0" w:color="auto"/>
        <w:right w:val="none" w:sz="0" w:space="0" w:color="auto"/>
      </w:divBdr>
    </w:div>
    <w:div w:id="1969044617">
      <w:marLeft w:val="0"/>
      <w:marRight w:val="0"/>
      <w:marTop w:val="0"/>
      <w:marBottom w:val="0"/>
      <w:divBdr>
        <w:top w:val="none" w:sz="0" w:space="0" w:color="auto"/>
        <w:left w:val="none" w:sz="0" w:space="0" w:color="auto"/>
        <w:bottom w:val="none" w:sz="0" w:space="0" w:color="auto"/>
        <w:right w:val="none" w:sz="0" w:space="0" w:color="auto"/>
      </w:divBdr>
    </w:div>
    <w:div w:id="1972859292">
      <w:marLeft w:val="0"/>
      <w:marRight w:val="0"/>
      <w:marTop w:val="0"/>
      <w:marBottom w:val="0"/>
      <w:divBdr>
        <w:top w:val="none" w:sz="0" w:space="0" w:color="auto"/>
        <w:left w:val="none" w:sz="0" w:space="0" w:color="auto"/>
        <w:bottom w:val="none" w:sz="0" w:space="0" w:color="auto"/>
        <w:right w:val="none" w:sz="0" w:space="0" w:color="auto"/>
      </w:divBdr>
    </w:div>
    <w:div w:id="1975216773">
      <w:marLeft w:val="0"/>
      <w:marRight w:val="0"/>
      <w:marTop w:val="0"/>
      <w:marBottom w:val="0"/>
      <w:divBdr>
        <w:top w:val="none" w:sz="0" w:space="0" w:color="auto"/>
        <w:left w:val="none" w:sz="0" w:space="0" w:color="auto"/>
        <w:bottom w:val="none" w:sz="0" w:space="0" w:color="auto"/>
        <w:right w:val="none" w:sz="0" w:space="0" w:color="auto"/>
      </w:divBdr>
    </w:div>
    <w:div w:id="1975794005">
      <w:marLeft w:val="0"/>
      <w:marRight w:val="0"/>
      <w:marTop w:val="0"/>
      <w:marBottom w:val="0"/>
      <w:divBdr>
        <w:top w:val="none" w:sz="0" w:space="0" w:color="auto"/>
        <w:left w:val="none" w:sz="0" w:space="0" w:color="auto"/>
        <w:bottom w:val="none" w:sz="0" w:space="0" w:color="auto"/>
        <w:right w:val="none" w:sz="0" w:space="0" w:color="auto"/>
      </w:divBdr>
    </w:div>
    <w:div w:id="1977448158">
      <w:marLeft w:val="0"/>
      <w:marRight w:val="0"/>
      <w:marTop w:val="0"/>
      <w:marBottom w:val="0"/>
      <w:divBdr>
        <w:top w:val="none" w:sz="0" w:space="0" w:color="auto"/>
        <w:left w:val="none" w:sz="0" w:space="0" w:color="auto"/>
        <w:bottom w:val="none" w:sz="0" w:space="0" w:color="auto"/>
        <w:right w:val="none" w:sz="0" w:space="0" w:color="auto"/>
      </w:divBdr>
    </w:div>
    <w:div w:id="1978148126">
      <w:marLeft w:val="0"/>
      <w:marRight w:val="0"/>
      <w:marTop w:val="0"/>
      <w:marBottom w:val="0"/>
      <w:divBdr>
        <w:top w:val="none" w:sz="0" w:space="0" w:color="auto"/>
        <w:left w:val="none" w:sz="0" w:space="0" w:color="auto"/>
        <w:bottom w:val="none" w:sz="0" w:space="0" w:color="auto"/>
        <w:right w:val="none" w:sz="0" w:space="0" w:color="auto"/>
      </w:divBdr>
    </w:div>
    <w:div w:id="1980304537">
      <w:marLeft w:val="0"/>
      <w:marRight w:val="0"/>
      <w:marTop w:val="0"/>
      <w:marBottom w:val="0"/>
      <w:divBdr>
        <w:top w:val="none" w:sz="0" w:space="0" w:color="auto"/>
        <w:left w:val="none" w:sz="0" w:space="0" w:color="auto"/>
        <w:bottom w:val="none" w:sz="0" w:space="0" w:color="auto"/>
        <w:right w:val="none" w:sz="0" w:space="0" w:color="auto"/>
      </w:divBdr>
    </w:div>
    <w:div w:id="1981420890">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1985314287">
      <w:marLeft w:val="0"/>
      <w:marRight w:val="0"/>
      <w:marTop w:val="0"/>
      <w:marBottom w:val="0"/>
      <w:divBdr>
        <w:top w:val="none" w:sz="0" w:space="0" w:color="auto"/>
        <w:left w:val="none" w:sz="0" w:space="0" w:color="auto"/>
        <w:bottom w:val="none" w:sz="0" w:space="0" w:color="auto"/>
        <w:right w:val="none" w:sz="0" w:space="0" w:color="auto"/>
      </w:divBdr>
      <w:divsChild>
        <w:div w:id="930427727">
          <w:marLeft w:val="0"/>
          <w:marRight w:val="0"/>
          <w:marTop w:val="0"/>
          <w:marBottom w:val="0"/>
          <w:divBdr>
            <w:top w:val="none" w:sz="0" w:space="0" w:color="auto"/>
            <w:left w:val="none" w:sz="0" w:space="0" w:color="auto"/>
            <w:bottom w:val="none" w:sz="0" w:space="0" w:color="auto"/>
            <w:right w:val="none" w:sz="0" w:space="0" w:color="auto"/>
          </w:divBdr>
        </w:div>
      </w:divsChild>
    </w:div>
    <w:div w:id="1987469702">
      <w:marLeft w:val="0"/>
      <w:marRight w:val="0"/>
      <w:marTop w:val="0"/>
      <w:marBottom w:val="0"/>
      <w:divBdr>
        <w:top w:val="none" w:sz="0" w:space="0" w:color="auto"/>
        <w:left w:val="none" w:sz="0" w:space="0" w:color="auto"/>
        <w:bottom w:val="none" w:sz="0" w:space="0" w:color="auto"/>
        <w:right w:val="none" w:sz="0" w:space="0" w:color="auto"/>
      </w:divBdr>
    </w:div>
    <w:div w:id="1987976901">
      <w:marLeft w:val="0"/>
      <w:marRight w:val="0"/>
      <w:marTop w:val="0"/>
      <w:marBottom w:val="0"/>
      <w:divBdr>
        <w:top w:val="none" w:sz="0" w:space="0" w:color="auto"/>
        <w:left w:val="none" w:sz="0" w:space="0" w:color="auto"/>
        <w:bottom w:val="none" w:sz="0" w:space="0" w:color="auto"/>
        <w:right w:val="none" w:sz="0" w:space="0" w:color="auto"/>
      </w:divBdr>
    </w:div>
    <w:div w:id="1990397895">
      <w:marLeft w:val="0"/>
      <w:marRight w:val="0"/>
      <w:marTop w:val="0"/>
      <w:marBottom w:val="0"/>
      <w:divBdr>
        <w:top w:val="none" w:sz="0" w:space="0" w:color="auto"/>
        <w:left w:val="none" w:sz="0" w:space="0" w:color="auto"/>
        <w:bottom w:val="none" w:sz="0" w:space="0" w:color="auto"/>
        <w:right w:val="none" w:sz="0" w:space="0" w:color="auto"/>
      </w:divBdr>
    </w:div>
    <w:div w:id="1991132841">
      <w:marLeft w:val="0"/>
      <w:marRight w:val="0"/>
      <w:marTop w:val="0"/>
      <w:marBottom w:val="0"/>
      <w:divBdr>
        <w:top w:val="none" w:sz="0" w:space="0" w:color="auto"/>
        <w:left w:val="none" w:sz="0" w:space="0" w:color="auto"/>
        <w:bottom w:val="none" w:sz="0" w:space="0" w:color="auto"/>
        <w:right w:val="none" w:sz="0" w:space="0" w:color="auto"/>
      </w:divBdr>
    </w:div>
    <w:div w:id="1992362875">
      <w:marLeft w:val="0"/>
      <w:marRight w:val="0"/>
      <w:marTop w:val="0"/>
      <w:marBottom w:val="0"/>
      <w:divBdr>
        <w:top w:val="none" w:sz="0" w:space="0" w:color="auto"/>
        <w:left w:val="none" w:sz="0" w:space="0" w:color="auto"/>
        <w:bottom w:val="none" w:sz="0" w:space="0" w:color="auto"/>
        <w:right w:val="none" w:sz="0" w:space="0" w:color="auto"/>
      </w:divBdr>
    </w:div>
    <w:div w:id="1994024009">
      <w:marLeft w:val="0"/>
      <w:marRight w:val="0"/>
      <w:marTop w:val="0"/>
      <w:marBottom w:val="0"/>
      <w:divBdr>
        <w:top w:val="none" w:sz="0" w:space="0" w:color="auto"/>
        <w:left w:val="none" w:sz="0" w:space="0" w:color="auto"/>
        <w:bottom w:val="none" w:sz="0" w:space="0" w:color="auto"/>
        <w:right w:val="none" w:sz="0" w:space="0" w:color="auto"/>
      </w:divBdr>
      <w:divsChild>
        <w:div w:id="818348992">
          <w:marLeft w:val="0"/>
          <w:marRight w:val="0"/>
          <w:marTop w:val="0"/>
          <w:marBottom w:val="0"/>
          <w:divBdr>
            <w:top w:val="none" w:sz="0" w:space="0" w:color="auto"/>
            <w:left w:val="none" w:sz="0" w:space="0" w:color="auto"/>
            <w:bottom w:val="none" w:sz="0" w:space="0" w:color="auto"/>
            <w:right w:val="none" w:sz="0" w:space="0" w:color="auto"/>
          </w:divBdr>
        </w:div>
      </w:divsChild>
    </w:div>
    <w:div w:id="1996491122">
      <w:marLeft w:val="0"/>
      <w:marRight w:val="0"/>
      <w:marTop w:val="0"/>
      <w:marBottom w:val="0"/>
      <w:divBdr>
        <w:top w:val="none" w:sz="0" w:space="0" w:color="auto"/>
        <w:left w:val="none" w:sz="0" w:space="0" w:color="auto"/>
        <w:bottom w:val="none" w:sz="0" w:space="0" w:color="auto"/>
        <w:right w:val="none" w:sz="0" w:space="0" w:color="auto"/>
      </w:divBdr>
    </w:div>
    <w:div w:id="1996840015">
      <w:marLeft w:val="0"/>
      <w:marRight w:val="0"/>
      <w:marTop w:val="0"/>
      <w:marBottom w:val="0"/>
      <w:divBdr>
        <w:top w:val="none" w:sz="0" w:space="0" w:color="auto"/>
        <w:left w:val="none" w:sz="0" w:space="0" w:color="auto"/>
        <w:bottom w:val="none" w:sz="0" w:space="0" w:color="auto"/>
        <w:right w:val="none" w:sz="0" w:space="0" w:color="auto"/>
      </w:divBdr>
    </w:div>
    <w:div w:id="1997369101">
      <w:marLeft w:val="0"/>
      <w:marRight w:val="0"/>
      <w:marTop w:val="0"/>
      <w:marBottom w:val="0"/>
      <w:divBdr>
        <w:top w:val="none" w:sz="0" w:space="0" w:color="auto"/>
        <w:left w:val="none" w:sz="0" w:space="0" w:color="auto"/>
        <w:bottom w:val="none" w:sz="0" w:space="0" w:color="auto"/>
        <w:right w:val="none" w:sz="0" w:space="0" w:color="auto"/>
      </w:divBdr>
    </w:div>
    <w:div w:id="1997566508">
      <w:marLeft w:val="0"/>
      <w:marRight w:val="0"/>
      <w:marTop w:val="0"/>
      <w:marBottom w:val="0"/>
      <w:divBdr>
        <w:top w:val="none" w:sz="0" w:space="0" w:color="auto"/>
        <w:left w:val="none" w:sz="0" w:space="0" w:color="auto"/>
        <w:bottom w:val="none" w:sz="0" w:space="0" w:color="auto"/>
        <w:right w:val="none" w:sz="0" w:space="0" w:color="auto"/>
      </w:divBdr>
    </w:div>
    <w:div w:id="1997684395">
      <w:marLeft w:val="0"/>
      <w:marRight w:val="0"/>
      <w:marTop w:val="0"/>
      <w:marBottom w:val="0"/>
      <w:divBdr>
        <w:top w:val="none" w:sz="0" w:space="0" w:color="auto"/>
        <w:left w:val="none" w:sz="0" w:space="0" w:color="auto"/>
        <w:bottom w:val="none" w:sz="0" w:space="0" w:color="auto"/>
        <w:right w:val="none" w:sz="0" w:space="0" w:color="auto"/>
      </w:divBdr>
    </w:div>
    <w:div w:id="1998916840">
      <w:marLeft w:val="0"/>
      <w:marRight w:val="0"/>
      <w:marTop w:val="0"/>
      <w:marBottom w:val="0"/>
      <w:divBdr>
        <w:top w:val="none" w:sz="0" w:space="0" w:color="auto"/>
        <w:left w:val="none" w:sz="0" w:space="0" w:color="auto"/>
        <w:bottom w:val="none" w:sz="0" w:space="0" w:color="auto"/>
        <w:right w:val="none" w:sz="0" w:space="0" w:color="auto"/>
      </w:divBdr>
    </w:div>
    <w:div w:id="2001425547">
      <w:marLeft w:val="0"/>
      <w:marRight w:val="0"/>
      <w:marTop w:val="0"/>
      <w:marBottom w:val="0"/>
      <w:divBdr>
        <w:top w:val="none" w:sz="0" w:space="0" w:color="auto"/>
        <w:left w:val="none" w:sz="0" w:space="0" w:color="auto"/>
        <w:bottom w:val="none" w:sz="0" w:space="0" w:color="auto"/>
        <w:right w:val="none" w:sz="0" w:space="0" w:color="auto"/>
      </w:divBdr>
      <w:divsChild>
        <w:div w:id="1696693176">
          <w:marLeft w:val="0"/>
          <w:marRight w:val="0"/>
          <w:marTop w:val="0"/>
          <w:marBottom w:val="0"/>
          <w:divBdr>
            <w:top w:val="none" w:sz="0" w:space="0" w:color="auto"/>
            <w:left w:val="none" w:sz="0" w:space="0" w:color="auto"/>
            <w:bottom w:val="none" w:sz="0" w:space="0" w:color="auto"/>
            <w:right w:val="none" w:sz="0" w:space="0" w:color="auto"/>
          </w:divBdr>
        </w:div>
        <w:div w:id="1698045459">
          <w:marLeft w:val="0"/>
          <w:marRight w:val="0"/>
          <w:marTop w:val="0"/>
          <w:marBottom w:val="0"/>
          <w:divBdr>
            <w:top w:val="none" w:sz="0" w:space="0" w:color="auto"/>
            <w:left w:val="none" w:sz="0" w:space="0" w:color="auto"/>
            <w:bottom w:val="none" w:sz="0" w:space="0" w:color="auto"/>
            <w:right w:val="none" w:sz="0" w:space="0" w:color="auto"/>
          </w:divBdr>
        </w:div>
      </w:divsChild>
    </w:div>
    <w:div w:id="2004164088">
      <w:marLeft w:val="0"/>
      <w:marRight w:val="0"/>
      <w:marTop w:val="0"/>
      <w:marBottom w:val="0"/>
      <w:divBdr>
        <w:top w:val="none" w:sz="0" w:space="0" w:color="auto"/>
        <w:left w:val="none" w:sz="0" w:space="0" w:color="auto"/>
        <w:bottom w:val="none" w:sz="0" w:space="0" w:color="auto"/>
        <w:right w:val="none" w:sz="0" w:space="0" w:color="auto"/>
      </w:divBdr>
    </w:div>
    <w:div w:id="2004508597">
      <w:marLeft w:val="0"/>
      <w:marRight w:val="0"/>
      <w:marTop w:val="0"/>
      <w:marBottom w:val="0"/>
      <w:divBdr>
        <w:top w:val="none" w:sz="0" w:space="0" w:color="auto"/>
        <w:left w:val="none" w:sz="0" w:space="0" w:color="auto"/>
        <w:bottom w:val="none" w:sz="0" w:space="0" w:color="auto"/>
        <w:right w:val="none" w:sz="0" w:space="0" w:color="auto"/>
      </w:divBdr>
    </w:div>
    <w:div w:id="2005283200">
      <w:marLeft w:val="0"/>
      <w:marRight w:val="0"/>
      <w:marTop w:val="0"/>
      <w:marBottom w:val="0"/>
      <w:divBdr>
        <w:top w:val="none" w:sz="0" w:space="0" w:color="auto"/>
        <w:left w:val="none" w:sz="0" w:space="0" w:color="auto"/>
        <w:bottom w:val="none" w:sz="0" w:space="0" w:color="auto"/>
        <w:right w:val="none" w:sz="0" w:space="0" w:color="auto"/>
      </w:divBdr>
    </w:div>
    <w:div w:id="2007054117">
      <w:marLeft w:val="0"/>
      <w:marRight w:val="0"/>
      <w:marTop w:val="0"/>
      <w:marBottom w:val="0"/>
      <w:divBdr>
        <w:top w:val="none" w:sz="0" w:space="0" w:color="auto"/>
        <w:left w:val="none" w:sz="0" w:space="0" w:color="auto"/>
        <w:bottom w:val="none" w:sz="0" w:space="0" w:color="auto"/>
        <w:right w:val="none" w:sz="0" w:space="0" w:color="auto"/>
      </w:divBdr>
    </w:div>
    <w:div w:id="2007172871">
      <w:marLeft w:val="0"/>
      <w:marRight w:val="0"/>
      <w:marTop w:val="0"/>
      <w:marBottom w:val="0"/>
      <w:divBdr>
        <w:top w:val="none" w:sz="0" w:space="0" w:color="auto"/>
        <w:left w:val="none" w:sz="0" w:space="0" w:color="auto"/>
        <w:bottom w:val="none" w:sz="0" w:space="0" w:color="auto"/>
        <w:right w:val="none" w:sz="0" w:space="0" w:color="auto"/>
      </w:divBdr>
      <w:divsChild>
        <w:div w:id="1710304649">
          <w:marLeft w:val="0"/>
          <w:marRight w:val="0"/>
          <w:marTop w:val="0"/>
          <w:marBottom w:val="0"/>
          <w:divBdr>
            <w:top w:val="none" w:sz="0" w:space="0" w:color="auto"/>
            <w:left w:val="none" w:sz="0" w:space="0" w:color="auto"/>
            <w:bottom w:val="none" w:sz="0" w:space="0" w:color="auto"/>
            <w:right w:val="none" w:sz="0" w:space="0" w:color="auto"/>
          </w:divBdr>
        </w:div>
      </w:divsChild>
    </w:div>
    <w:div w:id="2008634962">
      <w:marLeft w:val="0"/>
      <w:marRight w:val="0"/>
      <w:marTop w:val="0"/>
      <w:marBottom w:val="0"/>
      <w:divBdr>
        <w:top w:val="none" w:sz="0" w:space="0" w:color="auto"/>
        <w:left w:val="none" w:sz="0" w:space="0" w:color="auto"/>
        <w:bottom w:val="none" w:sz="0" w:space="0" w:color="auto"/>
        <w:right w:val="none" w:sz="0" w:space="0" w:color="auto"/>
      </w:divBdr>
    </w:div>
    <w:div w:id="2011105508">
      <w:marLeft w:val="0"/>
      <w:marRight w:val="0"/>
      <w:marTop w:val="0"/>
      <w:marBottom w:val="0"/>
      <w:divBdr>
        <w:top w:val="none" w:sz="0" w:space="0" w:color="auto"/>
        <w:left w:val="none" w:sz="0" w:space="0" w:color="auto"/>
        <w:bottom w:val="none" w:sz="0" w:space="0" w:color="auto"/>
        <w:right w:val="none" w:sz="0" w:space="0" w:color="auto"/>
      </w:divBdr>
    </w:div>
    <w:div w:id="2013338745">
      <w:marLeft w:val="0"/>
      <w:marRight w:val="0"/>
      <w:marTop w:val="0"/>
      <w:marBottom w:val="0"/>
      <w:divBdr>
        <w:top w:val="none" w:sz="0" w:space="0" w:color="auto"/>
        <w:left w:val="none" w:sz="0" w:space="0" w:color="auto"/>
        <w:bottom w:val="none" w:sz="0" w:space="0" w:color="auto"/>
        <w:right w:val="none" w:sz="0" w:space="0" w:color="auto"/>
      </w:divBdr>
      <w:divsChild>
        <w:div w:id="1386030719">
          <w:marLeft w:val="0"/>
          <w:marRight w:val="0"/>
          <w:marTop w:val="0"/>
          <w:marBottom w:val="0"/>
          <w:divBdr>
            <w:top w:val="none" w:sz="0" w:space="0" w:color="auto"/>
            <w:left w:val="none" w:sz="0" w:space="0" w:color="auto"/>
            <w:bottom w:val="none" w:sz="0" w:space="0" w:color="auto"/>
            <w:right w:val="none" w:sz="0" w:space="0" w:color="auto"/>
          </w:divBdr>
        </w:div>
      </w:divsChild>
    </w:div>
    <w:div w:id="2018464086">
      <w:marLeft w:val="0"/>
      <w:marRight w:val="0"/>
      <w:marTop w:val="0"/>
      <w:marBottom w:val="0"/>
      <w:divBdr>
        <w:top w:val="none" w:sz="0" w:space="0" w:color="auto"/>
        <w:left w:val="none" w:sz="0" w:space="0" w:color="auto"/>
        <w:bottom w:val="none" w:sz="0" w:space="0" w:color="auto"/>
        <w:right w:val="none" w:sz="0" w:space="0" w:color="auto"/>
      </w:divBdr>
    </w:div>
    <w:div w:id="2020690553">
      <w:marLeft w:val="0"/>
      <w:marRight w:val="0"/>
      <w:marTop w:val="0"/>
      <w:marBottom w:val="0"/>
      <w:divBdr>
        <w:top w:val="none" w:sz="0" w:space="0" w:color="auto"/>
        <w:left w:val="none" w:sz="0" w:space="0" w:color="auto"/>
        <w:bottom w:val="none" w:sz="0" w:space="0" w:color="auto"/>
        <w:right w:val="none" w:sz="0" w:space="0" w:color="auto"/>
      </w:divBdr>
    </w:div>
    <w:div w:id="2021466011">
      <w:marLeft w:val="0"/>
      <w:marRight w:val="0"/>
      <w:marTop w:val="0"/>
      <w:marBottom w:val="0"/>
      <w:divBdr>
        <w:top w:val="none" w:sz="0" w:space="0" w:color="auto"/>
        <w:left w:val="none" w:sz="0" w:space="0" w:color="auto"/>
        <w:bottom w:val="none" w:sz="0" w:space="0" w:color="auto"/>
        <w:right w:val="none" w:sz="0" w:space="0" w:color="auto"/>
      </w:divBdr>
    </w:div>
    <w:div w:id="2023318408">
      <w:marLeft w:val="0"/>
      <w:marRight w:val="0"/>
      <w:marTop w:val="0"/>
      <w:marBottom w:val="0"/>
      <w:divBdr>
        <w:top w:val="none" w:sz="0" w:space="0" w:color="auto"/>
        <w:left w:val="none" w:sz="0" w:space="0" w:color="auto"/>
        <w:bottom w:val="none" w:sz="0" w:space="0" w:color="auto"/>
        <w:right w:val="none" w:sz="0" w:space="0" w:color="auto"/>
      </w:divBdr>
    </w:div>
    <w:div w:id="2024546633">
      <w:marLeft w:val="0"/>
      <w:marRight w:val="0"/>
      <w:marTop w:val="0"/>
      <w:marBottom w:val="0"/>
      <w:divBdr>
        <w:top w:val="none" w:sz="0" w:space="0" w:color="auto"/>
        <w:left w:val="none" w:sz="0" w:space="0" w:color="auto"/>
        <w:bottom w:val="none" w:sz="0" w:space="0" w:color="auto"/>
        <w:right w:val="none" w:sz="0" w:space="0" w:color="auto"/>
      </w:divBdr>
    </w:div>
    <w:div w:id="2026860575">
      <w:marLeft w:val="0"/>
      <w:marRight w:val="0"/>
      <w:marTop w:val="0"/>
      <w:marBottom w:val="0"/>
      <w:divBdr>
        <w:top w:val="none" w:sz="0" w:space="0" w:color="auto"/>
        <w:left w:val="none" w:sz="0" w:space="0" w:color="auto"/>
        <w:bottom w:val="none" w:sz="0" w:space="0" w:color="auto"/>
        <w:right w:val="none" w:sz="0" w:space="0" w:color="auto"/>
      </w:divBdr>
    </w:div>
    <w:div w:id="2028484239">
      <w:marLeft w:val="0"/>
      <w:marRight w:val="0"/>
      <w:marTop w:val="0"/>
      <w:marBottom w:val="0"/>
      <w:divBdr>
        <w:top w:val="none" w:sz="0" w:space="0" w:color="auto"/>
        <w:left w:val="none" w:sz="0" w:space="0" w:color="auto"/>
        <w:bottom w:val="none" w:sz="0" w:space="0" w:color="auto"/>
        <w:right w:val="none" w:sz="0" w:space="0" w:color="auto"/>
      </w:divBdr>
    </w:div>
    <w:div w:id="2032802593">
      <w:marLeft w:val="0"/>
      <w:marRight w:val="0"/>
      <w:marTop w:val="0"/>
      <w:marBottom w:val="0"/>
      <w:divBdr>
        <w:top w:val="none" w:sz="0" w:space="0" w:color="auto"/>
        <w:left w:val="none" w:sz="0" w:space="0" w:color="auto"/>
        <w:bottom w:val="none" w:sz="0" w:space="0" w:color="auto"/>
        <w:right w:val="none" w:sz="0" w:space="0" w:color="auto"/>
      </w:divBdr>
      <w:divsChild>
        <w:div w:id="607153873">
          <w:marLeft w:val="0"/>
          <w:marRight w:val="0"/>
          <w:marTop w:val="0"/>
          <w:marBottom w:val="0"/>
          <w:divBdr>
            <w:top w:val="none" w:sz="0" w:space="0" w:color="auto"/>
            <w:left w:val="none" w:sz="0" w:space="0" w:color="auto"/>
            <w:bottom w:val="none" w:sz="0" w:space="0" w:color="auto"/>
            <w:right w:val="none" w:sz="0" w:space="0" w:color="auto"/>
          </w:divBdr>
        </w:div>
      </w:divsChild>
    </w:div>
    <w:div w:id="2033221161">
      <w:marLeft w:val="0"/>
      <w:marRight w:val="0"/>
      <w:marTop w:val="0"/>
      <w:marBottom w:val="0"/>
      <w:divBdr>
        <w:top w:val="none" w:sz="0" w:space="0" w:color="auto"/>
        <w:left w:val="none" w:sz="0" w:space="0" w:color="auto"/>
        <w:bottom w:val="none" w:sz="0" w:space="0" w:color="auto"/>
        <w:right w:val="none" w:sz="0" w:space="0" w:color="auto"/>
      </w:divBdr>
    </w:div>
    <w:div w:id="2033726701">
      <w:marLeft w:val="0"/>
      <w:marRight w:val="0"/>
      <w:marTop w:val="0"/>
      <w:marBottom w:val="0"/>
      <w:divBdr>
        <w:top w:val="none" w:sz="0" w:space="0" w:color="auto"/>
        <w:left w:val="none" w:sz="0" w:space="0" w:color="auto"/>
        <w:bottom w:val="none" w:sz="0" w:space="0" w:color="auto"/>
        <w:right w:val="none" w:sz="0" w:space="0" w:color="auto"/>
      </w:divBdr>
    </w:div>
    <w:div w:id="2039964727">
      <w:marLeft w:val="0"/>
      <w:marRight w:val="0"/>
      <w:marTop w:val="0"/>
      <w:marBottom w:val="0"/>
      <w:divBdr>
        <w:top w:val="none" w:sz="0" w:space="0" w:color="auto"/>
        <w:left w:val="none" w:sz="0" w:space="0" w:color="auto"/>
        <w:bottom w:val="none" w:sz="0" w:space="0" w:color="auto"/>
        <w:right w:val="none" w:sz="0" w:space="0" w:color="auto"/>
      </w:divBdr>
    </w:div>
    <w:div w:id="2039967965">
      <w:marLeft w:val="0"/>
      <w:marRight w:val="0"/>
      <w:marTop w:val="0"/>
      <w:marBottom w:val="0"/>
      <w:divBdr>
        <w:top w:val="none" w:sz="0" w:space="0" w:color="auto"/>
        <w:left w:val="none" w:sz="0" w:space="0" w:color="auto"/>
        <w:bottom w:val="none" w:sz="0" w:space="0" w:color="auto"/>
        <w:right w:val="none" w:sz="0" w:space="0" w:color="auto"/>
      </w:divBdr>
    </w:div>
    <w:div w:id="2040005607">
      <w:marLeft w:val="0"/>
      <w:marRight w:val="0"/>
      <w:marTop w:val="0"/>
      <w:marBottom w:val="0"/>
      <w:divBdr>
        <w:top w:val="none" w:sz="0" w:space="0" w:color="auto"/>
        <w:left w:val="none" w:sz="0" w:space="0" w:color="auto"/>
        <w:bottom w:val="none" w:sz="0" w:space="0" w:color="auto"/>
        <w:right w:val="none" w:sz="0" w:space="0" w:color="auto"/>
      </w:divBdr>
    </w:div>
    <w:div w:id="2045710142">
      <w:marLeft w:val="0"/>
      <w:marRight w:val="0"/>
      <w:marTop w:val="0"/>
      <w:marBottom w:val="0"/>
      <w:divBdr>
        <w:top w:val="none" w:sz="0" w:space="0" w:color="auto"/>
        <w:left w:val="none" w:sz="0" w:space="0" w:color="auto"/>
        <w:bottom w:val="none" w:sz="0" w:space="0" w:color="auto"/>
        <w:right w:val="none" w:sz="0" w:space="0" w:color="auto"/>
      </w:divBdr>
    </w:div>
    <w:div w:id="2045859061">
      <w:marLeft w:val="0"/>
      <w:marRight w:val="0"/>
      <w:marTop w:val="0"/>
      <w:marBottom w:val="0"/>
      <w:divBdr>
        <w:top w:val="none" w:sz="0" w:space="0" w:color="auto"/>
        <w:left w:val="none" w:sz="0" w:space="0" w:color="auto"/>
        <w:bottom w:val="none" w:sz="0" w:space="0" w:color="auto"/>
        <w:right w:val="none" w:sz="0" w:space="0" w:color="auto"/>
      </w:divBdr>
    </w:div>
    <w:div w:id="2046052869">
      <w:marLeft w:val="0"/>
      <w:marRight w:val="0"/>
      <w:marTop w:val="0"/>
      <w:marBottom w:val="0"/>
      <w:divBdr>
        <w:top w:val="none" w:sz="0" w:space="0" w:color="auto"/>
        <w:left w:val="none" w:sz="0" w:space="0" w:color="auto"/>
        <w:bottom w:val="none" w:sz="0" w:space="0" w:color="auto"/>
        <w:right w:val="none" w:sz="0" w:space="0" w:color="auto"/>
      </w:divBdr>
    </w:div>
    <w:div w:id="2047171010">
      <w:marLeft w:val="0"/>
      <w:marRight w:val="0"/>
      <w:marTop w:val="0"/>
      <w:marBottom w:val="0"/>
      <w:divBdr>
        <w:top w:val="none" w:sz="0" w:space="0" w:color="auto"/>
        <w:left w:val="none" w:sz="0" w:space="0" w:color="auto"/>
        <w:bottom w:val="none" w:sz="0" w:space="0" w:color="auto"/>
        <w:right w:val="none" w:sz="0" w:space="0" w:color="auto"/>
      </w:divBdr>
    </w:div>
    <w:div w:id="2052262517">
      <w:marLeft w:val="0"/>
      <w:marRight w:val="0"/>
      <w:marTop w:val="0"/>
      <w:marBottom w:val="0"/>
      <w:divBdr>
        <w:top w:val="none" w:sz="0" w:space="0" w:color="auto"/>
        <w:left w:val="none" w:sz="0" w:space="0" w:color="auto"/>
        <w:bottom w:val="none" w:sz="0" w:space="0" w:color="auto"/>
        <w:right w:val="none" w:sz="0" w:space="0" w:color="auto"/>
      </w:divBdr>
    </w:div>
    <w:div w:id="2054226815">
      <w:marLeft w:val="0"/>
      <w:marRight w:val="0"/>
      <w:marTop w:val="0"/>
      <w:marBottom w:val="0"/>
      <w:divBdr>
        <w:top w:val="none" w:sz="0" w:space="0" w:color="auto"/>
        <w:left w:val="none" w:sz="0" w:space="0" w:color="auto"/>
        <w:bottom w:val="none" w:sz="0" w:space="0" w:color="auto"/>
        <w:right w:val="none" w:sz="0" w:space="0" w:color="auto"/>
      </w:divBdr>
    </w:div>
    <w:div w:id="2057313146">
      <w:marLeft w:val="0"/>
      <w:marRight w:val="0"/>
      <w:marTop w:val="0"/>
      <w:marBottom w:val="0"/>
      <w:divBdr>
        <w:top w:val="none" w:sz="0" w:space="0" w:color="auto"/>
        <w:left w:val="none" w:sz="0" w:space="0" w:color="auto"/>
        <w:bottom w:val="none" w:sz="0" w:space="0" w:color="auto"/>
        <w:right w:val="none" w:sz="0" w:space="0" w:color="auto"/>
      </w:divBdr>
    </w:div>
    <w:div w:id="2061899052">
      <w:marLeft w:val="0"/>
      <w:marRight w:val="0"/>
      <w:marTop w:val="0"/>
      <w:marBottom w:val="0"/>
      <w:divBdr>
        <w:top w:val="none" w:sz="0" w:space="0" w:color="auto"/>
        <w:left w:val="none" w:sz="0" w:space="0" w:color="auto"/>
        <w:bottom w:val="none" w:sz="0" w:space="0" w:color="auto"/>
        <w:right w:val="none" w:sz="0" w:space="0" w:color="auto"/>
      </w:divBdr>
    </w:div>
    <w:div w:id="2064284927">
      <w:marLeft w:val="0"/>
      <w:marRight w:val="0"/>
      <w:marTop w:val="0"/>
      <w:marBottom w:val="0"/>
      <w:divBdr>
        <w:top w:val="none" w:sz="0" w:space="0" w:color="auto"/>
        <w:left w:val="none" w:sz="0" w:space="0" w:color="auto"/>
        <w:bottom w:val="none" w:sz="0" w:space="0" w:color="auto"/>
        <w:right w:val="none" w:sz="0" w:space="0" w:color="auto"/>
      </w:divBdr>
    </w:div>
    <w:div w:id="2065593233">
      <w:marLeft w:val="0"/>
      <w:marRight w:val="0"/>
      <w:marTop w:val="0"/>
      <w:marBottom w:val="0"/>
      <w:divBdr>
        <w:top w:val="none" w:sz="0" w:space="0" w:color="auto"/>
        <w:left w:val="none" w:sz="0" w:space="0" w:color="auto"/>
        <w:bottom w:val="none" w:sz="0" w:space="0" w:color="auto"/>
        <w:right w:val="none" w:sz="0" w:space="0" w:color="auto"/>
      </w:divBdr>
    </w:div>
    <w:div w:id="2066561607">
      <w:marLeft w:val="0"/>
      <w:marRight w:val="0"/>
      <w:marTop w:val="0"/>
      <w:marBottom w:val="0"/>
      <w:divBdr>
        <w:top w:val="none" w:sz="0" w:space="0" w:color="auto"/>
        <w:left w:val="none" w:sz="0" w:space="0" w:color="auto"/>
        <w:bottom w:val="none" w:sz="0" w:space="0" w:color="auto"/>
        <w:right w:val="none" w:sz="0" w:space="0" w:color="auto"/>
      </w:divBdr>
    </w:div>
    <w:div w:id="2066566619">
      <w:marLeft w:val="0"/>
      <w:marRight w:val="0"/>
      <w:marTop w:val="0"/>
      <w:marBottom w:val="0"/>
      <w:divBdr>
        <w:top w:val="none" w:sz="0" w:space="0" w:color="auto"/>
        <w:left w:val="none" w:sz="0" w:space="0" w:color="auto"/>
        <w:bottom w:val="none" w:sz="0" w:space="0" w:color="auto"/>
        <w:right w:val="none" w:sz="0" w:space="0" w:color="auto"/>
      </w:divBdr>
    </w:div>
    <w:div w:id="2071341816">
      <w:marLeft w:val="0"/>
      <w:marRight w:val="0"/>
      <w:marTop w:val="0"/>
      <w:marBottom w:val="0"/>
      <w:divBdr>
        <w:top w:val="none" w:sz="0" w:space="0" w:color="auto"/>
        <w:left w:val="none" w:sz="0" w:space="0" w:color="auto"/>
        <w:bottom w:val="none" w:sz="0" w:space="0" w:color="auto"/>
        <w:right w:val="none" w:sz="0" w:space="0" w:color="auto"/>
      </w:divBdr>
    </w:div>
    <w:div w:id="2073263938">
      <w:marLeft w:val="0"/>
      <w:marRight w:val="0"/>
      <w:marTop w:val="0"/>
      <w:marBottom w:val="0"/>
      <w:divBdr>
        <w:top w:val="none" w:sz="0" w:space="0" w:color="auto"/>
        <w:left w:val="none" w:sz="0" w:space="0" w:color="auto"/>
        <w:bottom w:val="none" w:sz="0" w:space="0" w:color="auto"/>
        <w:right w:val="none" w:sz="0" w:space="0" w:color="auto"/>
      </w:divBdr>
    </w:div>
    <w:div w:id="2083326888">
      <w:marLeft w:val="0"/>
      <w:marRight w:val="0"/>
      <w:marTop w:val="0"/>
      <w:marBottom w:val="0"/>
      <w:divBdr>
        <w:top w:val="none" w:sz="0" w:space="0" w:color="auto"/>
        <w:left w:val="none" w:sz="0" w:space="0" w:color="auto"/>
        <w:bottom w:val="none" w:sz="0" w:space="0" w:color="auto"/>
        <w:right w:val="none" w:sz="0" w:space="0" w:color="auto"/>
      </w:divBdr>
    </w:div>
    <w:div w:id="2085176239">
      <w:marLeft w:val="0"/>
      <w:marRight w:val="0"/>
      <w:marTop w:val="0"/>
      <w:marBottom w:val="0"/>
      <w:divBdr>
        <w:top w:val="none" w:sz="0" w:space="0" w:color="auto"/>
        <w:left w:val="none" w:sz="0" w:space="0" w:color="auto"/>
        <w:bottom w:val="none" w:sz="0" w:space="0" w:color="auto"/>
        <w:right w:val="none" w:sz="0" w:space="0" w:color="auto"/>
      </w:divBdr>
    </w:div>
    <w:div w:id="2087221536">
      <w:marLeft w:val="0"/>
      <w:marRight w:val="0"/>
      <w:marTop w:val="0"/>
      <w:marBottom w:val="0"/>
      <w:divBdr>
        <w:top w:val="none" w:sz="0" w:space="0" w:color="auto"/>
        <w:left w:val="none" w:sz="0" w:space="0" w:color="auto"/>
        <w:bottom w:val="none" w:sz="0" w:space="0" w:color="auto"/>
        <w:right w:val="none" w:sz="0" w:space="0" w:color="auto"/>
      </w:divBdr>
    </w:div>
    <w:div w:id="2087604079">
      <w:marLeft w:val="0"/>
      <w:marRight w:val="0"/>
      <w:marTop w:val="0"/>
      <w:marBottom w:val="0"/>
      <w:divBdr>
        <w:top w:val="none" w:sz="0" w:space="0" w:color="auto"/>
        <w:left w:val="none" w:sz="0" w:space="0" w:color="auto"/>
        <w:bottom w:val="none" w:sz="0" w:space="0" w:color="auto"/>
        <w:right w:val="none" w:sz="0" w:space="0" w:color="auto"/>
      </w:divBdr>
    </w:div>
    <w:div w:id="2087876268">
      <w:marLeft w:val="0"/>
      <w:marRight w:val="0"/>
      <w:marTop w:val="0"/>
      <w:marBottom w:val="0"/>
      <w:divBdr>
        <w:top w:val="none" w:sz="0" w:space="0" w:color="auto"/>
        <w:left w:val="none" w:sz="0" w:space="0" w:color="auto"/>
        <w:bottom w:val="none" w:sz="0" w:space="0" w:color="auto"/>
        <w:right w:val="none" w:sz="0" w:space="0" w:color="auto"/>
      </w:divBdr>
    </w:div>
    <w:div w:id="2088183873">
      <w:marLeft w:val="0"/>
      <w:marRight w:val="0"/>
      <w:marTop w:val="0"/>
      <w:marBottom w:val="0"/>
      <w:divBdr>
        <w:top w:val="none" w:sz="0" w:space="0" w:color="auto"/>
        <w:left w:val="none" w:sz="0" w:space="0" w:color="auto"/>
        <w:bottom w:val="none" w:sz="0" w:space="0" w:color="auto"/>
        <w:right w:val="none" w:sz="0" w:space="0" w:color="auto"/>
      </w:divBdr>
    </w:div>
    <w:div w:id="2089498267">
      <w:marLeft w:val="0"/>
      <w:marRight w:val="0"/>
      <w:marTop w:val="0"/>
      <w:marBottom w:val="0"/>
      <w:divBdr>
        <w:top w:val="none" w:sz="0" w:space="0" w:color="auto"/>
        <w:left w:val="none" w:sz="0" w:space="0" w:color="auto"/>
        <w:bottom w:val="none" w:sz="0" w:space="0" w:color="auto"/>
        <w:right w:val="none" w:sz="0" w:space="0" w:color="auto"/>
      </w:divBdr>
    </w:div>
    <w:div w:id="2089616790">
      <w:marLeft w:val="0"/>
      <w:marRight w:val="0"/>
      <w:marTop w:val="0"/>
      <w:marBottom w:val="0"/>
      <w:divBdr>
        <w:top w:val="none" w:sz="0" w:space="0" w:color="auto"/>
        <w:left w:val="none" w:sz="0" w:space="0" w:color="auto"/>
        <w:bottom w:val="none" w:sz="0" w:space="0" w:color="auto"/>
        <w:right w:val="none" w:sz="0" w:space="0" w:color="auto"/>
      </w:divBdr>
      <w:divsChild>
        <w:div w:id="2111003333">
          <w:marLeft w:val="0"/>
          <w:marRight w:val="0"/>
          <w:marTop w:val="0"/>
          <w:marBottom w:val="0"/>
          <w:divBdr>
            <w:top w:val="none" w:sz="0" w:space="0" w:color="auto"/>
            <w:left w:val="none" w:sz="0" w:space="0" w:color="auto"/>
            <w:bottom w:val="none" w:sz="0" w:space="0" w:color="auto"/>
            <w:right w:val="none" w:sz="0" w:space="0" w:color="auto"/>
          </w:divBdr>
        </w:div>
        <w:div w:id="1657487227">
          <w:marLeft w:val="0"/>
          <w:marRight w:val="0"/>
          <w:marTop w:val="0"/>
          <w:marBottom w:val="0"/>
          <w:divBdr>
            <w:top w:val="none" w:sz="0" w:space="0" w:color="auto"/>
            <w:left w:val="none" w:sz="0" w:space="0" w:color="auto"/>
            <w:bottom w:val="none" w:sz="0" w:space="0" w:color="auto"/>
            <w:right w:val="none" w:sz="0" w:space="0" w:color="auto"/>
          </w:divBdr>
        </w:div>
        <w:div w:id="1750694963">
          <w:marLeft w:val="0"/>
          <w:marRight w:val="0"/>
          <w:marTop w:val="0"/>
          <w:marBottom w:val="0"/>
          <w:divBdr>
            <w:top w:val="none" w:sz="0" w:space="0" w:color="auto"/>
            <w:left w:val="none" w:sz="0" w:space="0" w:color="auto"/>
            <w:bottom w:val="none" w:sz="0" w:space="0" w:color="auto"/>
            <w:right w:val="none" w:sz="0" w:space="0" w:color="auto"/>
          </w:divBdr>
        </w:div>
        <w:div w:id="1685865977">
          <w:marLeft w:val="0"/>
          <w:marRight w:val="0"/>
          <w:marTop w:val="0"/>
          <w:marBottom w:val="0"/>
          <w:divBdr>
            <w:top w:val="none" w:sz="0" w:space="0" w:color="auto"/>
            <w:left w:val="none" w:sz="0" w:space="0" w:color="auto"/>
            <w:bottom w:val="none" w:sz="0" w:space="0" w:color="auto"/>
            <w:right w:val="none" w:sz="0" w:space="0" w:color="auto"/>
          </w:divBdr>
        </w:div>
      </w:divsChild>
    </w:div>
    <w:div w:id="2089959368">
      <w:marLeft w:val="0"/>
      <w:marRight w:val="0"/>
      <w:marTop w:val="0"/>
      <w:marBottom w:val="0"/>
      <w:divBdr>
        <w:top w:val="none" w:sz="0" w:space="0" w:color="auto"/>
        <w:left w:val="none" w:sz="0" w:space="0" w:color="auto"/>
        <w:bottom w:val="none" w:sz="0" w:space="0" w:color="auto"/>
        <w:right w:val="none" w:sz="0" w:space="0" w:color="auto"/>
      </w:divBdr>
    </w:div>
    <w:div w:id="2090686186">
      <w:marLeft w:val="0"/>
      <w:marRight w:val="0"/>
      <w:marTop w:val="0"/>
      <w:marBottom w:val="0"/>
      <w:divBdr>
        <w:top w:val="none" w:sz="0" w:space="0" w:color="auto"/>
        <w:left w:val="none" w:sz="0" w:space="0" w:color="auto"/>
        <w:bottom w:val="none" w:sz="0" w:space="0" w:color="auto"/>
        <w:right w:val="none" w:sz="0" w:space="0" w:color="auto"/>
      </w:divBdr>
    </w:div>
    <w:div w:id="2090888372">
      <w:marLeft w:val="0"/>
      <w:marRight w:val="0"/>
      <w:marTop w:val="0"/>
      <w:marBottom w:val="0"/>
      <w:divBdr>
        <w:top w:val="none" w:sz="0" w:space="0" w:color="auto"/>
        <w:left w:val="none" w:sz="0" w:space="0" w:color="auto"/>
        <w:bottom w:val="none" w:sz="0" w:space="0" w:color="auto"/>
        <w:right w:val="none" w:sz="0" w:space="0" w:color="auto"/>
      </w:divBdr>
    </w:div>
    <w:div w:id="2092853474">
      <w:marLeft w:val="0"/>
      <w:marRight w:val="0"/>
      <w:marTop w:val="0"/>
      <w:marBottom w:val="0"/>
      <w:divBdr>
        <w:top w:val="none" w:sz="0" w:space="0" w:color="auto"/>
        <w:left w:val="none" w:sz="0" w:space="0" w:color="auto"/>
        <w:bottom w:val="none" w:sz="0" w:space="0" w:color="auto"/>
        <w:right w:val="none" w:sz="0" w:space="0" w:color="auto"/>
      </w:divBdr>
    </w:div>
    <w:div w:id="2093578409">
      <w:marLeft w:val="0"/>
      <w:marRight w:val="0"/>
      <w:marTop w:val="0"/>
      <w:marBottom w:val="0"/>
      <w:divBdr>
        <w:top w:val="none" w:sz="0" w:space="0" w:color="auto"/>
        <w:left w:val="none" w:sz="0" w:space="0" w:color="auto"/>
        <w:bottom w:val="none" w:sz="0" w:space="0" w:color="auto"/>
        <w:right w:val="none" w:sz="0" w:space="0" w:color="auto"/>
      </w:divBdr>
    </w:div>
    <w:div w:id="2093700956">
      <w:marLeft w:val="0"/>
      <w:marRight w:val="0"/>
      <w:marTop w:val="0"/>
      <w:marBottom w:val="0"/>
      <w:divBdr>
        <w:top w:val="none" w:sz="0" w:space="0" w:color="auto"/>
        <w:left w:val="none" w:sz="0" w:space="0" w:color="auto"/>
        <w:bottom w:val="none" w:sz="0" w:space="0" w:color="auto"/>
        <w:right w:val="none" w:sz="0" w:space="0" w:color="auto"/>
      </w:divBdr>
    </w:div>
    <w:div w:id="2100440400">
      <w:marLeft w:val="0"/>
      <w:marRight w:val="0"/>
      <w:marTop w:val="0"/>
      <w:marBottom w:val="0"/>
      <w:divBdr>
        <w:top w:val="none" w:sz="0" w:space="0" w:color="auto"/>
        <w:left w:val="none" w:sz="0" w:space="0" w:color="auto"/>
        <w:bottom w:val="none" w:sz="0" w:space="0" w:color="auto"/>
        <w:right w:val="none" w:sz="0" w:space="0" w:color="auto"/>
      </w:divBdr>
    </w:div>
    <w:div w:id="2100758341">
      <w:marLeft w:val="0"/>
      <w:marRight w:val="0"/>
      <w:marTop w:val="0"/>
      <w:marBottom w:val="0"/>
      <w:divBdr>
        <w:top w:val="none" w:sz="0" w:space="0" w:color="auto"/>
        <w:left w:val="none" w:sz="0" w:space="0" w:color="auto"/>
        <w:bottom w:val="none" w:sz="0" w:space="0" w:color="auto"/>
        <w:right w:val="none" w:sz="0" w:space="0" w:color="auto"/>
      </w:divBdr>
    </w:div>
    <w:div w:id="2101170410">
      <w:marLeft w:val="0"/>
      <w:marRight w:val="0"/>
      <w:marTop w:val="0"/>
      <w:marBottom w:val="0"/>
      <w:divBdr>
        <w:top w:val="none" w:sz="0" w:space="0" w:color="auto"/>
        <w:left w:val="none" w:sz="0" w:space="0" w:color="auto"/>
        <w:bottom w:val="none" w:sz="0" w:space="0" w:color="auto"/>
        <w:right w:val="none" w:sz="0" w:space="0" w:color="auto"/>
      </w:divBdr>
    </w:div>
    <w:div w:id="2106223940">
      <w:marLeft w:val="0"/>
      <w:marRight w:val="0"/>
      <w:marTop w:val="0"/>
      <w:marBottom w:val="0"/>
      <w:divBdr>
        <w:top w:val="none" w:sz="0" w:space="0" w:color="auto"/>
        <w:left w:val="none" w:sz="0" w:space="0" w:color="auto"/>
        <w:bottom w:val="none" w:sz="0" w:space="0" w:color="auto"/>
        <w:right w:val="none" w:sz="0" w:space="0" w:color="auto"/>
      </w:divBdr>
    </w:div>
    <w:div w:id="2108766656">
      <w:marLeft w:val="0"/>
      <w:marRight w:val="0"/>
      <w:marTop w:val="0"/>
      <w:marBottom w:val="0"/>
      <w:divBdr>
        <w:top w:val="none" w:sz="0" w:space="0" w:color="auto"/>
        <w:left w:val="none" w:sz="0" w:space="0" w:color="auto"/>
        <w:bottom w:val="none" w:sz="0" w:space="0" w:color="auto"/>
        <w:right w:val="none" w:sz="0" w:space="0" w:color="auto"/>
      </w:divBdr>
    </w:div>
    <w:div w:id="2112583494">
      <w:marLeft w:val="0"/>
      <w:marRight w:val="0"/>
      <w:marTop w:val="0"/>
      <w:marBottom w:val="0"/>
      <w:divBdr>
        <w:top w:val="none" w:sz="0" w:space="0" w:color="auto"/>
        <w:left w:val="none" w:sz="0" w:space="0" w:color="auto"/>
        <w:bottom w:val="none" w:sz="0" w:space="0" w:color="auto"/>
        <w:right w:val="none" w:sz="0" w:space="0" w:color="auto"/>
      </w:divBdr>
    </w:div>
    <w:div w:id="2116821582">
      <w:marLeft w:val="0"/>
      <w:marRight w:val="0"/>
      <w:marTop w:val="0"/>
      <w:marBottom w:val="0"/>
      <w:divBdr>
        <w:top w:val="none" w:sz="0" w:space="0" w:color="auto"/>
        <w:left w:val="none" w:sz="0" w:space="0" w:color="auto"/>
        <w:bottom w:val="none" w:sz="0" w:space="0" w:color="auto"/>
        <w:right w:val="none" w:sz="0" w:space="0" w:color="auto"/>
      </w:divBdr>
    </w:div>
    <w:div w:id="2119370824">
      <w:marLeft w:val="0"/>
      <w:marRight w:val="0"/>
      <w:marTop w:val="0"/>
      <w:marBottom w:val="0"/>
      <w:divBdr>
        <w:top w:val="none" w:sz="0" w:space="0" w:color="auto"/>
        <w:left w:val="none" w:sz="0" w:space="0" w:color="auto"/>
        <w:bottom w:val="none" w:sz="0" w:space="0" w:color="auto"/>
        <w:right w:val="none" w:sz="0" w:space="0" w:color="auto"/>
      </w:divBdr>
    </w:div>
    <w:div w:id="2119637622">
      <w:marLeft w:val="0"/>
      <w:marRight w:val="0"/>
      <w:marTop w:val="0"/>
      <w:marBottom w:val="0"/>
      <w:divBdr>
        <w:top w:val="none" w:sz="0" w:space="0" w:color="auto"/>
        <w:left w:val="none" w:sz="0" w:space="0" w:color="auto"/>
        <w:bottom w:val="none" w:sz="0" w:space="0" w:color="auto"/>
        <w:right w:val="none" w:sz="0" w:space="0" w:color="auto"/>
      </w:divBdr>
    </w:div>
    <w:div w:id="2126387252">
      <w:marLeft w:val="0"/>
      <w:marRight w:val="0"/>
      <w:marTop w:val="0"/>
      <w:marBottom w:val="0"/>
      <w:divBdr>
        <w:top w:val="none" w:sz="0" w:space="0" w:color="auto"/>
        <w:left w:val="none" w:sz="0" w:space="0" w:color="auto"/>
        <w:bottom w:val="none" w:sz="0" w:space="0" w:color="auto"/>
        <w:right w:val="none" w:sz="0" w:space="0" w:color="auto"/>
      </w:divBdr>
    </w:div>
    <w:div w:id="2128229324">
      <w:marLeft w:val="0"/>
      <w:marRight w:val="0"/>
      <w:marTop w:val="0"/>
      <w:marBottom w:val="0"/>
      <w:divBdr>
        <w:top w:val="none" w:sz="0" w:space="0" w:color="auto"/>
        <w:left w:val="none" w:sz="0" w:space="0" w:color="auto"/>
        <w:bottom w:val="none" w:sz="0" w:space="0" w:color="auto"/>
        <w:right w:val="none" w:sz="0" w:space="0" w:color="auto"/>
      </w:divBdr>
      <w:divsChild>
        <w:div w:id="2051145778">
          <w:marLeft w:val="0"/>
          <w:marRight w:val="0"/>
          <w:marTop w:val="0"/>
          <w:marBottom w:val="0"/>
          <w:divBdr>
            <w:top w:val="none" w:sz="0" w:space="0" w:color="auto"/>
            <w:left w:val="none" w:sz="0" w:space="0" w:color="auto"/>
            <w:bottom w:val="none" w:sz="0" w:space="0" w:color="auto"/>
            <w:right w:val="none" w:sz="0" w:space="0" w:color="auto"/>
          </w:divBdr>
        </w:div>
      </w:divsChild>
    </w:div>
    <w:div w:id="2128885140">
      <w:marLeft w:val="0"/>
      <w:marRight w:val="0"/>
      <w:marTop w:val="0"/>
      <w:marBottom w:val="0"/>
      <w:divBdr>
        <w:top w:val="none" w:sz="0" w:space="0" w:color="auto"/>
        <w:left w:val="none" w:sz="0" w:space="0" w:color="auto"/>
        <w:bottom w:val="none" w:sz="0" w:space="0" w:color="auto"/>
        <w:right w:val="none" w:sz="0" w:space="0" w:color="auto"/>
      </w:divBdr>
    </w:div>
    <w:div w:id="214233580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895728/000110465922101576/tm2225572d4_ex3-2.htm" TargetMode="External"/><Relationship Id="rId13" Type="http://schemas.openxmlformats.org/officeDocument/2006/relationships/hyperlink" Target="eiex221-subsidiaryguaranto.htm" TargetMode="External"/><Relationship Id="rId18" Type="http://schemas.openxmlformats.org/officeDocument/2006/relationships/hyperlink" Target="ei-ex31252x109fv2cfocertif.htm" TargetMode="External"/><Relationship Id="rId3" Type="http://schemas.openxmlformats.org/officeDocument/2006/relationships/webSettings" Target="webSettings.xml"/><Relationship Id="rId21" Type="http://schemas.openxmlformats.org/officeDocument/2006/relationships/hyperlink" Target="ei-ex322cfocertification90.htm" TargetMode="External"/><Relationship Id="rId7" Type="http://schemas.openxmlformats.org/officeDocument/2006/relationships/hyperlink" Target="https://www.sec.gov/Archives/edgar/data/895728/000110465922101576/tm2225572d4_ex3-2.htm" TargetMode="External"/><Relationship Id="rId12" Type="http://schemas.openxmlformats.org/officeDocument/2006/relationships/hyperlink" Target="https://www.sec.gov/Archives/edgar/data/895728/000110465922101576/tm2225572d4_ex4-2.htm" TargetMode="External"/><Relationship Id="rId17" Type="http://schemas.openxmlformats.org/officeDocument/2006/relationships/hyperlink" Target="ei-ex31252x109fv2cfocertif.htm" TargetMode="External"/><Relationship Id="rId2" Type="http://schemas.openxmlformats.org/officeDocument/2006/relationships/settings" Target="settings.xml"/><Relationship Id="rId16" Type="http://schemas.openxmlformats.org/officeDocument/2006/relationships/hyperlink" Target="ei-ex31152x109fv2ceocertif.htm" TargetMode="External"/><Relationship Id="rId20" Type="http://schemas.openxmlformats.org/officeDocument/2006/relationships/hyperlink" Target="ei-ex321ceocertification90.htm" TargetMode="External"/><Relationship Id="rId1" Type="http://schemas.openxmlformats.org/officeDocument/2006/relationships/styles" Target="styles.xml"/><Relationship Id="rId6" Type="http://schemas.openxmlformats.org/officeDocument/2006/relationships/hyperlink" Target="https://www.sec.gov/Archives/edgar/data/895728/000110465922101576/tm2225572d4_ex3-1.htm" TargetMode="External"/><Relationship Id="rId11" Type="http://schemas.openxmlformats.org/officeDocument/2006/relationships/hyperlink" Target="https://www.sec.gov/Archives/edgar/data/895728/000110465922101576/tm2225572d4_ex4-2.htm" TargetMode="External"/><Relationship Id="rId24" Type="http://schemas.openxmlformats.org/officeDocument/2006/relationships/theme" Target="theme/theme1.xml"/><Relationship Id="rId5" Type="http://schemas.openxmlformats.org/officeDocument/2006/relationships/hyperlink" Target="https://www.sec.gov/Archives/edgar/data/895728/000110465922101576/tm2225572d4_ex3-1.htm" TargetMode="External"/><Relationship Id="rId15" Type="http://schemas.openxmlformats.org/officeDocument/2006/relationships/hyperlink" Target="ei-ex31152x109fv2ceocertif.htm" TargetMode="External"/><Relationship Id="rId23" Type="http://schemas.openxmlformats.org/officeDocument/2006/relationships/fontTable" Target="fontTable.xml"/><Relationship Id="rId10" Type="http://schemas.openxmlformats.org/officeDocument/2006/relationships/hyperlink" Target="https://www.sec.gov/Archives/edgar/data/895728/000110465922101576/tm2225572d4_ex4-1.htm" TargetMode="External"/><Relationship Id="rId19" Type="http://schemas.openxmlformats.org/officeDocument/2006/relationships/hyperlink" Target="ei-ex321ceocertification90.htm" TargetMode="External"/><Relationship Id="rId4" Type="http://schemas.openxmlformats.org/officeDocument/2006/relationships/image" Target="file:///E:\projects\LLMs\new_data_collection\data_new\htm\ENBRIDGE%20INC\enb-20220930_g1.jpg" TargetMode="External"/><Relationship Id="rId9" Type="http://schemas.openxmlformats.org/officeDocument/2006/relationships/hyperlink" Target="https://www.sec.gov/Archives/edgar/data/895728/000110465922101576/tm2225572d4_ex4-1.htm" TargetMode="External"/><Relationship Id="rId14" Type="http://schemas.openxmlformats.org/officeDocument/2006/relationships/hyperlink" Target="eiex221-subsidiaryguaranto.htm" TargetMode="External"/><Relationship Id="rId22" Type="http://schemas.openxmlformats.org/officeDocument/2006/relationships/hyperlink" Target="ei-ex322cfocertification9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41332</Words>
  <Characters>235595</Characters>
  <Application>Microsoft Office Word</Application>
  <DocSecurity>0</DocSecurity>
  <Lines>1963</Lines>
  <Paragraphs>552</Paragraphs>
  <ScaleCrop>false</ScaleCrop>
  <Company/>
  <LinksUpToDate>false</LinksUpToDate>
  <CharactersWithSpaces>276375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enb-20220930</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