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75A8F">
      <w:pPr>
        <w:divId w:val="721682528"/>
        <w:rPr>
          <w:rFonts w:eastAsia="Times New Roman"/>
          <w:vanish/>
        </w:rPr>
      </w:pPr>
      <w:r>
        <w:rPr>
          <w:rFonts w:eastAsia="Times New Roman"/>
          <w:vanish/>
        </w:rPr>
        <w:t>Q22020FALSE0001333986--12-310.010.012,000,000,0002,000,000,000552,896,328552,896,328449,436,843463,711,392103,459,48589,184,9361125,00025,00032323232323267,51562,93713666</w:t>
      </w:r>
      <w:r>
        <w:rPr>
          <w:rFonts w:eastAsia="Times New Roman"/>
          <w:vanish/>
        </w:rPr>
        <w:t>us-gaap:AccountingStandardsUpdate201613Member0.170.150.320.2840150242417—3,4903,55851.268.074.669.855.133366.56.563.869.867.61.60.72.633366.56.5687378767335310101072747270713.363.36.566.5—0.0580.00363.733.614.06.223.410.20.92511.1810.0110.00550.01440.00730</w:t>
      </w:r>
      <w:r>
        <w:rPr>
          <w:rFonts w:eastAsia="Times New Roman"/>
          <w:vanish/>
        </w:rPr>
        <w:t>.8101.55—81.11—496.21434240.010.182.760.070.540.4242.20.01660.819.92.590.311.01.17—100.06.190.010.191.380.060.530.4141.390.01090.02320.01781.111.11.550.622.21.1100.01.11—306.214.034.0240.01660.8101.55—7.01.1110014.034.024.081.661.219.91.55—8.01.11—100.06.2</w:t>
      </w:r>
      <w:r>
        <w:rPr>
          <w:rFonts w:eastAsia="Times New Roman"/>
          <w:vanish/>
        </w:rPr>
        <w:t>14.034.0241.66110.01.5514.034.0240.00650.0580.01843.356.714.33.916.510.00.848.110.78.010.0110.00550.01090.810.0—8.0—499.030.00.010.180.070.540.4242.200.01240.819.90.311.0—100.00.010.190.060.530.4141.390.00610.01411.111.10.622.21.1100—309300.01240.810.0—7.0</w:t>
      </w:r>
      <w:r>
        <w:rPr>
          <w:rFonts w:eastAsia="Times New Roman"/>
          <w:vanish/>
        </w:rPr>
        <w:t>1009.030.00.01241.219.9—8.0—100.09.030.0110.0930.04283628105806513170.0010.0010.0010.001P5Y0.00100013339862020-01-012020-06-300001333986us-gaap:CommonClassAMemberexch:XNYS2020-01-012020-06-300001333986exch:XNYSus-gaap:SeriesAPreferredStockMember2020-01-012</w:t>
      </w:r>
      <w:r>
        <w:rPr>
          <w:rFonts w:eastAsia="Times New Roman"/>
          <w:vanish/>
        </w:rPr>
        <w:t>020-06-30xbrli:shares00013339862020-08-03iso4217:USD00013339862020-06-3000013339862019-12-31iso4217:USDxbrli:shares0001333986us-gaap:FixedMaturitiesMember2020-06-300001333986us-gaap:FixedMaturitiesMember2019-12-3100013339862020-04-012020-06-300001333986201</w:t>
      </w:r>
      <w:r>
        <w:rPr>
          <w:rFonts w:eastAsia="Times New Roman"/>
          <w:vanish/>
        </w:rPr>
        <w:t>9-04-012019-06-3000013339862019-01-012019-06-300001333986us-gaap:PreferredStockIncludingAdditionalPaidInCapitalMember2020-03-310001333986us-gaap:CommonStockMember2020-03-310001333986us-gaap:AdditionalPaidInCapitalMember2020-03-310001333986us-gaap:TreasuryS</w:t>
      </w:r>
      <w:r>
        <w:rPr>
          <w:rFonts w:eastAsia="Times New Roman"/>
          <w:vanish/>
        </w:rPr>
        <w:t>tockMember2020-03-310001333986us-gaap:RetainedEarningsMember2020-03-310001333986us-gaap:AccumulatedOtherComprehensiveIncomeMember2020-03-310001333986us-gaap:ParentMember2020-03-310001333986us-gaap:NoncontrollingInterestMember2020-03-3100013339862020-03-310</w:t>
      </w:r>
      <w:r>
        <w:rPr>
          <w:rFonts w:eastAsia="Times New Roman"/>
          <w:vanish/>
        </w:rPr>
        <w:t>001333986us-gaap:AdditionalPaidInCapitalMember2020-04-012020-06-300001333986us-gaap:TreasuryStockMember2020-04-012020-06-300001333986us-gaap:ParentMember2020-04-012020-06-300001333986us-gaap:NoncontrollingInterestMember2020-04-012020-06-300001333986us-gaap</w:t>
      </w:r>
      <w:r>
        <w:rPr>
          <w:rFonts w:eastAsia="Times New Roman"/>
          <w:vanish/>
        </w:rPr>
        <w:t>:RetainedEarningsMember2020-04-012020-06-300001333986us-gaap:AccumulatedOtherComprehensiveIncomeMember2020-04-012020-06-300001333986us-gaap:PreferredStockIncludingAdditionalPaidInCapitalMember2020-06-300001333986us-gaap:CommonStockMember2020-06-30000133398</w:t>
      </w:r>
      <w:r>
        <w:rPr>
          <w:rFonts w:eastAsia="Times New Roman"/>
          <w:vanish/>
        </w:rPr>
        <w:t>6us-gaap:AdditionalPaidInCapitalMember2020-06-300001333986us-gaap:TreasuryStockMember2020-06-300001333986us-gaap:RetainedEarningsMember2020-06-300001333986us-gaap:AccumulatedOtherComprehensiveIncomeMember2020-06-300001333986us-gaap:ParentMember2020-06-3000</w:t>
      </w:r>
      <w:r>
        <w:rPr>
          <w:rFonts w:eastAsia="Times New Roman"/>
          <w:vanish/>
        </w:rPr>
        <w:t>01333986us-gaap:NoncontrollingInterestMember2020-06-300001333986us-gaap:PreferredStockIncludingAdditionalPaidInCapitalMember2019-03-310001333986us-gaap:CommonStockMember2019-03-310001333986us-gaap:AdditionalPaidInCapitalMember2019-03-310001333986us-gaap:Tr</w:t>
      </w:r>
      <w:r>
        <w:rPr>
          <w:rFonts w:eastAsia="Times New Roman"/>
          <w:vanish/>
        </w:rPr>
        <w:t>easuryStockMember2019-03-310001333986us-gaap:RetainedEarningsMember2019-03-310001333986us-gaap:AccumulatedOtherComprehensiveIncomeMember2019-03-310001333986us-gaap:ParentMember2019-03-310001333986us-gaap:NoncontrollingInterestMember2019-03-3100013339862019</w:t>
      </w:r>
      <w:r>
        <w:rPr>
          <w:rFonts w:eastAsia="Times New Roman"/>
          <w:vanish/>
        </w:rPr>
        <w:t>-03-310001333986us-gaap:AdditionalPaidInCapitalMember2019-04-012019-06-300001333986us-gaap:TreasuryStockMember2019-04-012019-06-300001333986us-gaap:ParentMember2019-04-012019-06-300001333986us-gaap:NoncontrollingInterestMember2019-04-012019-06-300001333986</w:t>
      </w:r>
      <w:r>
        <w:rPr>
          <w:rFonts w:eastAsia="Times New Roman"/>
          <w:vanish/>
        </w:rPr>
        <w:t>us-gaap:RetainedEarningsMember2019-04-012019-06-300001333986us-gaap:AccumulatedOtherComprehensiveIncomeMember2019-04-012019-06-300001333986us-gaap:PreferredStockIncludingAdditionalPaidInCapitalMember2019-06-300001333986us-gaap:CommonStockMember2019-06-3000</w:t>
      </w:r>
      <w:r>
        <w:rPr>
          <w:rFonts w:eastAsia="Times New Roman"/>
          <w:vanish/>
        </w:rPr>
        <w:t>01333986us-gaap:AdditionalPaidInCapitalMember2019-06-300001333986us-gaap:TreasuryStockMember2019-06-300001333986us-gaap:RetainedEarningsMember2019-06-300001333986us-gaap:AccumulatedOtherComprehensiveIncomeMember2019-06-300001333986us-gaap:ParentMember2019-</w:t>
      </w:r>
      <w:r>
        <w:rPr>
          <w:rFonts w:eastAsia="Times New Roman"/>
          <w:vanish/>
        </w:rPr>
        <w:t>06-300001333986us-gaap:NoncontrollingInterestMember2019-06-3000013339862019-06-300001333986us-gaap:PreferredStockIncludingAdditionalPaidInCapitalMember2019-12-310001333986us-gaap:CommonStockMember2019-12-310001333986us-gaap:AdditionalPaidInCapitalMember201</w:t>
      </w:r>
      <w:r>
        <w:rPr>
          <w:rFonts w:eastAsia="Times New Roman"/>
          <w:vanish/>
        </w:rPr>
        <w:t>9-12-310001333986us-gaap:TreasuryStockMember2019-12-310001333986us-gaap:RetainedEarningsMember2019-12-310001333986us-gaap:AccumulatedOtherComprehensiveIncomeMember2019-12-310001333986us-gaap:ParentMember2019-12-310001333986us-gaap:NoncontrollingInterestMem</w:t>
      </w:r>
      <w:r>
        <w:rPr>
          <w:rFonts w:eastAsia="Times New Roman"/>
          <w:vanish/>
        </w:rPr>
        <w:t>ber2019-12-310001333986srt:CumulativeEffectPeriodOfAdoptionAdjustedBalanceMemberus-gaap:RetainedEarningsMember2019-12-310001333986srt:CumulativeEffectPeriodOfAdoptionAdjustedBalanceMemberus-gaap:ParentMember2019-12-310001333986srt:CumulativeEffectPeriodOfA</w:t>
      </w:r>
      <w:r>
        <w:rPr>
          <w:rFonts w:eastAsia="Times New Roman"/>
          <w:vanish/>
        </w:rPr>
        <w:t>doptionAdjustedBalanceMember2019-12-310001333986us-gaap:AdditionalPaidInCapitalMember2020-01-012020-06-300001333986us-gaap:TreasuryStockMember2020-01-012020-06-300001333986us-gaap:ParentMember2020-01-012020-06-300001333986us-gaap:NoncontrollingInterestMemb</w:t>
      </w:r>
      <w:r>
        <w:rPr>
          <w:rFonts w:eastAsia="Times New Roman"/>
          <w:vanish/>
        </w:rPr>
        <w:t>er2020-01-012020-06-300001333986us-gaap:RetainedEarningsMember2020-01-012020-06-300001333986us-gaap:AccumulatedOtherComprehensiveIncomeMember2020-01-012020-06-300001333986us-gaap:PreferredStockIncludingAdditionalPaidInCapitalMember2018-12-310001333986us-ga</w:t>
      </w:r>
      <w:r>
        <w:rPr>
          <w:rFonts w:eastAsia="Times New Roman"/>
          <w:vanish/>
        </w:rPr>
        <w:t>ap:CommonStockMember2018-12-310001333986us-gaap:AdditionalPaidInCapitalMember2018-12-310001333986us-gaap:TreasuryStockMember2018-12-310001333986us-gaap:RetainedEarningsMember2018-12-310001333986us-gaap:AccumulatedOtherComprehensiveIncomeMember2018-12-31000</w:t>
      </w:r>
      <w:r>
        <w:rPr>
          <w:rFonts w:eastAsia="Times New Roman"/>
          <w:vanish/>
        </w:rPr>
        <w:t>1333986us-gaap:ParentMember2018-12-310001333986us-gaap:NoncontrollingInterestMember2018-12-3100013339862018-12-310001333986us-gaap:AdditionalPaidInCapitalMember2019-01-012019-06-300001333986us-gaap:TreasuryStockMember2019-01-012019-06-300001333986us-gaap:P</w:t>
      </w:r>
      <w:r>
        <w:rPr>
          <w:rFonts w:eastAsia="Times New Roman"/>
          <w:vanish/>
        </w:rPr>
        <w:t>arentMember2019-01-012019-06-300001333986us-gaap:NoncontrollingInterestMember2019-01-012019-06-300001333986us-gaap:RetainedEarningsMember2019-01-012019-06-300001333986us-gaap:AccumulatedOtherComprehensiveIncomeMember2019-01-012019-06-30axaeq:segmentxbrli:p</w:t>
      </w:r>
      <w:r>
        <w:rPr>
          <w:rFonts w:eastAsia="Times New Roman"/>
          <w:vanish/>
        </w:rPr>
        <w:t>ure0001333986axaeq:AllianceBernsteinMember2020-01-012020-06-300001333986axaeq:AllianceBernsteinMember2019-01-012019-12-310001333986axaeq:U.S.FinancialLifeInsuranceCompanyandMONYLifeInsuranceCompanyoftheAmericasLtdMember2020-01-012020-06-300001333986axaeq:U</w:t>
      </w:r>
      <w:r>
        <w:rPr>
          <w:rFonts w:eastAsia="Times New Roman"/>
          <w:vanish/>
        </w:rPr>
        <w:t>.S.FinancialLifeInsuranceCompanyandMONYLifeInsuranceCompanyoftheAmericasLtdMember2019-01-012019-12-310001333986srt:CumulativeEffectPeriodOfAdoptionAdjustedBalanceMemberus-gaap:RetainedEarningsMemberus-gaap:AccountingStandardsUpdate201613Member2020-01-01000</w:t>
      </w:r>
      <w:r>
        <w:rPr>
          <w:rFonts w:eastAsia="Times New Roman"/>
          <w:vanish/>
        </w:rPr>
        <w:t>1333986srt:MinimumMemberus-gaap:RealEstateMember2020-01-012020-06-300001333986us-gaap:RealEstateMembersrt:MaximumMember2020-01-012020-06-30axaeq:joint_venture0001333986us-gaap:VariableInterestEntityPrimaryBeneficiaryMember2020-06-300001333986us-gaap:Variab</w:t>
      </w:r>
      <w:r>
        <w:rPr>
          <w:rFonts w:eastAsia="Times New Roman"/>
          <w:vanish/>
        </w:rPr>
        <w:t>leInterestEntityPrimaryBeneficiaryMember2019-12-310001333986us-gaap:VariableInterestEntityPrimaryBeneficiaryMemberaxaeq:ABSponsoredInvestmentFundsMember2020-06-300001333986us-gaap:VariableInterestEntityPrimaryBeneficiaryMemberaxaeq:ABSponsoredInvestmentFun</w:t>
      </w:r>
      <w:r>
        <w:rPr>
          <w:rFonts w:eastAsia="Times New Roman"/>
          <w:vanish/>
        </w:rPr>
        <w:t>dsMember2019-12-310001333986axaeq:ABSponsoredInvestmentFundsMemberaxaeq:VOEConsolidationModelMember2020-06-300001333986axaeq:ABSponsoredInvestmentFundsMemberaxaeq:VOEConsolidationModelMember2019-12-310001333986axaeq:NonConsolidatedVairableInterestEntitiesV</w:t>
      </w:r>
      <w:r>
        <w:rPr>
          <w:rFonts w:eastAsia="Times New Roman"/>
          <w:vanish/>
        </w:rPr>
        <w:t>IEMember2020-06-300001333986axaeq:NonConsolidatedVairableInterestEntitiesVIEMember2019-12-310001333986axaeq:NonConsolidatedVairableInterestEntitiesVIEMember2020-01-012020-06-300001333986axaeq:NonConsolidatedVairableInterestEntitiesVIEMember2019-01-012019-1</w:t>
      </w:r>
      <w:r>
        <w:rPr>
          <w:rFonts w:eastAsia="Times New Roman"/>
          <w:vanish/>
        </w:rPr>
        <w:t>2-310001333986axaeq:ABSponsoredInvestmentFundsMemberaxaeq:NonConsolidatedVairableInterestEntitiesVIEMember2020-06-300001333986axaeq:ABSponsoredInvestmentFundsMemberaxaeq:NonConsolidatedVairableInterestEntitiesVIEMember2019-12-310001333986axaeq:A5yearHistor</w:t>
      </w:r>
      <w:r>
        <w:rPr>
          <w:rFonts w:eastAsia="Times New Roman"/>
          <w:vanish/>
        </w:rPr>
        <w:t>icalAverageOverA10yearPeriodMember2020-03-310001333986axaeq:LongtermLapsesPartialWithdrawalRatesAndElectionAssumptionsUpdatesMember2020-01-012020-06-300001333986axaeq:EconomicScenarioGeneratorMember2020-01-012020-06-300001333986us-gaap:FixedMaturitiesMembe</w:t>
      </w:r>
      <w:r>
        <w:rPr>
          <w:rFonts w:eastAsia="Times New Roman"/>
          <w:vanish/>
        </w:rPr>
        <w:t>r2020-01-012020-06-300001333986us-gaap:FixedMaturitiesMember2020-04-012020-06-300001333986us-gaap:CorporateDebtSecuritiesMember2020-06-300001333986us-gaap:USTreasuryAndGovernmentMember2020-06-300001333986us-gaap:USStatesAndPoliticalSubdivisionsMember2020-0</w:t>
      </w:r>
      <w:r>
        <w:rPr>
          <w:rFonts w:eastAsia="Times New Roman"/>
          <w:vanish/>
        </w:rPr>
        <w:t>6-300001333986us-gaap:ForeignGovernmentDebtSecuritiesMember2020-06-300001333986us-gaap:ResidentialMortgageBackedSecuritiesMember2020-06-300001333986us-gaap:AssetBackedSecuritiesMember2020-06-300001333986us-gaap:CommercialMortgageBackedSecuritiesMember2020-</w:t>
      </w:r>
      <w:r>
        <w:rPr>
          <w:rFonts w:eastAsia="Times New Roman"/>
          <w:vanish/>
        </w:rPr>
        <w:t>06-300001333986us-gaap:RedeemablePreferredStockMember2020-06-300001333986us-gaap:CorporateDebtSecuritiesMember2019-12-310001333986us-gaap:USTreasuryAndGovernmentMember2019-12-310001333986us-gaap:USStatesAndPoliticalSubdivisionsMember2019-12-310001333986us-</w:t>
      </w:r>
      <w:r>
        <w:rPr>
          <w:rFonts w:eastAsia="Times New Roman"/>
          <w:vanish/>
        </w:rPr>
        <w:t>gaap:ForeignGovernmentDebtSecuritiesMember2019-12-310001333986us-gaap:ResidentialMortgageBackedSecuritiesMember2019-12-310001333986us-gaap:AssetBackedSecuritiesMember2019-12-310001333986us-gaap:RedeemablePreferredStockMember2019-12-310001333986axaeq:NetUnr</w:t>
      </w:r>
      <w:r>
        <w:rPr>
          <w:rFonts w:eastAsia="Times New Roman"/>
          <w:vanish/>
        </w:rPr>
        <w:t>ealizedGainsLossesOnInvestmentsMemberaxaeq:UnrealizedInvestmentGainsLossesAllOtherMemberus-gaap:AccumulatedNetUnrealizedInvestmentGainLossMember2020-03-310001333986axaeq:DacMemberaxaeq:UnrealizedInvestmentGainsLossesAllOtherMemberus-gaap:AccumulatedNetUnre</w:t>
      </w:r>
      <w:r>
        <w:rPr>
          <w:rFonts w:eastAsia="Times New Roman"/>
          <w:vanish/>
        </w:rPr>
        <w:t>alizedInvestmentGainLossMember2020-03-310001333986axaeq:UnrealizedInvestmentGainsLossesAllOtherMemberaxaeq:PolicyholdersLiabilitiesMemberus-gaap:AccumulatedNetUnrealizedInvestmentGainLossMember2020-03-310001333986axaeq:DeferredIncomeTaxAssetLiabilityMember</w:t>
      </w:r>
      <w:r>
        <w:rPr>
          <w:rFonts w:eastAsia="Times New Roman"/>
          <w:vanish/>
        </w:rPr>
        <w:t>axaeq:UnrealizedInvestmentGainsLossesAllOtherMemberus-gaap:AccumulatedNetUnrealizedInvestmentGainLossMember2020-03-310001333986axaeq:AociGainLossesRelatedToNetUnrealizedInvestmentGainsLossesMemberaxaeq:UnrealizedInvestmentGainsLossesAllOtherMemberus-gaap:A</w:t>
      </w:r>
      <w:r>
        <w:rPr>
          <w:rFonts w:eastAsia="Times New Roman"/>
          <w:vanish/>
        </w:rPr>
        <w:t>ccumulatedNetUnrealizedInvestmentGainLossMember2020-03-310001333986axaeq:NetUnrealizedGainsLossesOnInvestmentsMemberaxaeq:UnrealizedInvestmentGainsLossesAllOtherMemberus-gaap:AccumulatedNetUnrealizedInvestmentGainLossMember2020-04-012020-06-300001333986axa</w:t>
      </w:r>
      <w:r>
        <w:rPr>
          <w:rFonts w:eastAsia="Times New Roman"/>
          <w:vanish/>
        </w:rPr>
        <w:t>eq:AociGainLossesRelatedToNetUnrealizedInvestmentGainsLossesMemberaxaeq:UnrealizedInvestmentGainsLossesAllOtherMemberus-gaap:AccumulatedNetUnrealizedInvestmentGainLossMember2020-04-012020-06-300001333986axaeq:DacMemberaxaeq:UnrealizedInvestmentGainsLossesA</w:t>
      </w:r>
      <w:r>
        <w:rPr>
          <w:rFonts w:eastAsia="Times New Roman"/>
          <w:vanish/>
        </w:rPr>
        <w:t>llOtherMemberus-gaap:AccumulatedNetUnrealizedInvestmentGainLossMember2020-04-012020-06-300001333986axaeq:DeferredIncomeTaxAssetLiabilityMemberaxaeq:UnrealizedInvestmentGainsLossesAllOtherMemberus-gaap:AccumulatedNetUnrealizedInvestmentGainLossMember2020-04</w:t>
      </w:r>
      <w:r>
        <w:rPr>
          <w:rFonts w:eastAsia="Times New Roman"/>
          <w:vanish/>
        </w:rPr>
        <w:t>-012020-06-300001333986axaeq:UnrealizedInvestmentGainsLossesAllOtherMemberaxaeq:PolicyholdersLiabilitiesMemberus-gaap:AccumulatedNetUnrealizedInvestmentGainLossMember2020-04-012020-06-300001333986axaeq:DacMemberus-gaap:FixedMaturitiesMemberaxaeq:Unrealized</w:t>
      </w:r>
      <w:r>
        <w:rPr>
          <w:rFonts w:eastAsia="Times New Roman"/>
          <w:vanish/>
        </w:rPr>
        <w:t>InvestmentGainsLossesAllOtherMemberus-gaap:AccumulatedNetUnrealizedInvestmentGainLossMember2020-04-012020-06-300001333986us-gaap:FixedMaturitiesMemberaxaeq:UnrealizedInvestmentGainsLossesAllOtherMemberaxaeq:PolicyholdersLiabilitiesMemberus-gaap:Accumulated</w:t>
      </w:r>
      <w:r>
        <w:rPr>
          <w:rFonts w:eastAsia="Times New Roman"/>
          <w:vanish/>
        </w:rPr>
        <w:t>NetUnrealizedInvestmentGainLossMember2020-04-012020-06-300001333986us-gaap:FixedMaturitiesMemberaxaeq:DeferredIncomeTaxAssetLiabilityMemberaxaeq:UnrealizedInvestmentGainsLossesAllOtherMemberus-gaap:AccumulatedNetUnrealizedInvestmentGainLossMember2020-04-01</w:t>
      </w:r>
      <w:r>
        <w:rPr>
          <w:rFonts w:eastAsia="Times New Roman"/>
          <w:vanish/>
        </w:rPr>
        <w:t>2020-06-300001333986axaeq:NetUnrealizedGainsLossesOnInvestmentsMemberaxaeq:UnrealizedInvestmentGainsLossesAllOtherMemberus-gaap:AccumulatedNetUnrealizedInvestmentGainLossMember2020-06-300001333986axaeq:DacMemberaxaeq:UnrealizedInvestmentGainsLossesAllOther</w:t>
      </w:r>
      <w:r>
        <w:rPr>
          <w:rFonts w:eastAsia="Times New Roman"/>
          <w:vanish/>
        </w:rPr>
        <w:t>Memberus-gaap:AccumulatedNetUnrealizedInvestmentGainLossMember2020-06-300001333986axaeq:UnrealizedInvestmentGainsLossesAllOtherMemberaxaeq:PolicyholdersLiabilitiesMemberus-gaap:AccumulatedNetUnrealizedInvestmentGainLossMember2020-06-300001333986axaeq:Defer</w:t>
      </w:r>
      <w:r>
        <w:rPr>
          <w:rFonts w:eastAsia="Times New Roman"/>
          <w:vanish/>
        </w:rPr>
        <w:t>redIncomeTaxAssetLiabilityMemberaxaeq:UnrealizedInvestmentGainsLossesAllOtherMemberus-gaap:AccumulatedNetUnrealizedInvestmentGainLossMember2020-06-300001333986axaeq:AociGainLossesRelatedToNetUnrealizedInvestmentGainsLossesMemberaxaeq:UnrealizedInvestmentGa</w:t>
      </w:r>
      <w:r>
        <w:rPr>
          <w:rFonts w:eastAsia="Times New Roman"/>
          <w:vanish/>
        </w:rPr>
        <w:t>insLossesAllOtherMemberus-gaap:AccumulatedNetUnrealizedInvestmentGainLossMember2020-06-300001333986axaeq:NetUnrealizedGainsLossesOnInvestmentsMemberaxaeq:UnrealizedInvestmentGainsLossesAllOtherMemberus-gaap:AccumulatedNetUnrealizedInvestmentGainLossMember2</w:t>
      </w:r>
      <w:r>
        <w:rPr>
          <w:rFonts w:eastAsia="Times New Roman"/>
          <w:vanish/>
        </w:rPr>
        <w:t>019-03-310001333986axaeq:DacMemberaxaeq:UnrealizedInvestmentGainsLossesAllOtherMemberus-gaap:AccumulatedNetUnrealizedInvestmentGainLossMember2019-03-310001333986axaeq:UnrealizedInvestmentGainsLossesAllOtherMemberaxaeq:PolicyholdersLiabilitiesMemberus-gaap:</w:t>
      </w:r>
      <w:r>
        <w:rPr>
          <w:rFonts w:eastAsia="Times New Roman"/>
          <w:vanish/>
        </w:rPr>
        <w:t>AccumulatedNetUnrealizedInvestmentGainLossMember2019-03-310001333986axaeq:DeferredIncomeTaxAssetLiabilityMemberaxaeq:UnrealizedInvestmentGainsLossesAllOtherMemberus-gaap:AccumulatedNetUnrealizedInvestmentGainLossMember2019-03-310001333986axaeq:AociGainLoss</w:t>
      </w:r>
      <w:r>
        <w:rPr>
          <w:rFonts w:eastAsia="Times New Roman"/>
          <w:vanish/>
        </w:rPr>
        <w:t>esRelatedToNetUnrealizedInvestmentGainsLossesMemberaxaeq:UnrealizedInvestmentGainsLossesAllOtherMemberus-gaap:AccumulatedNetUnrealizedInvestmentGainLossMember2019-03-310001333986axaeq:NetUnrealizedGainsLossesOnInvestmentsMemberaxaeq:UnrealizedInvestmentGai</w:t>
      </w:r>
      <w:r>
        <w:rPr>
          <w:rFonts w:eastAsia="Times New Roman"/>
          <w:vanish/>
        </w:rPr>
        <w:t>nsLossesAllOtherMemberus-gaap:AccumulatedNetUnrealizedInvestmentGainLossMember2019-04-012019-06-300001333986axaeq:AociGainLossesRelatedToNetUnrealizedInvestmentGainsLossesMemberaxaeq:UnrealizedInvestmentGainsLossesAllOtherMemberus-gaap:AccumulatedNetUnreal</w:t>
      </w:r>
      <w:r>
        <w:rPr>
          <w:rFonts w:eastAsia="Times New Roman"/>
          <w:vanish/>
        </w:rPr>
        <w:t>izedInvestmentGainLossMember2019-04-012019-06-300001333986axaeq:DacMemberaxaeq:UnrealizedInvestmentGainsLossesAllOtherMemberus-gaap:AccumulatedNetUnrealizedInvestmentGainLossMember2019-04-012019-06-300001333986axaeq:DeferredIncomeTaxAssetLiabilityMemberaxa</w:t>
      </w:r>
      <w:r>
        <w:rPr>
          <w:rFonts w:eastAsia="Times New Roman"/>
          <w:vanish/>
        </w:rPr>
        <w:t>eq:UnrealizedInvestmentGainsLossesAllOtherMemberus-gaap:AccumulatedNetUnrealizedInvestmentGainLossMember2019-04-012019-06-300001333986axaeq:UnrealizedInvestmentGainsLossesAllOtherMemberaxaeq:PolicyholdersLiabilitiesMemberus-gaap:AccumulatedNetUnrealizedInv</w:t>
      </w:r>
      <w:r>
        <w:rPr>
          <w:rFonts w:eastAsia="Times New Roman"/>
          <w:vanish/>
        </w:rPr>
        <w:t>estmentGainLossMember2019-04-012019-06-300001333986axaeq:DacMemberus-gaap:FixedMaturitiesMemberaxaeq:UnrealizedInvestmentGainsLossesAllOtherMemberus-gaap:AccumulatedNetUnrealizedInvestmentGainLossMember2019-04-012019-06-300001333986us-gaap:FixedMaturitiesM</w:t>
      </w:r>
      <w:r>
        <w:rPr>
          <w:rFonts w:eastAsia="Times New Roman"/>
          <w:vanish/>
        </w:rPr>
        <w:t>emberaxaeq:UnrealizedInvestmentGainsLossesAllOtherMemberaxaeq:PolicyholdersLiabilitiesMemberus-gaap:AccumulatedNetUnrealizedInvestmentGainLossMember2019-04-012019-06-300001333986us-gaap:FixedMaturitiesMemberaxaeq:DeferredIncomeTaxAssetLiabilityMemberaxaeq:</w:t>
      </w:r>
      <w:r>
        <w:rPr>
          <w:rFonts w:eastAsia="Times New Roman"/>
          <w:vanish/>
        </w:rPr>
        <w:t>UnrealizedInvestmentGainsLossesAllOtherMemberus-gaap:AccumulatedNetUnrealizedInvestmentGainLossMember2019-04-012019-06-300001333986axaeq:NetUnrealizedGainsLossesOnInvestmentsMemberaxaeq:UnrealizedInvestmentGainsLossesAllOtherMemberus-gaap:AccumulatedNetUnr</w:t>
      </w:r>
      <w:r>
        <w:rPr>
          <w:rFonts w:eastAsia="Times New Roman"/>
          <w:vanish/>
        </w:rPr>
        <w:t>ealizedInvestmentGainLossMember2019-06-300001333986axaeq:DacMemberaxaeq:UnrealizedInvestmentGainsLossesAllOtherMemberus-gaap:AccumulatedNetUnrealizedInvestmentGainLossMember2019-06-300001333986axaeq:UnrealizedInvestmentGainsLossesAllOtherMemberaxaeq:Policy</w:t>
      </w:r>
      <w:r>
        <w:rPr>
          <w:rFonts w:eastAsia="Times New Roman"/>
          <w:vanish/>
        </w:rPr>
        <w:t>holdersLiabilitiesMemberus-gaap:AccumulatedNetUnrealizedInvestmentGainLossMember2019-06-300001333986axaeq:DeferredIncomeTaxAssetLiabilityMemberaxaeq:UnrealizedInvestmentGainsLossesAllOtherMemberus-gaap:AccumulatedNetUnrealizedInvestmentGainLossMember2019-0</w:t>
      </w:r>
      <w:r>
        <w:rPr>
          <w:rFonts w:eastAsia="Times New Roman"/>
          <w:vanish/>
        </w:rPr>
        <w:t>6-300001333986axaeq:AociGainLossesRelatedToNetUnrealizedInvestmentGainsLossesMemberaxaeq:UnrealizedInvestmentGainsLossesAllOtherMemberus-gaap:AccumulatedNetUnrealizedInvestmentGainLossMember2019-06-300001333986axaeq:NetUnrealizedGainsLossesOnInvestmentsMem</w:t>
      </w:r>
      <w:r>
        <w:rPr>
          <w:rFonts w:eastAsia="Times New Roman"/>
          <w:vanish/>
        </w:rPr>
        <w:t>beraxaeq:UnrealizedInvestmentGainsLossesAllOtherMemberus-gaap:AccumulatedNetUnrealizedInvestmentGainLossMember2019-12-310001333986axaeq:DacMemberaxaeq:UnrealizedInvestmentGainsLossesAllOtherMemberus-gaap:AccumulatedNetUnrealizedInvestmentGainLossMember2019</w:t>
      </w:r>
      <w:r>
        <w:rPr>
          <w:rFonts w:eastAsia="Times New Roman"/>
          <w:vanish/>
        </w:rPr>
        <w:t>-12-310001333986axaeq:UnrealizedInvestmentGainsLossesAllOtherMemberaxaeq:PolicyholdersLiabilitiesMemberus-gaap:AccumulatedNetUnrealizedInvestmentGainLossMember2019-12-310001333986axaeq:DeferredIncomeTaxAssetLiabilityMemberaxaeq:UnrealizedInvestmentGainsLos</w:t>
      </w:r>
      <w:r>
        <w:rPr>
          <w:rFonts w:eastAsia="Times New Roman"/>
          <w:vanish/>
        </w:rPr>
        <w:t>sesAllOtherMemberus-gaap:AccumulatedNetUnrealizedInvestmentGainLossMember2019-12-310001333986axaeq:AociGainLossesRelatedToNetUnrealizedInvestmentGainsLossesMemberaxaeq:UnrealizedInvestmentGainsLossesAllOtherMemberus-gaap:AccumulatedNetUnrealizedInvestmentG</w:t>
      </w:r>
      <w:r>
        <w:rPr>
          <w:rFonts w:eastAsia="Times New Roman"/>
          <w:vanish/>
        </w:rPr>
        <w:t>ainLossMember2019-12-310001333986axaeq:NetUnrealizedGainsLossesOnInvestmentsMemberaxaeq:UnrealizedInvestmentGainsLossesAllOtherMemberus-gaap:AccumulatedNetUnrealizedInvestmentGainLossMember2020-01-012020-06-300001333986axaeq:AociGainLossesRelatedToNetUnrea</w:t>
      </w:r>
      <w:r>
        <w:rPr>
          <w:rFonts w:eastAsia="Times New Roman"/>
          <w:vanish/>
        </w:rPr>
        <w:t>lizedInvestmentGainsLossesMemberaxaeq:UnrealizedInvestmentGainsLossesAllOtherMemberus-gaap:AccumulatedNetUnrealizedInvestmentGainLossMember2020-01-012020-06-300001333986axaeq:DacMemberaxaeq:UnrealizedInvestmentGainsLossesAllOtherMemberus-gaap:AccumulatedNe</w:t>
      </w:r>
      <w:r>
        <w:rPr>
          <w:rFonts w:eastAsia="Times New Roman"/>
          <w:vanish/>
        </w:rPr>
        <w:t>tUnrealizedInvestmentGainLossMember2020-01-012020-06-300001333986axaeq:DeferredIncomeTaxAssetLiabilityMemberaxaeq:UnrealizedInvestmentGainsLossesAllOtherMemberus-gaap:AccumulatedNetUnrealizedInvestmentGainLossMember2020-01-012020-06-300001333986axaeq:Unrea</w:t>
      </w:r>
      <w:r>
        <w:rPr>
          <w:rFonts w:eastAsia="Times New Roman"/>
          <w:vanish/>
        </w:rPr>
        <w:t>lizedInvestmentGainsLossesAllOtherMemberaxaeq:PolicyholdersLiabilitiesMemberus-gaap:AccumulatedNetUnrealizedInvestmentGainLossMember2020-01-012020-06-300001333986axaeq:DacMemberus-gaap:FixedMaturitiesMemberaxaeq:UnrealizedInvestmentGainsLossesAllOtherMembe</w:t>
      </w:r>
      <w:r>
        <w:rPr>
          <w:rFonts w:eastAsia="Times New Roman"/>
          <w:vanish/>
        </w:rPr>
        <w:t>rus-gaap:AccumulatedNetUnrealizedInvestmentGainLossMember2020-01-012020-06-300001333986us-gaap:FixedMaturitiesMemberaxaeq:UnrealizedInvestmentGainsLossesAllOtherMemberaxaeq:PolicyholdersLiabilitiesMemberus-gaap:AccumulatedNetUnrealizedInvestmentGainLossMem</w:t>
      </w:r>
      <w:r>
        <w:rPr>
          <w:rFonts w:eastAsia="Times New Roman"/>
          <w:vanish/>
        </w:rPr>
        <w:t>ber2020-01-012020-06-300001333986us-gaap:FixedMaturitiesMemberaxaeq:DeferredIncomeTaxAssetLiabilityMemberaxaeq:UnrealizedInvestmentGainsLossesAllOtherMemberus-gaap:AccumulatedNetUnrealizedInvestmentGainLossMember2020-01-012020-06-300001333986axaeq:NetUnrea</w:t>
      </w:r>
      <w:r>
        <w:rPr>
          <w:rFonts w:eastAsia="Times New Roman"/>
          <w:vanish/>
        </w:rPr>
        <w:t>lizedGainsLossesOnInvestmentsMemberaxaeq:UnrealizedInvestmentGainsLossesAllOtherMemberus-gaap:AccumulatedNetUnrealizedInvestmentGainLossMember2018-12-310001333986axaeq:DacMemberaxaeq:UnrealizedInvestmentGainsLossesAllOtherMemberus-gaap:AccumulatedNetUnreal</w:t>
      </w:r>
      <w:r>
        <w:rPr>
          <w:rFonts w:eastAsia="Times New Roman"/>
          <w:vanish/>
        </w:rPr>
        <w:t>izedInvestmentGainLossMember2018-12-310001333986axaeq:UnrealizedInvestmentGainsLossesAllOtherMemberaxaeq:PolicyholdersLiabilitiesMemberus-gaap:AccumulatedNetUnrealizedInvestmentGainLossMember2018-12-310001333986axaeq:DeferredIncomeTaxAssetLiabilityMemberax</w:t>
      </w:r>
      <w:r>
        <w:rPr>
          <w:rFonts w:eastAsia="Times New Roman"/>
          <w:vanish/>
        </w:rPr>
        <w:t>aeq:UnrealizedInvestmentGainsLossesAllOtherMemberus-gaap:AccumulatedNetUnrealizedInvestmentGainLossMember2018-12-310001333986axaeq:AociGainLossesRelatedToNetUnrealizedInvestmentGainsLossesMemberaxaeq:UnrealizedInvestmentGainsLossesAllOtherMemberus-gaap:Acc</w:t>
      </w:r>
      <w:r>
        <w:rPr>
          <w:rFonts w:eastAsia="Times New Roman"/>
          <w:vanish/>
        </w:rPr>
        <w:t>umulatedNetUnrealizedInvestmentGainLossMember2018-12-310001333986axaeq:NetUnrealizedGainsLossesOnInvestmentsMemberaxaeq:UnrealizedInvestmentGainsLossesAllOtherMemberus-gaap:AccumulatedNetUnrealizedInvestmentGainLossMember2019-01-012019-06-300001333986axaeq</w:t>
      </w:r>
      <w:r>
        <w:rPr>
          <w:rFonts w:eastAsia="Times New Roman"/>
          <w:vanish/>
        </w:rPr>
        <w:t>:AociGainLossesRelatedToNetUnrealizedInvestmentGainsLossesMemberaxaeq:UnrealizedInvestmentGainsLossesAllOtherMemberus-gaap:AccumulatedNetUnrealizedInvestmentGainLossMember2019-01-012019-06-300001333986axaeq:DacMemberaxaeq:UnrealizedInvestmentGainsLossesAll</w:t>
      </w:r>
      <w:r>
        <w:rPr>
          <w:rFonts w:eastAsia="Times New Roman"/>
          <w:vanish/>
        </w:rPr>
        <w:t>OtherMemberus-gaap:AccumulatedNetUnrealizedInvestmentGainLossMember2019-01-012019-06-300001333986axaeq:DeferredIncomeTaxAssetLiabilityMemberaxaeq:UnrealizedInvestmentGainsLossesAllOtherMemberus-gaap:AccumulatedNetUnrealizedInvestmentGainLossMember2019-01-0</w:t>
      </w:r>
      <w:r>
        <w:rPr>
          <w:rFonts w:eastAsia="Times New Roman"/>
          <w:vanish/>
        </w:rPr>
        <w:t>12019-06-300001333986axaeq:UnrealizedInvestmentGainsLossesAllOtherMemberaxaeq:PolicyholdersLiabilitiesMemberus-gaap:AccumulatedNetUnrealizedInvestmentGainLossMember2019-01-012019-06-300001333986axaeq:DacMemberus-gaap:FixedMaturitiesMemberaxaeq:UnrealizedIn</w:t>
      </w:r>
      <w:r>
        <w:rPr>
          <w:rFonts w:eastAsia="Times New Roman"/>
          <w:vanish/>
        </w:rPr>
        <w:t>vestmentGainsLossesAllOtherMemberus-gaap:AccumulatedNetUnrealizedInvestmentGainLossMember2019-01-012019-06-300001333986us-gaap:FixedMaturitiesMemberaxaeq:UnrealizedInvestmentGainsLossesAllOtherMemberaxaeq:PolicyholdersLiabilitiesMemberus-gaap:AccumulatedNe</w:t>
      </w:r>
      <w:r>
        <w:rPr>
          <w:rFonts w:eastAsia="Times New Roman"/>
          <w:vanish/>
        </w:rPr>
        <w:t>tUnrealizedInvestmentGainLossMember2019-01-012019-06-300001333986us-gaap:FixedMaturitiesMemberaxaeq:DeferredIncomeTaxAssetLiabilityMemberaxaeq:UnrealizedInvestmentGainsLossesAllOtherMemberus-gaap:AccumulatedNetUnrealizedInvestmentGainLossMember2019-01-0120</w:t>
      </w:r>
      <w:r>
        <w:rPr>
          <w:rFonts w:eastAsia="Times New Roman"/>
          <w:vanish/>
        </w:rPr>
        <w:t>19-06-30axaeq:security0001333986us-gaap:ExternalCreditRatingNonInvestmentGradeMemberus-gaap:FixedMaturitiesMemberaxaeq:OtherThanInvestmentGradeMember2020-06-300001333986us-gaap:ExternalCreditRatingNonInvestmentGradeMemberus-gaap:FixedMaturitiesMemberaxaeq:</w:t>
      </w:r>
      <w:r>
        <w:rPr>
          <w:rFonts w:eastAsia="Times New Roman"/>
          <w:vanish/>
        </w:rPr>
        <w:t>OtherThanInvestmentGradeMember2019-12-310001333986axaeq:CommercialRealEstateandAgriculturalRealEstatePortfolioSegmentMember2020-06-300001333986axaeq:CommercialRealEstateandAgriculturalRealEstatePortfolioSegmentMember2019-12-310001333986us-gaap:CommercialRe</w:t>
      </w:r>
      <w:r>
        <w:rPr>
          <w:rFonts w:eastAsia="Times New Roman"/>
          <w:vanish/>
        </w:rPr>
        <w:t>alEstatePortfolioSegmentMember2020-01-012020-06-300001333986us-gaap:CommercialRealEstatePortfolioSegmentMember2020-04-012020-06-300001333986axaeq:AgriculturalMortgageLoansMember2020-01-012020-06-300001333986axaeq:AgriculturalMortgageLoansMember2020-04-0120</w:t>
      </w:r>
      <w:r>
        <w:rPr>
          <w:rFonts w:eastAsia="Times New Roman"/>
          <w:vanish/>
        </w:rPr>
        <w:t>20-06-300001333986axaeq:IndividuallyAssessedMortgageLoansMember2020-06-300001333986us-gaap:CommercialRealEstatePortfolioSegmentMember2020-03-310001333986us-gaap:CommercialRealEstatePortfolioSegmentMember2019-12-310001333986us-gaap:CommercialRealEstatePortf</w:t>
      </w:r>
      <w:r>
        <w:rPr>
          <w:rFonts w:eastAsia="Times New Roman"/>
          <w:vanish/>
        </w:rPr>
        <w:t>olioSegmentMember2020-06-300001333986axaeq:AgriculturalRealEstatePortfolioSegmentMember2020-03-310001333986axaeq:AgriculturalRealEstatePortfolioSegmentMember2019-12-310001333986axaeq:AgriculturalRealEstatePortfolioSegmentMember2020-04-012020-06-30000133398</w:t>
      </w:r>
      <w:r>
        <w:rPr>
          <w:rFonts w:eastAsia="Times New Roman"/>
          <w:vanish/>
        </w:rPr>
        <w:t>6axaeq:AgriculturalRealEstatePortfolioSegmentMember2020-01-012020-06-300001333986axaeq:AgriculturalRealEstatePortfolioSegmentMember2020-06-300001333986us-gaap:CommercialRealEstatePortfolioSegmentMemberaxaeq:ZeroToFiftyPercentMember2020-06-300001333986us-ga</w:t>
      </w:r>
      <w:r>
        <w:rPr>
          <w:rFonts w:eastAsia="Times New Roman"/>
          <w:vanish/>
        </w:rPr>
        <w:t>ap:CommercialRealEstatePortfolioSegmentMemberaxaeq:FiftyToSeventyPercentMember2020-06-300001333986us-gaap:CommercialRealEstatePortfolioSegmentMemberaxaeq:SeventyToNintyPercentMember2020-06-300001333986us-gaap:CommercialRealEstatePortfolioSegmentMemberaxaeq</w:t>
      </w:r>
      <w:r>
        <w:rPr>
          <w:rFonts w:eastAsia="Times New Roman"/>
          <w:vanish/>
        </w:rPr>
        <w:t>:MoreThanNintyPercentMember2020-06-300001333986axaeq:AgriculturalRealEstatePortfolioSegmentMemberaxaeq:ZeroToFiftyPercentMember2020-06-300001333986axaeq:FiftyToSeventyPercentMemberaxaeq:AgriculturalRealEstatePortfolioSegmentMember2020-06-300001333986axaeq:</w:t>
      </w:r>
      <w:r>
        <w:rPr>
          <w:rFonts w:eastAsia="Times New Roman"/>
          <w:vanish/>
        </w:rPr>
        <w:t>SeventyToNintyPercentMemberaxaeq:AgriculturalRealEstatePortfolioSegmentMember2020-06-300001333986axaeq:AgriculturalRealEstatePortfolioSegmentMemberaxaeq:MoreThanNintyPercentMember2020-06-300001333986axaeq:ZeroToFiftyPercentMemberaxaeq:TotalMortgagesLoanMem</w:t>
      </w:r>
      <w:r>
        <w:rPr>
          <w:rFonts w:eastAsia="Times New Roman"/>
          <w:vanish/>
        </w:rPr>
        <w:t>ber2020-06-300001333986axaeq:FiftyToSeventyPercentMemberaxaeq:TotalMortgagesLoanMember2020-06-300001333986axaeq:SeventyToNintyPercentMemberaxaeq:TotalMortgagesLoanMember2020-06-300001333986axaeq:MoreThanNintyPercentMemberaxaeq:TotalMortgagesLoanMember2020-</w:t>
      </w:r>
      <w:r>
        <w:rPr>
          <w:rFonts w:eastAsia="Times New Roman"/>
          <w:vanish/>
        </w:rPr>
        <w:t>06-300001333986axaeq:TotalMortgagesLoanMember2020-06-300001333986us-gaap:CommercialRealEstatePortfolioSegmentMemberaxaeq:RatioGreaterThan2TimesMember2020-06-300001333986us-gaap:CommercialRealEstatePortfolioSegmentMemberaxaeq:RatioBetween18To2TimesMember202</w:t>
      </w:r>
      <w:r>
        <w:rPr>
          <w:rFonts w:eastAsia="Times New Roman"/>
          <w:vanish/>
        </w:rPr>
        <w:t>0-06-300001333986us-gaap:CommercialRealEstatePortfolioSegmentMemberaxaeq:RatioBetween15To18TimesMember2020-06-300001333986us-gaap:CommercialRealEstatePortfolioSegmentMemberaxaeq:RatioBetween12To15TimesMember2020-06-300001333986us-gaap:CommercialRealEstateP</w:t>
      </w:r>
      <w:r>
        <w:rPr>
          <w:rFonts w:eastAsia="Times New Roman"/>
          <w:vanish/>
        </w:rPr>
        <w:t>ortfolioSegmentMemberaxaeq:RatioBetween1To12TimesMember2020-06-300001333986us-gaap:CommercialRealEstatePortfolioSegmentMemberaxaeq:RatioLessThan1TimesMember2020-06-300001333986axaeq:AgriculturalRealEstatePortfolioSegmentMemberaxaeq:RatioGreaterThan2TimesMe</w:t>
      </w:r>
      <w:r>
        <w:rPr>
          <w:rFonts w:eastAsia="Times New Roman"/>
          <w:vanish/>
        </w:rPr>
        <w:t>mber2020-06-300001333986axaeq:AgriculturalRealEstatePortfolioSegmentMemberaxaeq:RatioBetween18To2TimesMember2020-06-300001333986axaeq:AgriculturalRealEstatePortfolioSegmentMemberaxaeq:RatioBetween15To18TimesMember2020-06-300001333986axaeq:RatioBetween12To1</w:t>
      </w:r>
      <w:r>
        <w:rPr>
          <w:rFonts w:eastAsia="Times New Roman"/>
          <w:vanish/>
        </w:rPr>
        <w:t>5TimesMemberaxaeq:AgriculturalRealEstatePortfolioSegmentMember2020-06-300001333986axaeq:AgriculturalRealEstatePortfolioSegmentMemberaxaeq:RatioBetween1To12TimesMember2020-06-300001333986axaeq:AgriculturalRealEstatePortfolioSegmentMemberaxaeq:RatioLessThan1</w:t>
      </w:r>
      <w:r>
        <w:rPr>
          <w:rFonts w:eastAsia="Times New Roman"/>
          <w:vanish/>
        </w:rPr>
        <w:t>TimesMember2020-06-300001333986axaeq:RatioGreaterThan2TimesMemberaxaeq:TotalMortgagesLoanMember2020-06-300001333986axaeq:TotalMortgagesLoanMemberaxaeq:RatioBetween18To2TimesMember2020-06-300001333986axaeq:TotalMortgagesLoanMemberaxaeq:RatioBetween15To18Tim</w:t>
      </w:r>
      <w:r>
        <w:rPr>
          <w:rFonts w:eastAsia="Times New Roman"/>
          <w:vanish/>
        </w:rPr>
        <w:t>esMember2020-06-300001333986axaeq:RatioBetween12To15TimesMemberaxaeq:TotalMortgagesLoanMember2020-06-300001333986axaeq:RatioBetween1To12TimesMemberaxaeq:TotalMortgagesLoanMember2020-06-300001333986axaeq:RatioLessThan1TimesMemberaxaeq:TotalMortgagesLoanMemb</w:t>
      </w:r>
      <w:r>
        <w:rPr>
          <w:rFonts w:eastAsia="Times New Roman"/>
          <w:vanish/>
        </w:rPr>
        <w:t>er2020-06-300001333986us-gaap:CommercialRealEstatePortfolioSegmentMemberaxaeq:RatioGreaterThan2TimesMemberaxaeq:ZeroToFiftyPercentMember2020-06-300001333986us-gaap:CommercialRealEstatePortfolioSegmentMemberaxaeq:ZeroToFiftyPercentMemberaxaeq:RatioBetween18</w:t>
      </w:r>
      <w:r>
        <w:rPr>
          <w:rFonts w:eastAsia="Times New Roman"/>
          <w:vanish/>
        </w:rPr>
        <w:t>To2TimesMember2020-06-300001333986us-gaap:CommercialRealEstatePortfolioSegmentMemberaxaeq:ZeroToFiftyPercentMemberaxaeq:RatioBetween15To18TimesMember2020-06-300001333986us-gaap:CommercialRealEstatePortfolioSegmentMemberaxaeq:RatioBetween12To15TimesMemberax</w:t>
      </w:r>
      <w:r>
        <w:rPr>
          <w:rFonts w:eastAsia="Times New Roman"/>
          <w:vanish/>
        </w:rPr>
        <w:t>aeq:ZeroToFiftyPercentMember2020-06-300001333986us-gaap:CommercialRealEstatePortfolioSegmentMemberaxaeq:ZeroToFiftyPercentMemberaxaeq:RatioBetween1To12TimesMember2020-06-300001333986us-gaap:CommercialRealEstatePortfolioSegmentMemberaxaeq:ZeroToFiftyPercent</w:t>
      </w:r>
      <w:r>
        <w:rPr>
          <w:rFonts w:eastAsia="Times New Roman"/>
          <w:vanish/>
        </w:rPr>
        <w:t>Memberaxaeq:RatioLessThan1TimesMember2020-06-300001333986us-gaap:CommercialRealEstatePortfolioSegmentMemberaxaeq:FiftyToSeventyPercentMemberaxaeq:RatioGreaterThan2TimesMember2020-06-300001333986us-gaap:CommercialRealEstatePortfolioSegmentMemberaxaeq:FiftyT</w:t>
      </w:r>
      <w:r>
        <w:rPr>
          <w:rFonts w:eastAsia="Times New Roman"/>
          <w:vanish/>
        </w:rPr>
        <w:t>oSeventyPercentMemberaxaeq:RatioBetween18To2TimesMember2020-06-300001333986us-gaap:CommercialRealEstatePortfolioSegmentMemberaxaeq:FiftyToSeventyPercentMemberaxaeq:RatioBetween15To18TimesMember2020-06-300001333986us-gaap:CommercialRealEstatePortfolioSegmen</w:t>
      </w:r>
      <w:r>
        <w:rPr>
          <w:rFonts w:eastAsia="Times New Roman"/>
          <w:vanish/>
        </w:rPr>
        <w:t>tMemberaxaeq:RatioBetween12To15TimesMemberaxaeq:FiftyToSeventyPercentMember2020-06-300001333986us-gaap:CommercialRealEstatePortfolioSegmentMemberaxaeq:FiftyToSeventyPercentMemberaxaeq:RatioBetween1To12TimesMember2020-06-300001333986us-gaap:CommercialRealEs</w:t>
      </w:r>
      <w:r>
        <w:rPr>
          <w:rFonts w:eastAsia="Times New Roman"/>
          <w:vanish/>
        </w:rPr>
        <w:t>tatePortfolioSegmentMemberaxaeq:FiftyToSeventyPercentMemberaxaeq:RatioLessThan1TimesMember2020-06-300001333986us-gaap:CommercialRealEstatePortfolioSegmentMemberaxaeq:SeventyToNintyPercentMemberaxaeq:RatioGreaterThan2TimesMember2020-06-300001333986us-gaap:C</w:t>
      </w:r>
      <w:r>
        <w:rPr>
          <w:rFonts w:eastAsia="Times New Roman"/>
          <w:vanish/>
        </w:rPr>
        <w:t>ommercialRealEstatePortfolioSegmentMemberaxaeq:SeventyToNintyPercentMemberaxaeq:RatioBetween18To2TimesMember2020-06-300001333986us-gaap:CommercialRealEstatePortfolioSegmentMemberaxaeq:SeventyToNintyPercentMemberaxaeq:RatioBetween15To18TimesMember2020-06-30</w:t>
      </w:r>
      <w:r>
        <w:rPr>
          <w:rFonts w:eastAsia="Times New Roman"/>
          <w:vanish/>
        </w:rPr>
        <w:t>0001333986us-gaap:CommercialRealEstatePortfolioSegmentMemberaxaeq:RatioBetween12To15TimesMemberaxaeq:SeventyToNintyPercentMember2020-06-300001333986us-gaap:CommercialRealEstatePortfolioSegmentMemberaxaeq:SeventyToNintyPercentMemberaxaeq:RatioBetween1To12Ti</w:t>
      </w:r>
      <w:r>
        <w:rPr>
          <w:rFonts w:eastAsia="Times New Roman"/>
          <w:vanish/>
        </w:rPr>
        <w:t>mesMember2020-06-300001333986us-gaap:CommercialRealEstatePortfolioSegmentMemberaxaeq:SeventyToNintyPercentMemberaxaeq:RatioLessThan1TimesMember2020-06-300001333986us-gaap:CommercialRealEstatePortfolioSegmentMemberaxaeq:RatioGreaterThan2TimesMemberaxaeq:Mor</w:t>
      </w:r>
      <w:r>
        <w:rPr>
          <w:rFonts w:eastAsia="Times New Roman"/>
          <w:vanish/>
        </w:rPr>
        <w:t>eThanNintyPercentMember2020-06-300001333986us-gaap:CommercialRealEstatePortfolioSegmentMemberaxaeq:MoreThanNintyPercentMemberaxaeq:RatioBetween18To2TimesMember2020-06-300001333986us-gaap:CommercialRealEstatePortfolioSegmentMemberaxaeq:MoreThanNintyPercentM</w:t>
      </w:r>
      <w:r>
        <w:rPr>
          <w:rFonts w:eastAsia="Times New Roman"/>
          <w:vanish/>
        </w:rPr>
        <w:t>emberaxaeq:RatioBetween15To18TimesMember2020-06-300001333986us-gaap:CommercialRealEstatePortfolioSegmentMemberaxaeq:RatioBetween12To15TimesMemberaxaeq:MoreThanNintyPercentMember2020-06-300001333986us-gaap:CommercialRealEstatePortfolioSegmentMemberaxaeq:Rat</w:t>
      </w:r>
      <w:r>
        <w:rPr>
          <w:rFonts w:eastAsia="Times New Roman"/>
          <w:vanish/>
        </w:rPr>
        <w:t>ioBetween1To12TimesMemberaxaeq:MoreThanNintyPercentMember2020-06-300001333986us-gaap:CommercialRealEstatePortfolioSegmentMemberaxaeq:RatioLessThan1TimesMemberaxaeq:MoreThanNintyPercentMember2020-06-300001333986axaeq:AgriculturalRealEstatePortfolioSegmentMe</w:t>
      </w:r>
      <w:r>
        <w:rPr>
          <w:rFonts w:eastAsia="Times New Roman"/>
          <w:vanish/>
        </w:rPr>
        <w:t>mberaxaeq:RatioGreaterThan2TimesMemberaxaeq:ZeroToFiftyPercentMember2020-06-300001333986axaeq:AgriculturalRealEstatePortfolioSegmentMemberaxaeq:ZeroToFiftyPercentMemberaxaeq:RatioBetween18To2TimesMember2020-06-300001333986axaeq:AgriculturalRealEstatePortfo</w:t>
      </w:r>
      <w:r>
        <w:rPr>
          <w:rFonts w:eastAsia="Times New Roman"/>
          <w:vanish/>
        </w:rPr>
        <w:t>lioSegmentMemberaxaeq:ZeroToFiftyPercentMemberaxaeq:RatioBetween15To18TimesMember2020-06-300001333986axaeq:RatioBetween12To15TimesMemberaxaeq:AgriculturalRealEstatePortfolioSegmentMemberaxaeq:ZeroToFiftyPercentMember2020-06-300001333986axaeq:AgriculturalRe</w:t>
      </w:r>
      <w:r>
        <w:rPr>
          <w:rFonts w:eastAsia="Times New Roman"/>
          <w:vanish/>
        </w:rPr>
        <w:t>alEstatePortfolioSegmentMemberaxaeq:ZeroToFiftyPercentMemberaxaeq:RatioBetween1To12TimesMember2020-06-300001333986axaeq:AgriculturalRealEstatePortfolioSegmentMemberaxaeq:ZeroToFiftyPercentMemberaxaeq:RatioLessThan1TimesMember2020-06-300001333986axaeq:Fifty</w:t>
      </w:r>
      <w:r>
        <w:rPr>
          <w:rFonts w:eastAsia="Times New Roman"/>
          <w:vanish/>
        </w:rPr>
        <w:t>ToSeventyPercentMemberaxaeq:AgriculturalRealEstatePortfolioSegmentMemberaxaeq:RatioGreaterThan2TimesMember2020-06-300001333986axaeq:FiftyToSeventyPercentMemberaxaeq:AgriculturalRealEstatePortfolioSegmentMemberaxaeq:RatioBetween18To2TimesMember2020-06-30000</w:t>
      </w:r>
      <w:r>
        <w:rPr>
          <w:rFonts w:eastAsia="Times New Roman"/>
          <w:vanish/>
        </w:rPr>
        <w:t>1333986axaeq:FiftyToSeventyPercentMemberaxaeq:AgriculturalRealEstatePortfolioSegmentMemberaxaeq:RatioBetween15To18TimesMember2020-06-300001333986axaeq:RatioBetween12To15TimesMemberaxaeq:FiftyToSeventyPercentMemberaxaeq:AgriculturalRealEstatePortfolioSegmen</w:t>
      </w:r>
      <w:r>
        <w:rPr>
          <w:rFonts w:eastAsia="Times New Roman"/>
          <w:vanish/>
        </w:rPr>
        <w:t>tMember2020-06-300001333986axaeq:FiftyToSeventyPercentMemberaxaeq:AgriculturalRealEstatePortfolioSegmentMemberaxaeq:RatioBetween1To12TimesMember2020-06-300001333986axaeq:FiftyToSeventyPercentMemberaxaeq:AgriculturalRealEstatePortfolioSegmentMemberaxaeq:Rat</w:t>
      </w:r>
      <w:r>
        <w:rPr>
          <w:rFonts w:eastAsia="Times New Roman"/>
          <w:vanish/>
        </w:rPr>
        <w:t>ioLessThan1TimesMember2020-06-300001333986axaeq:SeventyToNintyPercentMemberaxaeq:AgriculturalRealEstatePortfolioSegmentMemberaxaeq:RatioGreaterThan2TimesMember2020-06-300001333986axaeq:SeventyToNintyPercentMemberaxaeq:AgriculturalRealEstatePortfolioSegment</w:t>
      </w:r>
      <w:r>
        <w:rPr>
          <w:rFonts w:eastAsia="Times New Roman"/>
          <w:vanish/>
        </w:rPr>
        <w:t>Memberaxaeq:RatioBetween18To2TimesMember2020-06-300001333986axaeq:SeventyToNintyPercentMemberaxaeq:AgriculturalRealEstatePortfolioSegmentMemberaxaeq:RatioBetween15To18TimesMember2020-06-300001333986axaeq:RatioBetween12To15TimesMemberaxaeq:SeventyToNintyPer</w:t>
      </w:r>
      <w:r>
        <w:rPr>
          <w:rFonts w:eastAsia="Times New Roman"/>
          <w:vanish/>
        </w:rPr>
        <w:t>centMemberaxaeq:AgriculturalRealEstatePortfolioSegmentMember2020-06-300001333986axaeq:SeventyToNintyPercentMemberaxaeq:AgriculturalRealEstatePortfolioSegmentMemberaxaeq:RatioBetween1To12TimesMember2020-06-300001333986axaeq:SeventyToNintyPercentMemberaxaeq:</w:t>
      </w:r>
      <w:r>
        <w:rPr>
          <w:rFonts w:eastAsia="Times New Roman"/>
          <w:vanish/>
        </w:rPr>
        <w:t>AgriculturalRealEstatePortfolioSegmentMemberaxaeq:RatioLessThan1TimesMember2020-06-300001333986axaeq:AgriculturalRealEstatePortfolioSegmentMemberaxaeq:RatioGreaterThan2TimesMemberaxaeq:MoreThanNintyPercentMember2020-06-300001333986axaeq:AgriculturalRealEst</w:t>
      </w:r>
      <w:r>
        <w:rPr>
          <w:rFonts w:eastAsia="Times New Roman"/>
          <w:vanish/>
        </w:rPr>
        <w:t>atePortfolioSegmentMemberaxaeq:MoreThanNintyPercentMemberaxaeq:RatioBetween18To2TimesMember2020-06-300001333986axaeq:AgriculturalRealEstatePortfolioSegmentMemberaxaeq:MoreThanNintyPercentMemberaxaeq:RatioBetween15To18TimesMember2020-06-300001333986axaeq:Ra</w:t>
      </w:r>
      <w:r>
        <w:rPr>
          <w:rFonts w:eastAsia="Times New Roman"/>
          <w:vanish/>
        </w:rPr>
        <w:t>tioBetween12To15TimesMemberaxaeq:AgriculturalRealEstatePortfolioSegmentMemberaxaeq:MoreThanNintyPercentMember2020-06-300001333986axaeq:AgriculturalRealEstatePortfolioSegmentMemberaxaeq:RatioBetween1To12TimesMemberaxaeq:MoreThanNintyPercentMember2020-06-300</w:t>
      </w:r>
      <w:r>
        <w:rPr>
          <w:rFonts w:eastAsia="Times New Roman"/>
          <w:vanish/>
        </w:rPr>
        <w:t>001333986axaeq:AgriculturalRealEstatePortfolioSegmentMemberaxaeq:RatioLessThan1TimesMemberaxaeq:MoreThanNintyPercentMember2020-06-300001333986axaeq:RatioGreaterThan2TimesMemberaxaeq:ZeroToFiftyPercentMemberaxaeq:TotalMortgagesLoanMember2020-06-300001333986</w:t>
      </w:r>
      <w:r>
        <w:rPr>
          <w:rFonts w:eastAsia="Times New Roman"/>
          <w:vanish/>
        </w:rPr>
        <w:t>axaeq:ZeroToFiftyPercentMemberaxaeq:TotalMortgagesLoanMemberaxaeq:RatioBetween18To2TimesMember2020-06-300001333986axaeq:ZeroToFiftyPercentMemberaxaeq:TotalMortgagesLoanMemberaxaeq:RatioBetween15To18TimesMember2020-06-300001333986axaeq:RatioBetween12To15Tim</w:t>
      </w:r>
      <w:r>
        <w:rPr>
          <w:rFonts w:eastAsia="Times New Roman"/>
          <w:vanish/>
        </w:rPr>
        <w:t>esMemberaxaeq:ZeroToFiftyPercentMemberaxaeq:TotalMortgagesLoanMember2020-06-300001333986axaeq:ZeroToFiftyPercentMemberaxaeq:RatioBetween1To12TimesMemberaxaeq:TotalMortgagesLoanMember2020-06-300001333986axaeq:ZeroToFiftyPercentMemberaxaeq:RatioLessThan1Time</w:t>
      </w:r>
      <w:r>
        <w:rPr>
          <w:rFonts w:eastAsia="Times New Roman"/>
          <w:vanish/>
        </w:rPr>
        <w:t>sMemberaxaeq:TotalMortgagesLoanMember2020-06-300001333986axaeq:FiftyToSeventyPercentMemberaxaeq:RatioGreaterThan2TimesMemberaxaeq:TotalMortgagesLoanMember2020-06-300001333986axaeq:FiftyToSeventyPercentMemberaxaeq:TotalMortgagesLoanMemberaxaeq:RatioBetween1</w:t>
      </w:r>
      <w:r>
        <w:rPr>
          <w:rFonts w:eastAsia="Times New Roman"/>
          <w:vanish/>
        </w:rPr>
        <w:t>8To2TimesMember2020-06-300001333986axaeq:FiftyToSeventyPercentMemberaxaeq:TotalMortgagesLoanMemberaxaeq:RatioBetween15To18TimesMember2020-06-300001333986axaeq:RatioBetween12To15TimesMemberaxaeq:FiftyToSeventyPercentMemberaxaeq:TotalMortgagesLoanMember2020-</w:t>
      </w:r>
      <w:r>
        <w:rPr>
          <w:rFonts w:eastAsia="Times New Roman"/>
          <w:vanish/>
        </w:rPr>
        <w:t>06-300001333986axaeq:FiftyToSeventyPercentMemberaxaeq:RatioBetween1To12TimesMemberaxaeq:TotalMortgagesLoanMember2020-06-300001333986axaeq:FiftyToSeventyPercentMemberaxaeq:RatioLessThan1TimesMemberaxaeq:TotalMortgagesLoanMember2020-06-300001333986axaeq:Seve</w:t>
      </w:r>
      <w:r>
        <w:rPr>
          <w:rFonts w:eastAsia="Times New Roman"/>
          <w:vanish/>
        </w:rPr>
        <w:t>ntyToNintyPercentMemberaxaeq:RatioGreaterThan2TimesMemberaxaeq:TotalMortgagesLoanMember2020-06-300001333986axaeq:SeventyToNintyPercentMemberaxaeq:TotalMortgagesLoanMemberaxaeq:RatioBetween18To2TimesMember2020-06-300001333986axaeq:SeventyToNintyPercentMembe</w:t>
      </w:r>
      <w:r>
        <w:rPr>
          <w:rFonts w:eastAsia="Times New Roman"/>
          <w:vanish/>
        </w:rPr>
        <w:t>raxaeq:TotalMortgagesLoanMemberaxaeq:RatioBetween15To18TimesMember2020-06-300001333986axaeq:RatioBetween12To15TimesMemberaxaeq:SeventyToNintyPercentMemberaxaeq:TotalMortgagesLoanMember2020-06-300001333986axaeq:SeventyToNintyPercentMemberaxaeq:RatioBetween1</w:t>
      </w:r>
      <w:r>
        <w:rPr>
          <w:rFonts w:eastAsia="Times New Roman"/>
          <w:vanish/>
        </w:rPr>
        <w:t>To12TimesMemberaxaeq:TotalMortgagesLoanMember2020-06-300001333986axaeq:SeventyToNintyPercentMemberaxaeq:RatioLessThan1TimesMemberaxaeq:TotalMortgagesLoanMember2020-06-300001333986axaeq:RatioGreaterThan2TimesMemberaxaeq:MoreThanNintyPercentMemberaxaeq:Total</w:t>
      </w:r>
      <w:r>
        <w:rPr>
          <w:rFonts w:eastAsia="Times New Roman"/>
          <w:vanish/>
        </w:rPr>
        <w:t>MortgagesLoanMember2020-06-300001333986axaeq:MoreThanNintyPercentMemberaxaeq:TotalMortgagesLoanMemberaxaeq:RatioBetween18To2TimesMember2020-06-300001333986axaeq:MoreThanNintyPercentMemberaxaeq:TotalMortgagesLoanMemberaxaeq:RatioBetween15To18TimesMember2020</w:t>
      </w:r>
      <w:r>
        <w:rPr>
          <w:rFonts w:eastAsia="Times New Roman"/>
          <w:vanish/>
        </w:rPr>
        <w:t>-06-300001333986axaeq:RatioBetween12To15TimesMemberaxaeq:MoreThanNintyPercentMemberaxaeq:TotalMortgagesLoanMember2020-06-300001333986axaeq:RatioBetween1To12TimesMemberaxaeq:MoreThanNintyPercentMemberaxaeq:TotalMortgagesLoanMember2020-06-300001333986axaeq:R</w:t>
      </w:r>
      <w:r>
        <w:rPr>
          <w:rFonts w:eastAsia="Times New Roman"/>
          <w:vanish/>
        </w:rPr>
        <w:t>atioLessThan1TimesMemberaxaeq:MoreThanNintyPercentMemberaxaeq:TotalMortgagesLoanMember2020-06-300001333986us-gaap:CommercialRealEstatePortfolioSegmentMemberaxaeq:RatioGreaterThan2TimesMemberaxaeq:ZeroToFiftyPercentMember2019-12-310001333986us-gaap:Commerci</w:t>
      </w:r>
      <w:r>
        <w:rPr>
          <w:rFonts w:eastAsia="Times New Roman"/>
          <w:vanish/>
        </w:rPr>
        <w:t>alRealEstatePortfolioSegmentMemberaxaeq:ZeroToFiftyPercentMemberaxaeq:RatioBetween18To2TimesMember2019-12-310001333986us-gaap:CommercialRealEstatePortfolioSegmentMemberaxaeq:ZeroToFiftyPercentMemberaxaeq:RatioBetween15To18TimesMember2019-12-310001333986us-</w:t>
      </w:r>
      <w:r>
        <w:rPr>
          <w:rFonts w:eastAsia="Times New Roman"/>
          <w:vanish/>
        </w:rPr>
        <w:t>gaap:CommercialRealEstatePortfolioSegmentMemberaxaeq:RatioBetween12To15TimesMemberaxaeq:ZeroToFiftyPercentMember2019-12-310001333986us-gaap:CommercialRealEstatePortfolioSegmentMemberaxaeq:ZeroToFiftyPercentMemberaxaeq:RatioBetween1To12TimesMember2019-12-31</w:t>
      </w:r>
      <w:r>
        <w:rPr>
          <w:rFonts w:eastAsia="Times New Roman"/>
          <w:vanish/>
        </w:rPr>
        <w:t>0001333986us-gaap:CommercialRealEstatePortfolioSegmentMemberaxaeq:ZeroToFiftyPercentMemberaxaeq:RatioLessThan1TimesMember2019-12-310001333986us-gaap:CommercialRealEstatePortfolioSegmentMemberaxaeq:ZeroToFiftyPercentMember2019-12-310001333986us-gaap:Commerc</w:t>
      </w:r>
      <w:r>
        <w:rPr>
          <w:rFonts w:eastAsia="Times New Roman"/>
          <w:vanish/>
        </w:rPr>
        <w:t>ialRealEstatePortfolioSegmentMemberaxaeq:FiftyToSeventyPercentMemberaxaeq:RatioGreaterThan2TimesMember2019-12-310001333986us-gaap:CommercialRealEstatePortfolioSegmentMemberaxaeq:FiftyToSeventyPercentMemberaxaeq:RatioBetween18To2TimesMember2019-12-310001333</w:t>
      </w:r>
      <w:r>
        <w:rPr>
          <w:rFonts w:eastAsia="Times New Roman"/>
          <w:vanish/>
        </w:rPr>
        <w:t>986us-gaap:CommercialRealEstatePortfolioSegmentMemberaxaeq:FiftyToSeventyPercentMemberaxaeq:RatioBetween15To18TimesMember2019-12-310001333986us-gaap:CommercialRealEstatePortfolioSegmentMemberaxaeq:RatioBetween12To15TimesMemberaxaeq:FiftyToSeventyPercentMem</w:t>
      </w:r>
      <w:r>
        <w:rPr>
          <w:rFonts w:eastAsia="Times New Roman"/>
          <w:vanish/>
        </w:rPr>
        <w:t>ber2019-12-310001333986us-gaap:CommercialRealEstatePortfolioSegmentMemberaxaeq:FiftyToSeventyPercentMemberaxaeq:RatioBetween1To12TimesMember2019-12-310001333986us-gaap:CommercialRealEstatePortfolioSegmentMemberaxaeq:FiftyToSeventyPercentMemberaxaeq:RatioLe</w:t>
      </w:r>
      <w:r>
        <w:rPr>
          <w:rFonts w:eastAsia="Times New Roman"/>
          <w:vanish/>
        </w:rPr>
        <w:t>ssThan1TimesMember2019-12-310001333986us-gaap:CommercialRealEstatePortfolioSegmentMemberaxaeq:FiftyToSeventyPercentMember2019-12-310001333986us-gaap:CommercialRealEstatePortfolioSegmentMemberaxaeq:SeventyToNintyPercentMemberaxaeq:RatioGreaterThan2TimesMemb</w:t>
      </w:r>
      <w:r>
        <w:rPr>
          <w:rFonts w:eastAsia="Times New Roman"/>
          <w:vanish/>
        </w:rPr>
        <w:t>er2019-12-310001333986us-gaap:CommercialRealEstatePortfolioSegmentMemberaxaeq:SeventyToNintyPercentMemberaxaeq:RatioBetween18To2TimesMember2019-12-310001333986us-gaap:CommercialRealEstatePortfolioSegmentMemberaxaeq:SeventyToNintyPercentMemberaxaeq:RatioBet</w:t>
      </w:r>
      <w:r>
        <w:rPr>
          <w:rFonts w:eastAsia="Times New Roman"/>
          <w:vanish/>
        </w:rPr>
        <w:t>ween15To18TimesMember2019-12-310001333986us-gaap:CommercialRealEstatePortfolioSegmentMemberaxaeq:RatioBetween12To15TimesMemberaxaeq:SeventyToNintyPercentMember2019-12-310001333986us-gaap:CommercialRealEstatePortfolioSegmentMemberaxaeq:SeventyToNintyPercent</w:t>
      </w:r>
      <w:r>
        <w:rPr>
          <w:rFonts w:eastAsia="Times New Roman"/>
          <w:vanish/>
        </w:rPr>
        <w:t>Memberaxaeq:RatioBetween1To12TimesMember2019-12-310001333986us-gaap:CommercialRealEstatePortfolioSegmentMemberaxaeq:SeventyToNintyPercentMemberaxaeq:RatioLessThan1TimesMember2019-12-310001333986us-gaap:CommercialRealEstatePortfolioSegmentMemberaxaeq:Sevent</w:t>
      </w:r>
      <w:r>
        <w:rPr>
          <w:rFonts w:eastAsia="Times New Roman"/>
          <w:vanish/>
        </w:rPr>
        <w:t>yToNintyPercentMember2019-12-310001333986us-gaap:CommercialRealEstatePortfolioSegmentMemberaxaeq:RatioGreaterThan2TimesMemberaxaeq:MoreThanNintyPercentMember2019-12-310001333986us-gaap:CommercialRealEstatePortfolioSegmentMemberaxaeq:MoreThanNintyPercentMem</w:t>
      </w:r>
      <w:r>
        <w:rPr>
          <w:rFonts w:eastAsia="Times New Roman"/>
          <w:vanish/>
        </w:rPr>
        <w:t>beraxaeq:RatioBetween18To2TimesMember2019-12-310001333986us-gaap:CommercialRealEstatePortfolioSegmentMemberaxaeq:MoreThanNintyPercentMemberaxaeq:RatioBetween15To18TimesMember2019-12-310001333986us-gaap:CommercialRealEstatePortfolioSegmentMemberaxaeq:RatioB</w:t>
      </w:r>
      <w:r>
        <w:rPr>
          <w:rFonts w:eastAsia="Times New Roman"/>
          <w:vanish/>
        </w:rPr>
        <w:t>etween12To15TimesMemberaxaeq:MoreThanNintyPercentMember2019-12-310001333986us-gaap:CommercialRealEstatePortfolioSegmentMemberaxaeq:RatioBetween1To12TimesMemberaxaeq:MoreThanNintyPercentMember2019-12-310001333986us-gaap:CommercialRealEstatePortfolioSegmentM</w:t>
      </w:r>
      <w:r>
        <w:rPr>
          <w:rFonts w:eastAsia="Times New Roman"/>
          <w:vanish/>
        </w:rPr>
        <w:t>emberaxaeq:RatioLessThan1TimesMemberaxaeq:MoreThanNintyPercentMember2019-12-310001333986us-gaap:CommercialRealEstatePortfolioSegmentMemberaxaeq:MoreThanNintyPercentMember2019-12-310001333986us-gaap:CommercialRealEstatePortfolioSegmentMemberaxaeq:RatioGreat</w:t>
      </w:r>
      <w:r>
        <w:rPr>
          <w:rFonts w:eastAsia="Times New Roman"/>
          <w:vanish/>
        </w:rPr>
        <w:t>erThan2TimesMember2019-12-310001333986us-gaap:CommercialRealEstatePortfolioSegmentMemberaxaeq:RatioBetween18To2TimesMember2019-12-310001333986us-gaap:CommercialRealEstatePortfolioSegmentMemberaxaeq:RatioBetween15To18TimesMember2019-12-310001333986us-gaap:C</w:t>
      </w:r>
      <w:r>
        <w:rPr>
          <w:rFonts w:eastAsia="Times New Roman"/>
          <w:vanish/>
        </w:rPr>
        <w:t>ommercialRealEstatePortfolioSegmentMemberaxaeq:RatioBetween12To15TimesMember2019-12-310001333986us-gaap:CommercialRealEstatePortfolioSegmentMemberaxaeq:RatioBetween1To12TimesMember2019-12-310001333986us-gaap:CommercialRealEstatePortfolioSegmentMemberaxaeq:</w:t>
      </w:r>
      <w:r>
        <w:rPr>
          <w:rFonts w:eastAsia="Times New Roman"/>
          <w:vanish/>
        </w:rPr>
        <w:t>RatioLessThan1TimesMember2019-12-310001333986axaeq:AgriculturalRealEstatePortfolioSegmentMemberaxaeq:RatioGreaterThan2TimesMemberaxaeq:ZeroToFiftyPercentMember2019-12-310001333986axaeq:AgriculturalRealEstatePortfolioSegmentMemberaxaeq:ZeroToFiftyPercentMem</w:t>
      </w:r>
      <w:r>
        <w:rPr>
          <w:rFonts w:eastAsia="Times New Roman"/>
          <w:vanish/>
        </w:rPr>
        <w:t>beraxaeq:RatioBetween18To2TimesMember2019-12-310001333986axaeq:AgriculturalRealEstatePortfolioSegmentMemberaxaeq:ZeroToFiftyPercentMemberaxaeq:RatioBetween15To18TimesMember2019-12-310001333986axaeq:RatioBetween12To15TimesMemberaxaeq:AgriculturalRealEstateP</w:t>
      </w:r>
      <w:r>
        <w:rPr>
          <w:rFonts w:eastAsia="Times New Roman"/>
          <w:vanish/>
        </w:rPr>
        <w:t>ortfolioSegmentMemberaxaeq:ZeroToFiftyPercentMember2019-12-310001333986axaeq:AgriculturalRealEstatePortfolioSegmentMemberaxaeq:ZeroToFiftyPercentMemberaxaeq:RatioBetween1To12TimesMember2019-12-310001333986axaeq:AgriculturalRealEstatePortfolioSegmentMembera</w:t>
      </w:r>
      <w:r>
        <w:rPr>
          <w:rFonts w:eastAsia="Times New Roman"/>
          <w:vanish/>
        </w:rPr>
        <w:t>xaeq:ZeroToFiftyPercentMemberaxaeq:RatioLessThan1TimesMember2019-12-310001333986axaeq:AgriculturalRealEstatePortfolioSegmentMemberaxaeq:ZeroToFiftyPercentMember2019-12-310001333986axaeq:FiftyToSeventyPercentMemberaxaeq:AgriculturalRealEstatePortfolioSegmen</w:t>
      </w:r>
      <w:r>
        <w:rPr>
          <w:rFonts w:eastAsia="Times New Roman"/>
          <w:vanish/>
        </w:rPr>
        <w:t>tMemberaxaeq:RatioGreaterThan2TimesMember2019-12-310001333986axaeq:FiftyToSeventyPercentMemberaxaeq:AgriculturalRealEstatePortfolioSegmentMemberaxaeq:RatioBetween18To2TimesMember2019-12-310001333986axaeq:FiftyToSeventyPercentMemberaxaeq:AgriculturalRealEst</w:t>
      </w:r>
      <w:r>
        <w:rPr>
          <w:rFonts w:eastAsia="Times New Roman"/>
          <w:vanish/>
        </w:rPr>
        <w:t>atePortfolioSegmentMemberaxaeq:RatioBetween15To18TimesMember2019-12-310001333986axaeq:RatioBetween12To15TimesMemberaxaeq:FiftyToSeventyPercentMemberaxaeq:AgriculturalRealEstatePortfolioSegmentMember2019-12-310001333986axaeq:FiftyToSeventyPercentMemberaxaeq</w:t>
      </w:r>
      <w:r>
        <w:rPr>
          <w:rFonts w:eastAsia="Times New Roman"/>
          <w:vanish/>
        </w:rPr>
        <w:t>:AgriculturalRealEstatePortfolioSegmentMemberaxaeq:RatioBetween1To12TimesMember2019-12-310001333986axaeq:FiftyToSeventyPercentMemberaxaeq:AgriculturalRealEstatePortfolioSegmentMemberaxaeq:RatioLessThan1TimesMember2019-12-310001333986axaeq:FiftyToSeventyPer</w:t>
      </w:r>
      <w:r>
        <w:rPr>
          <w:rFonts w:eastAsia="Times New Roman"/>
          <w:vanish/>
        </w:rPr>
        <w:t>centMemberaxaeq:AgriculturalRealEstatePortfolioSegmentMember2019-12-310001333986axaeq:SeventyToNintyPercentMemberaxaeq:AgriculturalRealEstatePortfolioSegmentMemberaxaeq:RatioGreaterThan2TimesMember2019-12-310001333986axaeq:SeventyToNintyPercentMemberaxaeq:</w:t>
      </w:r>
      <w:r>
        <w:rPr>
          <w:rFonts w:eastAsia="Times New Roman"/>
          <w:vanish/>
        </w:rPr>
        <w:t>AgriculturalRealEstatePortfolioSegmentMemberaxaeq:RatioBetween18To2TimesMember2019-12-310001333986axaeq:SeventyToNintyPercentMemberaxaeq:AgriculturalRealEstatePortfolioSegmentMemberaxaeq:RatioBetween15To18TimesMember2019-12-310001333986axaeq:RatioBetween12</w:t>
      </w:r>
      <w:r>
        <w:rPr>
          <w:rFonts w:eastAsia="Times New Roman"/>
          <w:vanish/>
        </w:rPr>
        <w:t>To15TimesMemberaxaeq:SeventyToNintyPercentMemberaxaeq:AgriculturalRealEstatePortfolioSegmentMember2019-12-310001333986axaeq:SeventyToNintyPercentMemberaxaeq:AgriculturalRealEstatePortfolioSegmentMemberaxaeq:RatioBetween1To12TimesMember2019-12-310001333986a</w:t>
      </w:r>
      <w:r>
        <w:rPr>
          <w:rFonts w:eastAsia="Times New Roman"/>
          <w:vanish/>
        </w:rPr>
        <w:t>xaeq:SeventyToNintyPercentMemberaxaeq:AgriculturalRealEstatePortfolioSegmentMemberaxaeq:RatioLessThan1TimesMember2019-12-310001333986axaeq:SeventyToNintyPercentMemberaxaeq:AgriculturalRealEstatePortfolioSegmentMember2019-12-310001333986axaeq:AgriculturalRe</w:t>
      </w:r>
      <w:r>
        <w:rPr>
          <w:rFonts w:eastAsia="Times New Roman"/>
          <w:vanish/>
        </w:rPr>
        <w:t>alEstatePortfolioSegmentMemberaxaeq:RatioGreaterThan2TimesMemberaxaeq:MoreThanNintyPercentMember2019-12-310001333986axaeq:AgriculturalRealEstatePortfolioSegmentMemberaxaeq:MoreThanNintyPercentMemberaxaeq:RatioBetween18To2TimesMember2019-12-310001333986axae</w:t>
      </w:r>
      <w:r>
        <w:rPr>
          <w:rFonts w:eastAsia="Times New Roman"/>
          <w:vanish/>
        </w:rPr>
        <w:t>q:AgriculturalRealEstatePortfolioSegmentMemberaxaeq:MoreThanNintyPercentMemberaxaeq:RatioBetween15To18TimesMember2019-12-310001333986axaeq:RatioBetween12To15TimesMemberaxaeq:AgriculturalRealEstatePortfolioSegmentMemberaxaeq:MoreThanNintyPercentMember2019-1</w:t>
      </w:r>
      <w:r>
        <w:rPr>
          <w:rFonts w:eastAsia="Times New Roman"/>
          <w:vanish/>
        </w:rPr>
        <w:t>2-310001333986axaeq:AgriculturalRealEstatePortfolioSegmentMemberaxaeq:RatioBetween1To12TimesMemberaxaeq:MoreThanNintyPercentMember2019-12-310001333986axaeq:AgriculturalRealEstatePortfolioSegmentMemberaxaeq:RatioLessThan1TimesMemberaxaeq:MoreThanNintyPercen</w:t>
      </w:r>
      <w:r>
        <w:rPr>
          <w:rFonts w:eastAsia="Times New Roman"/>
          <w:vanish/>
        </w:rPr>
        <w:t>tMember2019-12-310001333986axaeq:AgriculturalRealEstatePortfolioSegmentMemberaxaeq:MoreThanNintyPercentMember2019-12-310001333986axaeq:AgriculturalRealEstatePortfolioSegmentMemberaxaeq:RatioGreaterThan2TimesMember2019-12-310001333986axaeq:AgriculturalRealE</w:t>
      </w:r>
      <w:r>
        <w:rPr>
          <w:rFonts w:eastAsia="Times New Roman"/>
          <w:vanish/>
        </w:rPr>
        <w:t>statePortfolioSegmentMemberaxaeq:RatioBetween18To2TimesMember2019-12-310001333986axaeq:AgriculturalRealEstatePortfolioSegmentMemberaxaeq:RatioBetween15To18TimesMember2019-12-310001333986axaeq:RatioBetween12To15TimesMemberaxaeq:AgriculturalRealEstatePortfol</w:t>
      </w:r>
      <w:r>
        <w:rPr>
          <w:rFonts w:eastAsia="Times New Roman"/>
          <w:vanish/>
        </w:rPr>
        <w:t>ioSegmentMember2019-12-310001333986axaeq:AgriculturalRealEstatePortfolioSegmentMemberaxaeq:RatioBetween1To12TimesMember2019-12-310001333986axaeq:AgriculturalRealEstatePortfolioSegmentMemberaxaeq:RatioLessThan1TimesMember2019-12-310001333986axaeq:RatioGreat</w:t>
      </w:r>
      <w:r>
        <w:rPr>
          <w:rFonts w:eastAsia="Times New Roman"/>
          <w:vanish/>
        </w:rPr>
        <w:t>erThan2TimesMemberaxaeq:ZeroToFiftyPercentMemberaxaeq:TotalMortgagesLoanMember2019-12-310001333986axaeq:ZeroToFiftyPercentMemberaxaeq:TotalMortgagesLoanMemberaxaeq:RatioBetween18To2TimesMember2019-12-310001333986axaeq:ZeroToFiftyPercentMemberaxaeq:TotalMor</w:t>
      </w:r>
      <w:r>
        <w:rPr>
          <w:rFonts w:eastAsia="Times New Roman"/>
          <w:vanish/>
        </w:rPr>
        <w:t>tgagesLoanMemberaxaeq:RatioBetween15To18TimesMember2019-12-310001333986axaeq:RatioBetween12To15TimesMemberaxaeq:ZeroToFiftyPercentMemberaxaeq:TotalMortgagesLoanMember2019-12-310001333986axaeq:ZeroToFiftyPercentMemberaxaeq:RatioBetween1To12TimesMemberaxaeq:</w:t>
      </w:r>
      <w:r>
        <w:rPr>
          <w:rFonts w:eastAsia="Times New Roman"/>
          <w:vanish/>
        </w:rPr>
        <w:t>TotalMortgagesLoanMember2019-12-310001333986axaeq:ZeroToFiftyPercentMemberaxaeq:RatioLessThan1TimesMemberaxaeq:TotalMortgagesLoanMember2019-12-310001333986axaeq:ZeroToFiftyPercentMemberaxaeq:TotalMortgagesLoanMember2019-12-310001333986axaeq:FiftyToSeventyP</w:t>
      </w:r>
      <w:r>
        <w:rPr>
          <w:rFonts w:eastAsia="Times New Roman"/>
          <w:vanish/>
        </w:rPr>
        <w:t>ercentMemberaxaeq:RatioGreaterThan2TimesMemberaxaeq:TotalMortgagesLoanMember2019-12-310001333986axaeq:FiftyToSeventyPercentMemberaxaeq:TotalMortgagesLoanMemberaxaeq:RatioBetween18To2TimesMember2019-12-310001333986axaeq:FiftyToSeventyPercentMemberaxaeq:Tota</w:t>
      </w:r>
      <w:r>
        <w:rPr>
          <w:rFonts w:eastAsia="Times New Roman"/>
          <w:vanish/>
        </w:rPr>
        <w:t>lMortgagesLoanMemberaxaeq:RatioBetween15To18TimesMember2019-12-310001333986axaeq:RatioBetween12To15TimesMemberaxaeq:FiftyToSeventyPercentMemberaxaeq:TotalMortgagesLoanMember2019-12-310001333986axaeq:FiftyToSeventyPercentMemberaxaeq:RatioBetween1To12TimesMe</w:t>
      </w:r>
      <w:r>
        <w:rPr>
          <w:rFonts w:eastAsia="Times New Roman"/>
          <w:vanish/>
        </w:rPr>
        <w:t>mberaxaeq:TotalMortgagesLoanMember2019-12-310001333986axaeq:FiftyToSeventyPercentMemberaxaeq:RatioLessThan1TimesMemberaxaeq:TotalMortgagesLoanMember2019-12-310001333986axaeq:FiftyToSeventyPercentMemberaxaeq:TotalMortgagesLoanMember2019-12-310001333986axaeq</w:t>
      </w:r>
      <w:r>
        <w:rPr>
          <w:rFonts w:eastAsia="Times New Roman"/>
          <w:vanish/>
        </w:rPr>
        <w:t>:SeventyToNintyPercentMemberaxaeq:RatioGreaterThan2TimesMemberaxaeq:TotalMortgagesLoanMember2019-12-310001333986axaeq:SeventyToNintyPercentMemberaxaeq:TotalMortgagesLoanMemberaxaeq:RatioBetween18To2TimesMember2019-12-310001333986axaeq:SeventyToNintyPercent</w:t>
      </w:r>
      <w:r>
        <w:rPr>
          <w:rFonts w:eastAsia="Times New Roman"/>
          <w:vanish/>
        </w:rPr>
        <w:t>Memberaxaeq:TotalMortgagesLoanMemberaxaeq:RatioBetween15To18TimesMember2019-12-310001333986axaeq:RatioBetween12To15TimesMemberaxaeq:SeventyToNintyPercentMemberaxaeq:TotalMortgagesLoanMember2019-12-310001333986axaeq:SeventyToNintyPercentMemberaxaeq:RatioBet</w:t>
      </w:r>
      <w:r>
        <w:rPr>
          <w:rFonts w:eastAsia="Times New Roman"/>
          <w:vanish/>
        </w:rPr>
        <w:t>ween1To12TimesMemberaxaeq:TotalMortgagesLoanMember2019-12-310001333986axaeq:SeventyToNintyPercentMemberaxaeq:RatioLessThan1TimesMemberaxaeq:TotalMortgagesLoanMember2019-12-310001333986axaeq:SeventyToNintyPercentMemberaxaeq:TotalMortgagesLoanMember2019-12-3</w:t>
      </w:r>
      <w:r>
        <w:rPr>
          <w:rFonts w:eastAsia="Times New Roman"/>
          <w:vanish/>
        </w:rPr>
        <w:t>10001333986axaeq:RatioGreaterThan2TimesMemberaxaeq:MoreThanNintyPercentMemberaxaeq:TotalMortgagesLoanMember2019-12-310001333986axaeq:MoreThanNintyPercentMemberaxaeq:TotalMortgagesLoanMemberaxaeq:RatioBetween18To2TimesMember2019-12-310001333986axaeq:MoreTha</w:t>
      </w:r>
      <w:r>
        <w:rPr>
          <w:rFonts w:eastAsia="Times New Roman"/>
          <w:vanish/>
        </w:rPr>
        <w:t>nNintyPercentMemberaxaeq:TotalMortgagesLoanMemberaxaeq:RatioBetween15To18TimesMember2019-12-310001333986axaeq:RatioBetween12To15TimesMemberaxaeq:MoreThanNintyPercentMemberaxaeq:TotalMortgagesLoanMember2019-12-310001333986axaeq:RatioBetween1To12TimesMembera</w:t>
      </w:r>
      <w:r>
        <w:rPr>
          <w:rFonts w:eastAsia="Times New Roman"/>
          <w:vanish/>
        </w:rPr>
        <w:t>xaeq:MoreThanNintyPercentMemberaxaeq:TotalMortgagesLoanMember2019-12-310001333986axaeq:RatioLessThan1TimesMemberaxaeq:MoreThanNintyPercentMemberaxaeq:TotalMortgagesLoanMember2019-12-310001333986axaeq:MoreThanNintyPercentMemberaxaeq:TotalMortgagesLoanMember</w:t>
      </w:r>
      <w:r>
        <w:rPr>
          <w:rFonts w:eastAsia="Times New Roman"/>
          <w:vanish/>
        </w:rPr>
        <w:t>2019-12-310001333986axaeq:RatioGreaterThan2TimesMemberaxaeq:TotalMortgagesLoanMember2019-12-310001333986axaeq:TotalMortgagesLoanMemberaxaeq:RatioBetween18To2TimesMember2019-12-310001333986axaeq:TotalMortgagesLoanMemberaxaeq:RatioBetween15To18TimesMember201</w:t>
      </w:r>
      <w:r>
        <w:rPr>
          <w:rFonts w:eastAsia="Times New Roman"/>
          <w:vanish/>
        </w:rPr>
        <w:t>9-12-310001333986axaeq:RatioBetween12To15TimesMemberaxaeq:TotalMortgagesLoanMember2019-12-310001333986axaeq:RatioBetween1To12TimesMemberaxaeq:TotalMortgagesLoanMember2019-12-310001333986axaeq:RatioLessThan1TimesMemberaxaeq:TotalMortgagesLoanMember2019-12-3</w:t>
      </w:r>
      <w:r>
        <w:rPr>
          <w:rFonts w:eastAsia="Times New Roman"/>
          <w:vanish/>
        </w:rPr>
        <w:t>10001333986axaeq:TotalMortgagesLoanMember2019-12-310001333986us-gaap:CommercialRealEstatePortfolioSegmentMemberus-gaap:FinancingReceivables30To59DaysPastDueMember2020-06-300001333986us-gaap:CommercialRealEstatePortfolioSegmentMemberus-gaap:FinancingReceiva</w:t>
      </w:r>
      <w:r>
        <w:rPr>
          <w:rFonts w:eastAsia="Times New Roman"/>
          <w:vanish/>
        </w:rPr>
        <w:t>bles60To89DaysPastDueMember2020-06-300001333986us-gaap:CommercialRealEstatePortfolioSegmentMemberus-gaap:FinancingReceivablesEqualToGreaterThan90DaysPastDueMember2020-06-300001333986axaeq:AgriculturalRealEstatePortfolioSegmentMemberus-gaap:FinancingReceiva</w:t>
      </w:r>
      <w:r>
        <w:rPr>
          <w:rFonts w:eastAsia="Times New Roman"/>
          <w:vanish/>
        </w:rPr>
        <w:t>bles30To59DaysPastDueMember2020-06-300001333986axaeq:AgriculturalRealEstatePortfolioSegmentMemberus-gaap:FinancingReceivables60To89DaysPastDueMember2020-06-300001333986axaeq:AgriculturalRealEstatePortfolioSegmentMemberus-gaap:FinancingReceivablesEqualToGre</w:t>
      </w:r>
      <w:r>
        <w:rPr>
          <w:rFonts w:eastAsia="Times New Roman"/>
          <w:vanish/>
        </w:rPr>
        <w:t>aterThan90DaysPastDueMember2020-06-300001333986axaeq:TotalMortgagesLoanMemberus-gaap:FinancingReceivables30To59DaysPastDueMember2020-06-300001333986us-gaap:FinancingReceivables60To89DaysPastDueMemberaxaeq:TotalMortgagesLoanMember2020-06-300001333986axaeq:T</w:t>
      </w:r>
      <w:r>
        <w:rPr>
          <w:rFonts w:eastAsia="Times New Roman"/>
          <w:vanish/>
        </w:rPr>
        <w:t>otalMortgagesLoanMemberus-gaap:FinancingReceivablesEqualToGreaterThan90DaysPastDueMember2020-06-300001333986axaeq:TotalMortgagesLoanMember2020-01-012020-06-300001333986us-gaap:CommercialRealEstatePortfolioSegmentMemberus-gaap:FinancingReceivables30To59Days</w:t>
      </w:r>
      <w:r>
        <w:rPr>
          <w:rFonts w:eastAsia="Times New Roman"/>
          <w:vanish/>
        </w:rPr>
        <w:t>PastDueMember2019-12-310001333986us-gaap:CommercialRealEstatePortfolioSegmentMemberus-gaap:FinancingReceivables60To89DaysPastDueMember2019-12-310001333986us-gaap:CommercialRealEstatePortfolioSegmentMemberus-gaap:FinancingReceivablesEqualToGreaterThan90Days</w:t>
      </w:r>
      <w:r>
        <w:rPr>
          <w:rFonts w:eastAsia="Times New Roman"/>
          <w:vanish/>
        </w:rPr>
        <w:t>PastDueMember2019-12-310001333986us-gaap:CommercialRealEstatePortfolioSegmentMember2019-01-012019-12-310001333986axaeq:AgriculturalRealEstatePortfolioSegmentMemberus-gaap:FinancingReceivables30To59DaysPastDueMember2019-12-310001333986axaeq:AgriculturalReal</w:t>
      </w:r>
      <w:r>
        <w:rPr>
          <w:rFonts w:eastAsia="Times New Roman"/>
          <w:vanish/>
        </w:rPr>
        <w:t>EstatePortfolioSegmentMemberus-gaap:FinancingReceivables60To89DaysPastDueMember2019-12-310001333986axaeq:AgriculturalRealEstatePortfolioSegmentMemberus-gaap:FinancingReceivablesEqualToGreaterThan90DaysPastDueMember2019-12-310001333986axaeq:AgriculturalReal</w:t>
      </w:r>
      <w:r>
        <w:rPr>
          <w:rFonts w:eastAsia="Times New Roman"/>
          <w:vanish/>
        </w:rPr>
        <w:t>EstatePortfolioSegmentMember2019-01-012019-12-310001333986axaeq:TotalMortgagesLoanMemberus-gaap:FinancingReceivables30To59DaysPastDueMember2019-12-310001333986us-gaap:FinancingReceivables60To89DaysPastDueMemberaxaeq:TotalMortgagesLoanMember2019-12-31000133</w:t>
      </w:r>
      <w:r>
        <w:rPr>
          <w:rFonts w:eastAsia="Times New Roman"/>
          <w:vanish/>
        </w:rPr>
        <w:t>3986axaeq:TotalMortgagesLoanMemberus-gaap:FinancingReceivablesEqualToGreaterThan90DaysPastDueMember2019-12-310001333986axaeq:TotalMortgagesLoanMember2019-01-012019-12-31axaeq:numberOfTroubledDebtRestructuring0001333986us-gaap:FairValueMeasurementsRecurring</w:t>
      </w:r>
      <w:r>
        <w:rPr>
          <w:rFonts w:eastAsia="Times New Roman"/>
          <w:vanish/>
        </w:rPr>
        <w:t>Member2020-06-300001333986us-gaap:FairValueMeasurementsRecurringMember2019-12-310001333986axaeq:EquityContractsFuturesMember2020-06-300001333986axaeq:EquityContractsFuturesMember2020-01-012020-06-300001333986us-gaap:EquitySwapMember2020-06-300001333986us-g</w:t>
      </w:r>
      <w:r>
        <w:rPr>
          <w:rFonts w:eastAsia="Times New Roman"/>
          <w:vanish/>
        </w:rPr>
        <w:t>aap:EquitySwapMember2020-01-012020-06-300001333986us-gaap:StockOptionMember2020-06-300001333986us-gaap:StockOptionMember2020-01-012020-06-300001333986us-gaap:InterestRateSwapMember2020-06-300001333986us-gaap:InterestRateSwapMember2020-01-012020-06-30000133</w:t>
      </w:r>
      <w:r>
        <w:rPr>
          <w:rFonts w:eastAsia="Times New Roman"/>
          <w:vanish/>
        </w:rPr>
        <w:t>3986axaeq:InterestRateContractsFuturesMember2020-06-300001333986axaeq:InterestRateContractsFuturesMember2020-01-012020-06-300001333986us-gaap:InterestRateSwaptionMember2020-06-300001333986us-gaap:InterestRateSwaptionMember2020-01-012020-06-300001333986us-g</w:t>
      </w:r>
      <w:r>
        <w:rPr>
          <w:rFonts w:eastAsia="Times New Roman"/>
          <w:vanish/>
        </w:rPr>
        <w:t>aap:CreditDefaultSwapMember2020-06-300001333986us-gaap:CreditDefaultSwapMember2020-01-012020-06-300001333986us-gaap:ForeignExchangeContractMember2020-06-300001333986us-gaap:ForeignExchangeContractMember2020-01-012020-06-300001333986axaeq:MarginMember2020-0</w:t>
      </w:r>
      <w:r>
        <w:rPr>
          <w:rFonts w:eastAsia="Times New Roman"/>
          <w:vanish/>
        </w:rPr>
        <w:t>6-300001333986axaeq:MarginMember2020-01-012020-06-300001333986us-gaap:CollateralizedSecuritiesMember2020-06-300001333986us-gaap:CollateralizedSecuritiesMember2020-01-012020-06-300001333986axaeq:GmibReinsuranceMember2020-06-300001333986axaeq:GmibReinsurance</w:t>
      </w:r>
      <w:r>
        <w:rPr>
          <w:rFonts w:eastAsia="Times New Roman"/>
          <w:vanish/>
        </w:rPr>
        <w:t>Member2020-01-012020-06-300001333986us-gaap:GuaranteedMinimumWithdrawalBenefitMember2020-06-300001333986us-gaap:GuaranteedMinimumWithdrawalBenefitMember2020-01-012020-06-300001333986axaeq:NonGmxbEmbeddedDerivativeInsuranceProductsMember2020-06-300001333986</w:t>
      </w:r>
      <w:r>
        <w:rPr>
          <w:rFonts w:eastAsia="Times New Roman"/>
          <w:vanish/>
        </w:rPr>
        <w:t>axaeq:NonGmxbEmbeddedDerivativeInsuranceProductsMember2020-01-012020-06-300001333986axaeq:EquityContractsFuturesMember2019-12-310001333986axaeq:EquityContractsFuturesMember2019-01-012019-06-300001333986us-gaap:EquitySwapMember2019-12-310001333986us-gaap:Eq</w:t>
      </w:r>
      <w:r>
        <w:rPr>
          <w:rFonts w:eastAsia="Times New Roman"/>
          <w:vanish/>
        </w:rPr>
        <w:t>uitySwapMember2019-01-012019-06-300001333986us-gaap:StockOptionMember2019-12-310001333986us-gaap:StockOptionMember2019-01-012019-06-300001333986us-gaap:InterestRateSwapMember2019-12-310001333986us-gaap:InterestRateSwapMember2019-01-012019-06-300001333986ax</w:t>
      </w:r>
      <w:r>
        <w:rPr>
          <w:rFonts w:eastAsia="Times New Roman"/>
          <w:vanish/>
        </w:rPr>
        <w:t>aeq:InterestRateContractsFuturesMember2019-12-310001333986axaeq:InterestRateContractsFuturesMember2019-01-012019-06-300001333986us-gaap:InterestRateSwaptionMember2019-12-310001333986us-gaap:InterestRateSwaptionMember2019-01-012019-06-300001333986us-gaap:Cr</w:t>
      </w:r>
      <w:r>
        <w:rPr>
          <w:rFonts w:eastAsia="Times New Roman"/>
          <w:vanish/>
        </w:rPr>
        <w:t>editDefaultSwapMember2019-12-310001333986us-gaap:CreditDefaultSwapMember2019-01-012019-06-300001333986us-gaap:ForeignExchangeContractMember2019-12-310001333986us-gaap:ForeignExchangeContractMember2019-01-012019-06-300001333986axaeq:MarginMember2019-12-3100</w:t>
      </w:r>
      <w:r>
        <w:rPr>
          <w:rFonts w:eastAsia="Times New Roman"/>
          <w:vanish/>
        </w:rPr>
        <w:t>01333986axaeq:MarginMember2019-01-012019-06-300001333986us-gaap:CollateralizedSecuritiesMember2019-12-310001333986us-gaap:CollateralizedSecuritiesMember2019-01-012019-06-300001333986axaeq:GmibReinsuranceMember2019-12-310001333986axaeq:GmibReinsuranceMember</w:t>
      </w:r>
      <w:r>
        <w:rPr>
          <w:rFonts w:eastAsia="Times New Roman"/>
          <w:vanish/>
        </w:rPr>
        <w:t>2019-01-012019-06-300001333986us-gaap:GuaranteedMinimumWithdrawalBenefitMember2019-12-310001333986us-gaap:GuaranteedMinimumWithdrawalBenefitMember2019-01-012019-06-300001333986axaeq:NonGmxbEmbeddedDerivativeInsuranceProductsMember2019-12-310001333986axaeq:</w:t>
      </w:r>
      <w:r>
        <w:rPr>
          <w:rFonts w:eastAsia="Times New Roman"/>
          <w:vanish/>
        </w:rPr>
        <w:t>NonGmxbEmbeddedDerivativeInsuranceProductsMember2019-01-012019-06-300001333986axaeq:Sp500Russell1000Nasdaq100AndEmergingMarketIndicesMember2020-06-300001333986axaeq:Sp500Russell1000Nasdaq100AndEmergingMarketIndicesMember2019-12-310001333986axaeq:UsTreasury</w:t>
      </w:r>
      <w:r>
        <w:rPr>
          <w:rFonts w:eastAsia="Times New Roman"/>
          <w:vanish/>
        </w:rPr>
        <w:t>NotesUltraLongBondsAndEuroDollarMember2020-06-300001333986axaeq:UsTreasuryNotesUltraLongBondsAndEuroDollarMember2019-12-310001333986axaeq:EuroStoxxFtse100EafeAndTopixIndicesMember2020-06-300001333986axaeq:EuroStoxxFtse100EafeAndTopixIndicesMember2019-12-31</w:t>
      </w:r>
      <w:r>
        <w:rPr>
          <w:rFonts w:eastAsia="Times New Roman"/>
          <w:vanish/>
        </w:rPr>
        <w:t>0001333986us-gaap:DerivativeMember2020-06-300001333986axaeq:OtherFinancialInstrumentsMember2020-06-300001333986axaeq:OtherInvestedAssetsMember2020-06-300001333986axaeq:OtherFinancialLiabilitiesMember2020-06-300001333986us-gaap:OtherLiabilitiesMember2020-06</w:t>
      </w:r>
      <w:r>
        <w:rPr>
          <w:rFonts w:eastAsia="Times New Roman"/>
          <w:vanish/>
        </w:rPr>
        <w:t>-300001333986us-gaap:DerivativeMember2019-12-310001333986axaeq:OtherFinancialInstrumentsMember2019-12-310001333986axaeq:OtherInvestedAssetsMember2019-12-310001333986axaeq:OtherFinancialLiabilitiesMember2019-12-310001333986us-gaap:OtherLiabilitiesMember2019</w:t>
      </w:r>
      <w:r>
        <w:rPr>
          <w:rFonts w:eastAsia="Times New Roman"/>
          <w:vanish/>
        </w:rPr>
        <w:t>-12-310001333986axaeq:AllianceBernsteinMemberaxaeq:InvestmentManagementMember2020-01-012020-06-300001333986axaeq:AllianceBernsteinMemberaxaeq:InvestmentManagementMember2019-01-012019-12-310001333986axaeq:GMDBDirectMember2020-03-310001333986axaeq:GMDBAssume</w:t>
      </w:r>
      <w:r>
        <w:rPr>
          <w:rFonts w:eastAsia="Times New Roman"/>
          <w:vanish/>
        </w:rPr>
        <w:t>dMember2020-03-310001333986axaeq:GMDBCededMember2020-03-310001333986axaeq:GMIBDirectMember2020-03-310001333986axaeq:GMIBAssumedMember2020-03-310001333986axaeq:GMIBCededMember2020-03-310001333986axaeq:GMDBDirectMember2020-04-012020-06-300001333986axaeq:GMDB</w:t>
      </w:r>
      <w:r>
        <w:rPr>
          <w:rFonts w:eastAsia="Times New Roman"/>
          <w:vanish/>
        </w:rPr>
        <w:t>AssumedMember2020-04-012020-06-300001333986axaeq:GMDBCededMember2020-04-012020-06-300001333986axaeq:GMIBDirectMember2020-04-012020-06-300001333986axaeq:GMIBAssumedMember2020-04-012020-06-300001333986axaeq:GMIBCededMember2020-04-012020-06-300001333986axaeq:</w:t>
      </w:r>
      <w:r>
        <w:rPr>
          <w:rFonts w:eastAsia="Times New Roman"/>
          <w:vanish/>
        </w:rPr>
        <w:t>GMDBDirectMember2020-06-300001333986axaeq:GMDBAssumedMember2020-06-300001333986axaeq:GMDBCededMember2020-06-300001333986axaeq:GMIBDirectMember2020-06-300001333986axaeq:GMIBAssumedMember2020-06-300001333986axaeq:GMIBCededMember2020-06-300001333986axaeq:GMDB</w:t>
      </w:r>
      <w:r>
        <w:rPr>
          <w:rFonts w:eastAsia="Times New Roman"/>
          <w:vanish/>
        </w:rPr>
        <w:t>DirectMember2019-03-310001333986axaeq:GMDBAssumedMember2019-03-310001333986axaeq:GMDBCededMember2019-03-310001333986axaeq:GMIBDirectMember2019-03-310001333986axaeq:GMIBAssumedMember2019-03-310001333986axaeq:GMIBCededMember2019-03-310001333986axaeq:GMDBDire</w:t>
      </w:r>
      <w:r>
        <w:rPr>
          <w:rFonts w:eastAsia="Times New Roman"/>
          <w:vanish/>
        </w:rPr>
        <w:t>ctMember2019-04-012019-06-300001333986axaeq:GMDBAssumedMember2019-04-012019-06-300001333986axaeq:GMDBCededMember2019-04-012019-06-300001333986axaeq:GMIBDirectMember2019-04-012019-06-300001333986axaeq:GMIBAssumedMember2019-04-012019-06-300001333986axaeq:GMI</w:t>
      </w:r>
      <w:r>
        <w:rPr>
          <w:rFonts w:eastAsia="Times New Roman"/>
          <w:vanish/>
        </w:rPr>
        <w:t>BCededMember2019-04-012019-06-300001333986axaeq:GMDBDirectMember2019-06-300001333986axaeq:GMDBAssumedMember2019-06-300001333986axaeq:GMDBCededMember2019-06-300001333986axaeq:GMIBDirectMember2019-06-300001333986axaeq:GMIBAssumedMember2019-06-300001333986axa</w:t>
      </w:r>
      <w:r>
        <w:rPr>
          <w:rFonts w:eastAsia="Times New Roman"/>
          <w:vanish/>
        </w:rPr>
        <w:t>eq:GMIBCededMember2019-06-300001333986axaeq:GMDBDirectMember2019-12-310001333986axaeq:GMDBAssumedMember2019-12-310001333986axaeq:GMDBCededMember2019-12-310001333986axaeq:GMIBDirectMember2019-12-310001333986axaeq:GMIBAssumedMember2019-12-310001333986axaeq:G</w:t>
      </w:r>
      <w:r>
        <w:rPr>
          <w:rFonts w:eastAsia="Times New Roman"/>
          <w:vanish/>
        </w:rPr>
        <w:t>MIBCededMember2019-12-310001333986axaeq:GMDBDirectMember2020-01-012020-06-300001333986axaeq:GMDBAssumedMember2020-01-012020-06-300001333986axaeq:GMDBCededMember2020-01-012020-06-300001333986axaeq:GMIBDirectMember2020-01-012020-06-300001333986axaeq:GMIBAssu</w:t>
      </w:r>
      <w:r>
        <w:rPr>
          <w:rFonts w:eastAsia="Times New Roman"/>
          <w:vanish/>
        </w:rPr>
        <w:t>medMember2020-01-012020-06-300001333986axaeq:GMIBCededMember2020-01-012020-06-300001333986axaeq:GMDBDirectMember2018-12-310001333986axaeq:GMDBAssumedMember2018-12-310001333986axaeq:GMDBCededMember2018-12-310001333986axaeq:GMIBDirectMember2018-12-3100013339</w:t>
      </w:r>
      <w:r>
        <w:rPr>
          <w:rFonts w:eastAsia="Times New Roman"/>
          <w:vanish/>
        </w:rPr>
        <w:t>86axaeq:GMIBAssumedMember2018-12-310001333986axaeq:GMIBCededMember2018-12-310001333986axaeq:GMDBDirectMember2019-01-012019-06-300001333986axaeq:GMDBAssumedMember2019-01-012019-06-300001333986axaeq:GMDBCededMember2019-01-012019-06-300001333986axaeq:GMIBDire</w:t>
      </w:r>
      <w:r>
        <w:rPr>
          <w:rFonts w:eastAsia="Times New Roman"/>
          <w:vanish/>
        </w:rPr>
        <w:t>ctMember2019-01-012019-06-300001333986axaeq:GMIBAssumedMember2019-01-012019-06-300001333986axaeq:GMIBCededMember2019-01-012019-06-300001333986us-gaap:GuaranteedMinimumDeathBenefitMemberaxaeq:ReturnOfPremiumMemberus-gaap:ImmediateVariableAnnuityMember2020-0</w:t>
      </w:r>
      <w:r>
        <w:rPr>
          <w:rFonts w:eastAsia="Times New Roman"/>
          <w:vanish/>
        </w:rPr>
        <w:t>6-300001333986us-gaap:GuaranteedMinimumDeathBenefitMemberus-gaap:ImmediateVariableAnnuityMemberaxaeq:RatchetMember2020-06-300001333986us-gaap:GuaranteedMinimumDeathBenefitMemberaxaeq:RollUpMemberus-gaap:ImmediateVariableAnnuityMember2020-06-300001333986us-</w:t>
      </w:r>
      <w:r>
        <w:rPr>
          <w:rFonts w:eastAsia="Times New Roman"/>
          <w:vanish/>
        </w:rPr>
        <w:t>gaap:GuaranteedMinimumDeathBenefitMemberus-gaap:ImmediateVariableAnnuityMemberaxaeq:ComboMember2020-06-300001333986us-gaap:GuaranteedMinimumDeathBenefitMemberus-gaap:ImmediateVariableAnnuityMember2020-06-300001333986us-gaap:GuaranteedMinimumDeathBenefitMem</w:t>
      </w:r>
      <w:r>
        <w:rPr>
          <w:rFonts w:eastAsia="Times New Roman"/>
          <w:vanish/>
        </w:rPr>
        <w:t>beraxaeq:ReturnOfPremiumMemberus-gaap:ImmediateVariableAnnuityMember2020-01-012020-06-300001333986us-gaap:GuaranteedMinimumDeathBenefitMemberus-gaap:ImmediateVariableAnnuityMemberaxaeq:RatchetMember2020-01-012020-06-300001333986us-gaap:GuaranteedMinimumDea</w:t>
      </w:r>
      <w:r>
        <w:rPr>
          <w:rFonts w:eastAsia="Times New Roman"/>
          <w:vanish/>
        </w:rPr>
        <w:t>thBenefitMemberaxaeq:RollUpMemberus-gaap:ImmediateVariableAnnuityMember2020-01-012020-06-300001333986us-gaap:GuaranteedMinimumDeathBenefitMemberus-gaap:ImmediateVariableAnnuityMemberaxaeq:ComboMember2020-01-012020-06-300001333986us-gaap:GuaranteedMinimumDe</w:t>
      </w:r>
      <w:r>
        <w:rPr>
          <w:rFonts w:eastAsia="Times New Roman"/>
          <w:vanish/>
        </w:rPr>
        <w:t>athBenefitMemberus-gaap:ImmediateVariableAnnuityMember2020-01-012020-06-300001333986axaeq:ReturnOfPremiumMemberus-gaap:ImmediateVariableAnnuityMemberus-gaap:GuaranteedMinimumIncomeBenefitMember2020-06-300001333986us-gaap:ImmediateVariableAnnuityMemberus-ga</w:t>
      </w:r>
      <w:r>
        <w:rPr>
          <w:rFonts w:eastAsia="Times New Roman"/>
          <w:vanish/>
        </w:rPr>
        <w:t>ap:GuaranteedMinimumIncomeBenefitMemberaxaeq:RatchetMember2020-06-300001333986axaeq:RollUpMemberus-gaap:ImmediateVariableAnnuityMemberus-gaap:GuaranteedMinimumIncomeBenefitMember2020-06-300001333986us-gaap:ImmediateVariableAnnuityMemberus-gaap:GuaranteedMi</w:t>
      </w:r>
      <w:r>
        <w:rPr>
          <w:rFonts w:eastAsia="Times New Roman"/>
          <w:vanish/>
        </w:rPr>
        <w:t>nimumIncomeBenefitMemberaxaeq:ComboMember2020-06-300001333986us-gaap:ImmediateVariableAnnuityMemberus-gaap:GuaranteedMinimumIncomeBenefitMember2020-06-300001333986us-gaap:GuaranteedMinimumDeathBenefitMemberaxaeq:ReturnOfPremiumMemberus-gaap:DeferredVariabl</w:t>
      </w:r>
      <w:r>
        <w:rPr>
          <w:rFonts w:eastAsia="Times New Roman"/>
          <w:vanish/>
        </w:rPr>
        <w:t>eAnnuityMember2020-06-300001333986us-gaap:GuaranteedMinimumDeathBenefitMemberus-gaap:DeferredVariableAnnuityMemberaxaeq:RatchetMember2020-06-300001333986us-gaap:GuaranteedMinimumDeathBenefitMemberaxaeq:RollUpMemberus-gaap:DeferredVariableAnnuityMember2020-</w:t>
      </w:r>
      <w:r>
        <w:rPr>
          <w:rFonts w:eastAsia="Times New Roman"/>
          <w:vanish/>
        </w:rPr>
        <w:t>06-300001333986us-gaap:GuaranteedMinimumDeathBenefitMemberus-gaap:DeferredVariableAnnuityMemberaxaeq:ComboMember2020-06-300001333986us-gaap:GuaranteedMinimumDeathBenefitMemberus-gaap:DeferredVariableAnnuityMember2020-06-300001333986us-gaap:GuaranteedMinimu</w:t>
      </w:r>
      <w:r>
        <w:rPr>
          <w:rFonts w:eastAsia="Times New Roman"/>
          <w:vanish/>
        </w:rPr>
        <w:t>mDeathBenefitMemberaxaeq:ReturnOfPremiumMemberus-gaap:DeferredVariableAnnuityMember2020-01-012020-06-300001333986us-gaap:GuaranteedMinimumDeathBenefitMemberus-gaap:DeferredVariableAnnuityMemberaxaeq:RatchetMember2020-01-012020-06-300001333986us-gaap:Guaran</w:t>
      </w:r>
      <w:r>
        <w:rPr>
          <w:rFonts w:eastAsia="Times New Roman"/>
          <w:vanish/>
        </w:rPr>
        <w:t>teedMinimumDeathBenefitMemberaxaeq:RollUpMemberus-gaap:DeferredVariableAnnuityMember2020-01-012020-06-300001333986us-gaap:GuaranteedMinimumDeathBenefitMemberus-gaap:DeferredVariableAnnuityMemberaxaeq:ComboMember2020-01-012020-06-300001333986us-gaap:Guarant</w:t>
      </w:r>
      <w:r>
        <w:rPr>
          <w:rFonts w:eastAsia="Times New Roman"/>
          <w:vanish/>
        </w:rPr>
        <w:t>eedMinimumDeathBenefitMemberus-gaap:DeferredVariableAnnuityMember2020-01-012020-06-300001333986axaeq:ReturnOfPremiumMemberus-gaap:GuaranteedMinimumIncomeBenefitMemberus-gaap:DeferredVariableAnnuityMember2020-06-300001333986us-gaap:GuaranteedMinimumIncomeBe</w:t>
      </w:r>
      <w:r>
        <w:rPr>
          <w:rFonts w:eastAsia="Times New Roman"/>
          <w:vanish/>
        </w:rPr>
        <w:t>nefitMemberus-gaap:DeferredVariableAnnuityMemberaxaeq:RatchetMember2020-06-300001333986axaeq:RollUpMemberus-gaap:GuaranteedMinimumIncomeBenefitMemberus-gaap:DeferredVariableAnnuityMember2020-06-300001333986us-gaap:GuaranteedMinimumIncomeBenefitMemberus-gaa</w:t>
      </w:r>
      <w:r>
        <w:rPr>
          <w:rFonts w:eastAsia="Times New Roman"/>
          <w:vanish/>
        </w:rPr>
        <w:t>p:DeferredVariableAnnuityMemberaxaeq:ComboMember2020-06-300001333986us-gaap:GuaranteedMinimumIncomeBenefitMemberus-gaap:DeferredVariableAnnuityMember2020-06-300001333986axaeq:ReturnOfPremiumMemberus-gaap:GuaranteedMinimumIncomeBenefitMemberus-gaap:Deferred</w:t>
      </w:r>
      <w:r>
        <w:rPr>
          <w:rFonts w:eastAsia="Times New Roman"/>
          <w:vanish/>
        </w:rPr>
        <w:t>VariableAnnuityMember2020-01-012020-06-300001333986us-gaap:GuaranteedMinimumIncomeBenefitMemberus-gaap:DeferredVariableAnnuityMemberaxaeq:RatchetMember2020-01-012020-06-300001333986axaeq:RollUpMemberus-gaap:GuaranteedMinimumIncomeBenefitMemberus-gaap:Defer</w:t>
      </w:r>
      <w:r>
        <w:rPr>
          <w:rFonts w:eastAsia="Times New Roman"/>
          <w:vanish/>
        </w:rPr>
        <w:t>redVariableAnnuityMember2020-01-012020-06-300001333986us-gaap:GuaranteedMinimumIncomeBenefitMemberus-gaap:DeferredVariableAnnuityMemberaxaeq:ComboMember2020-01-012020-06-300001333986us-gaap:GuaranteedMinimumIncomeBenefitMemberus-gaap:DeferredVariableAnnuit</w:t>
      </w:r>
      <w:r>
        <w:rPr>
          <w:rFonts w:eastAsia="Times New Roman"/>
          <w:vanish/>
        </w:rPr>
        <w:t>yMember2020-01-012020-06-300001333986us-gaap:GuaranteedMinimumDeathBenefitMemberus-gaap:CommonStockMember2020-06-300001333986us-gaap:GuaranteedMinimumIncomeBenefitMemberus-gaap:CommonStockMember2020-06-300001333986us-gaap:GuaranteedMinimumDeathBenefitMembe</w:t>
      </w:r>
      <w:r>
        <w:rPr>
          <w:rFonts w:eastAsia="Times New Roman"/>
          <w:vanish/>
        </w:rPr>
        <w:t>rus-gaap:CommonStockMember2019-12-310001333986us-gaap:GuaranteedMinimumIncomeBenefitMemberus-gaap:CommonStockMember2019-12-310001333986us-gaap:GuaranteedMinimumDeathBenefitMemberus-gaap:FixedIncomeInvestmentsMember2020-06-300001333986us-gaap:FixedIncomeInv</w:t>
      </w:r>
      <w:r>
        <w:rPr>
          <w:rFonts w:eastAsia="Times New Roman"/>
          <w:vanish/>
        </w:rPr>
        <w:t>estmentsMemberus-gaap:GuaranteedMinimumIncomeBenefitMember2020-06-300001333986us-gaap:GuaranteedMinimumDeathBenefitMemberus-gaap:FixedIncomeInvestmentsMember2019-12-310001333986us-gaap:FixedIncomeInvestmentsMemberus-gaap:GuaranteedMinimumIncomeBenefitMembe</w:t>
      </w:r>
      <w:r>
        <w:rPr>
          <w:rFonts w:eastAsia="Times New Roman"/>
          <w:vanish/>
        </w:rPr>
        <w:t>r2019-12-310001333986us-gaap:BalancedFundsMemberus-gaap:GuaranteedMinimumDeathBenefitMember2020-06-300001333986us-gaap:BalancedFundsMemberus-gaap:GuaranteedMinimumIncomeBenefitMember2020-06-300001333986us-gaap:BalancedFundsMemberus-gaap:GuaranteedMinimumDe</w:t>
      </w:r>
      <w:r>
        <w:rPr>
          <w:rFonts w:eastAsia="Times New Roman"/>
          <w:vanish/>
        </w:rPr>
        <w:t>athBenefitMember2019-12-310001333986us-gaap:BalancedFundsMemberus-gaap:GuaranteedMinimumIncomeBenefitMember2019-12-310001333986us-gaap:GuaranteedMinimumDeathBenefitMemberus-gaap:OtherInvestmentsMember2020-06-300001333986us-gaap:OtherInvestmentsMemberus-gaa</w:t>
      </w:r>
      <w:r>
        <w:rPr>
          <w:rFonts w:eastAsia="Times New Roman"/>
          <w:vanish/>
        </w:rPr>
        <w:t>p:GuaranteedMinimumIncomeBenefitMember2020-06-300001333986us-gaap:GuaranteedMinimumDeathBenefitMemberus-gaap:OtherInvestmentsMember2019-12-310001333986us-gaap:OtherInvestmentsMemberus-gaap:GuaranteedMinimumIncomeBenefitMember2019-12-310001333986us-gaap:Gua</w:t>
      </w:r>
      <w:r>
        <w:rPr>
          <w:rFonts w:eastAsia="Times New Roman"/>
          <w:vanish/>
        </w:rPr>
        <w:t>ranteedMinimumDeathBenefitMember2020-06-300001333986us-gaap:GuaranteedMinimumIncomeBenefitMember2020-06-300001333986us-gaap:GuaranteedMinimumDeathBenefitMember2019-12-310001333986us-gaap:GuaranteedMinimumIncomeBenefitMember2019-12-310001333986axaeq:DirectL</w:t>
      </w:r>
      <w:r>
        <w:rPr>
          <w:rFonts w:eastAsia="Times New Roman"/>
          <w:vanish/>
        </w:rPr>
        <w:t>iabilitiesForGuaranteesMember2020-03-310001333986axaeq:DirectLiabilitiesForGuaranteesMember2019-03-310001333986axaeq:DirectLiabilitiesForGuaranteesMember2019-12-310001333986axaeq:DirectLiabilitiesForGuaranteesMember2018-12-310001333986axaeq:DirectLiabiliti</w:t>
      </w:r>
      <w:r>
        <w:rPr>
          <w:rFonts w:eastAsia="Times New Roman"/>
          <w:vanish/>
        </w:rPr>
        <w:t>esForGuaranteesMember2020-04-012020-06-300001333986axaeq:DirectLiabilitiesForGuaranteesMember2019-04-012019-06-300001333986axaeq:DirectLiabilitiesForGuaranteesMember2020-01-012020-06-300001333986axaeq:DirectLiabilitiesForGuaranteesMember2019-01-012019-06-3</w:t>
      </w:r>
      <w:r>
        <w:rPr>
          <w:rFonts w:eastAsia="Times New Roman"/>
          <w:vanish/>
        </w:rPr>
        <w:t>00001333986axaeq:DirectLiabilitiesForGuaranteesMember2020-06-300001333986axaeq:DirectLiabilitiesForGuaranteesMember2019-06-300001333986us-gaap:GuaranteedMinimumDeathBenefitMemberaxaeq:RollUpMembersrt:MinimumMemberus-gaap:ImmediateVariableAnnuityMember2020-</w:t>
      </w:r>
      <w:r>
        <w:rPr>
          <w:rFonts w:eastAsia="Times New Roman"/>
          <w:vanish/>
        </w:rPr>
        <w:t>01-012020-06-300001333986us-gaap:GuaranteedMinimumDeathBenefitMembersrt:MinimumMemberus-gaap:ImmediateVariableAnnuityMemberaxaeq:ComboMember2020-01-012020-06-300001333986us-gaap:GuaranteedMinimumDeathBenefitMembersrt:MinimumMemberus-gaap:ImmediateVariableA</w:t>
      </w:r>
      <w:r>
        <w:rPr>
          <w:rFonts w:eastAsia="Times New Roman"/>
          <w:vanish/>
        </w:rPr>
        <w:t>nnuityMember2020-01-012020-06-300001333986us-gaap:GuaranteedMinimumDeathBenefitMemberaxaeq:RollUpMemberus-gaap:ImmediateVariableAnnuityMembersrt:MaximumMember2020-01-012020-06-300001333986us-gaap:GuaranteedMinimumDeathBenefitMemberus-gaap:ImmediateVariable</w:t>
      </w:r>
      <w:r>
        <w:rPr>
          <w:rFonts w:eastAsia="Times New Roman"/>
          <w:vanish/>
        </w:rPr>
        <w:t>AnnuityMemberaxaeq:ComboMembersrt:MaximumMember2020-01-012020-06-300001333986us-gaap:GuaranteedMinimumDeathBenefitMemberus-gaap:ImmediateVariableAnnuityMembersrt:MaximumMember2020-01-012020-06-300001333986axaeq:RollUpMemberus-gaap:ImmediateVariableAnnuityM</w:t>
      </w:r>
      <w:r>
        <w:rPr>
          <w:rFonts w:eastAsia="Times New Roman"/>
          <w:vanish/>
        </w:rPr>
        <w:t>emberus-gaap:GuaranteedMinimumIncomeBenefitMember2020-01-012020-06-300001333986us-gaap:ImmediateVariableAnnuityMemberus-gaap:GuaranteedMinimumIncomeBenefitMemberaxaeq:ComboMember2020-01-012020-06-300001333986us-gaap:ImmediateVariableAnnuityMemberus-gaap:Gu</w:t>
      </w:r>
      <w:r>
        <w:rPr>
          <w:rFonts w:eastAsia="Times New Roman"/>
          <w:vanish/>
        </w:rPr>
        <w:t>aranteedMinimumIncomeBenefitMember2020-01-012020-06-300001333986axaeq:RollUpMembersrt:MinimumMemberus-gaap:ImmediateVariableAnnuityMemberus-gaap:GuaranteedMinimumIncomeBenefitMember2020-01-012020-06-300001333986srt:MinimumMemberus-gaap:ImmediateVariableAnn</w:t>
      </w:r>
      <w:r>
        <w:rPr>
          <w:rFonts w:eastAsia="Times New Roman"/>
          <w:vanish/>
        </w:rPr>
        <w:t>uityMemberus-gaap:GuaranteedMinimumIncomeBenefitMemberaxaeq:ComboMember2020-01-012020-06-300001333986srt:MinimumMemberus-gaap:ImmediateVariableAnnuityMemberus-gaap:GuaranteedMinimumIncomeBenefitMember2020-01-012020-06-300001333986axaeq:RollUpMemberus-gaap:</w:t>
      </w:r>
      <w:r>
        <w:rPr>
          <w:rFonts w:eastAsia="Times New Roman"/>
          <w:vanish/>
        </w:rPr>
        <w:t>ImmediateVariableAnnuityMemberus-gaap:GuaranteedMinimumIncomeBenefitMembersrt:MaximumMember2020-01-012020-06-300001333986us-gaap:ImmediateVariableAnnuityMemberus-gaap:GuaranteedMinimumIncomeBenefitMemberaxaeq:ComboMembersrt:MaximumMember2020-01-012020-06-3</w:t>
      </w:r>
      <w:r>
        <w:rPr>
          <w:rFonts w:eastAsia="Times New Roman"/>
          <w:vanish/>
        </w:rPr>
        <w:t>00001333986us-gaap:ImmediateVariableAnnuityMemberus-gaap:GuaranteedMinimumIncomeBenefitMembersrt:MaximumMember2020-01-012020-06-300001333986us-gaap:GuaranteedMinimumDeathBenefitMemberaxaeq:RollUpMembersrt:MinimumMemberus-gaap:DeferredVariableAnnuityMember2</w:t>
      </w:r>
      <w:r>
        <w:rPr>
          <w:rFonts w:eastAsia="Times New Roman"/>
          <w:vanish/>
        </w:rPr>
        <w:t>020-01-012020-06-300001333986us-gaap:GuaranteedMinimumDeathBenefitMembersrt:MinimumMemberus-gaap:DeferredVariableAnnuityMemberaxaeq:ComboMember2020-01-012020-06-300001333986us-gaap:GuaranteedMinimumDeathBenefitMembersrt:MinimumMemberus-gaap:DeferredVariabl</w:t>
      </w:r>
      <w:r>
        <w:rPr>
          <w:rFonts w:eastAsia="Times New Roman"/>
          <w:vanish/>
        </w:rPr>
        <w:t>eAnnuityMember2020-01-012020-06-300001333986us-gaap:GuaranteedMinimumDeathBenefitMemberaxaeq:RollUpMemberus-gaap:DeferredVariableAnnuityMembersrt:MaximumMember2020-01-012020-06-300001333986us-gaap:GuaranteedMinimumDeathBenefitMemberus-gaap:DeferredVariable</w:t>
      </w:r>
      <w:r>
        <w:rPr>
          <w:rFonts w:eastAsia="Times New Roman"/>
          <w:vanish/>
        </w:rPr>
        <w:t>AnnuityMemberaxaeq:ComboMembersrt:MaximumMember2020-01-012020-06-300001333986us-gaap:GuaranteedMinimumDeathBenefitMemberus-gaap:DeferredVariableAnnuityMembersrt:MaximumMember2020-01-012020-06-300001333986axaeq:RollUpMembersrt:MinimumMemberus-gaap:Guarantee</w:t>
      </w:r>
      <w:r>
        <w:rPr>
          <w:rFonts w:eastAsia="Times New Roman"/>
          <w:vanish/>
        </w:rPr>
        <w:t>dMinimumIncomeBenefitMemberus-gaap:DeferredVariableAnnuityMember2020-01-012020-06-300001333986srt:MinimumMemberus-gaap:GuaranteedMinimumIncomeBenefitMemberus-gaap:DeferredVariableAnnuityMemberaxaeq:ComboMember2020-01-012020-06-300001333986srt:MinimumMember</w:t>
      </w:r>
      <w:r>
        <w:rPr>
          <w:rFonts w:eastAsia="Times New Roman"/>
          <w:vanish/>
        </w:rPr>
        <w:t>us-gaap:GuaranteedMinimumIncomeBenefitMemberus-gaap:DeferredVariableAnnuityMember2020-01-012020-06-300001333986axaeq:RollUpMemberus-gaap:GuaranteedMinimumIncomeBenefitMemberus-gaap:DeferredVariableAnnuityMembersrt:MaximumMember2020-01-012020-06-30000133398</w:t>
      </w:r>
      <w:r>
        <w:rPr>
          <w:rFonts w:eastAsia="Times New Roman"/>
          <w:vanish/>
        </w:rPr>
        <w:t>6us-gaap:GuaranteedMinimumIncomeBenefitMemberus-gaap:DeferredVariableAnnuityMemberaxaeq:ComboMembersrt:MaximumMember2020-01-012020-06-300001333986us-gaap:GuaranteedMinimumIncomeBenefitMemberus-gaap:DeferredVariableAnnuityMembersrt:MaximumMember2020-01-0120</w:t>
      </w:r>
      <w:r>
        <w:rPr>
          <w:rFonts w:eastAsia="Times New Roman"/>
          <w:vanish/>
        </w:rPr>
        <w:t>20-06-300001333986axaeq:PublicCorporateMemberus-gaap:FairValueInputsLevel1Memberus-gaap:FairValueMeasurementsRecurringMember2020-06-300001333986axaeq:PublicCorporateMemberus-gaap:FairValueMeasurementsRecurringMemberus-gaap:FairValueInputsLevel2Member2020-0</w:t>
      </w:r>
      <w:r>
        <w:rPr>
          <w:rFonts w:eastAsia="Times New Roman"/>
          <w:vanish/>
        </w:rPr>
        <w:t>6-300001333986axaeq:PublicCorporateMemberus-gaap:FairValueInputsLevel3Memberus-gaap:FairValueMeasurementsRecurringMember2020-06-300001333986axaeq:PublicCorporateMemberus-gaap:FairValueMeasurementsRecurringMember2020-06-300001333986us-gaap:USTreasuryAndGove</w:t>
      </w:r>
      <w:r>
        <w:rPr>
          <w:rFonts w:eastAsia="Times New Roman"/>
          <w:vanish/>
        </w:rPr>
        <w:t>rnmentMemberus-gaap:FairValueInputsLevel1Memberus-gaap:FairValueMeasurementsRecurringMember2020-06-300001333986us-gaap:USTreasuryAndGovernmentMemberus-gaap:FairValueMeasurementsRecurringMemberus-gaap:FairValueInputsLevel2Member2020-06-300001333986us-gaap:U</w:t>
      </w:r>
      <w:r>
        <w:rPr>
          <w:rFonts w:eastAsia="Times New Roman"/>
          <w:vanish/>
        </w:rPr>
        <w:t>STreasuryAndGovernmentMemberus-gaap:FairValueInputsLevel3Memberus-gaap:FairValueMeasurementsRecurringMember2020-06-300001333986us-gaap:USTreasuryAndGovernmentMemberus-gaap:FairValueMeasurementsRecurringMember2020-06-300001333986us-gaap:FairValueInputsLevel</w:t>
      </w:r>
      <w:r>
        <w:rPr>
          <w:rFonts w:eastAsia="Times New Roman"/>
          <w:vanish/>
        </w:rPr>
        <w:t>1Memberus-gaap:USStatesAndPoliticalSubdivisionsMemberus-gaap:FairValueMeasurementsRecurringMember2020-06-300001333986us-gaap:USStatesAndPoliticalSubdivisionsMemberus-gaap:FairValueMeasurementsRecurringMemberus-gaap:FairValueInputsLevel2Member2020-06-300001</w:t>
      </w:r>
      <w:r>
        <w:rPr>
          <w:rFonts w:eastAsia="Times New Roman"/>
          <w:vanish/>
        </w:rPr>
        <w:t>333986us-gaap:FairValueInputsLevel3Memberus-gaap:USStatesAndPoliticalSubdivisionsMemberus-gaap:FairValueMeasurementsRecurringMember2020-06-300001333986us-gaap:USStatesAndPoliticalSubdivisionsMemberus-gaap:FairValueMeasurementsRecurringMember2020-06-3000013</w:t>
      </w:r>
      <w:r>
        <w:rPr>
          <w:rFonts w:eastAsia="Times New Roman"/>
          <w:vanish/>
        </w:rPr>
        <w:t>33986us-gaap:FairValueInputsLevel1Memberus-gaap:ForeignGovernmentDebtSecuritiesMemberus-gaap:FairValueMeasurementsRecurringMember2020-06-300001333986us-gaap:ForeignGovernmentDebtSecuritiesMemberus-gaap:FairValueMeasurementsRecurringMemberus-gaap:FairValueI</w:t>
      </w:r>
      <w:r>
        <w:rPr>
          <w:rFonts w:eastAsia="Times New Roman"/>
          <w:vanish/>
        </w:rPr>
        <w:t>nputsLevel2Member2020-06-300001333986us-gaap:FairValueInputsLevel3Memberus-gaap:ForeignGovernmentDebtSecuritiesMemberus-gaap:FairValueMeasurementsRecurringMember2020-06-300001333986us-gaap:ForeignGovernmentDebtSecuritiesMemberus-gaap:FairValueMeasurementsR</w:t>
      </w:r>
      <w:r>
        <w:rPr>
          <w:rFonts w:eastAsia="Times New Roman"/>
          <w:vanish/>
        </w:rPr>
        <w:t>ecurringMember2020-06-300001333986us-gaap:ResidentialMortgageBackedSecuritiesMemberus-gaap:FairValueInputsLevel1Memberus-gaap:FairValueMeasurementsRecurringMember2020-06-300001333986us-gaap:ResidentialMortgageBackedSecuritiesMemberus-gaap:FairValueMeasurem</w:t>
      </w:r>
      <w:r>
        <w:rPr>
          <w:rFonts w:eastAsia="Times New Roman"/>
          <w:vanish/>
        </w:rPr>
        <w:t>entsRecurringMemberus-gaap:FairValueInputsLevel2Member2020-06-300001333986us-gaap:ResidentialMortgageBackedSecuritiesMemberus-gaap:FairValueInputsLevel3Memberus-gaap:FairValueMeasurementsRecurringMember2020-06-300001333986us-gaap:ResidentialMortgageBackedS</w:t>
      </w:r>
      <w:r>
        <w:rPr>
          <w:rFonts w:eastAsia="Times New Roman"/>
          <w:vanish/>
        </w:rPr>
        <w:t>ecuritiesMemberus-gaap:FairValueMeasurementsRecurringMember2020-06-300001333986us-gaap:AssetBackedSecuritiesMemberus-gaap:FairValueInputsLevel1Memberus-gaap:FairValueMeasurementsRecurringMember2020-06-300001333986us-gaap:AssetBackedSecuritiesMemberus-gaap:</w:t>
      </w:r>
      <w:r>
        <w:rPr>
          <w:rFonts w:eastAsia="Times New Roman"/>
          <w:vanish/>
        </w:rPr>
        <w:t>FairValueMeasurementsRecurringMemberus-gaap:FairValueInputsLevel2Member2020-06-300001333986us-gaap:AssetBackedSecuritiesMemberus-gaap:FairValueInputsLevel3Memberus-gaap:FairValueMeasurementsRecurringMember2020-06-300001333986us-gaap:AssetBackedSecuritiesMe</w:t>
      </w:r>
      <w:r>
        <w:rPr>
          <w:rFonts w:eastAsia="Times New Roman"/>
          <w:vanish/>
        </w:rPr>
        <w:t>mberus-gaap:FairValueMeasurementsRecurringMember2020-06-300001333986us-gaap:FairValueInputsLevel1Memberus-gaap:CommercialMortgageBackedSecuritiesMemberus-gaap:FairValueMeasurementsRecurringMember2020-06-300001333986us-gaap:CommercialMortgageBackedSecuritie</w:t>
      </w:r>
      <w:r>
        <w:rPr>
          <w:rFonts w:eastAsia="Times New Roman"/>
          <w:vanish/>
        </w:rPr>
        <w:t>sMemberus-gaap:FairValueMeasurementsRecurringMemberus-gaap:FairValueInputsLevel2Member2020-06-300001333986us-gaap:FairValueInputsLevel3Memberus-gaap:CommercialMortgageBackedSecuritiesMemberus-gaap:FairValueMeasurementsRecurringMember2020-06-300001333986us-</w:t>
      </w:r>
      <w:r>
        <w:rPr>
          <w:rFonts w:eastAsia="Times New Roman"/>
          <w:vanish/>
        </w:rPr>
        <w:t>gaap:CommercialMortgageBackedSecuritiesMemberus-gaap:FairValueMeasurementsRecurringMember2020-06-300001333986us-gaap:RedeemablePreferredStockMemberus-gaap:FairValueInputsLevel1Memberus-gaap:FairValueMeasurementsRecurringMember2020-06-300001333986us-gaap:Re</w:t>
      </w:r>
      <w:r>
        <w:rPr>
          <w:rFonts w:eastAsia="Times New Roman"/>
          <w:vanish/>
        </w:rPr>
        <w:t>deemablePreferredStockMemberus-gaap:FairValueMeasurementsRecurringMemberus-gaap:FairValueInputsLevel2Member2020-06-300001333986us-gaap:RedeemablePreferredStockMemberus-gaap:FairValueInputsLevel3Memberus-gaap:FairValueMeasurementsRecurringMember2020-06-3000</w:t>
      </w:r>
      <w:r>
        <w:rPr>
          <w:rFonts w:eastAsia="Times New Roman"/>
          <w:vanish/>
        </w:rPr>
        <w:t>01333986us-gaap:RedeemablePreferredStockMemberus-gaap:FairValueMeasurementsRecurringMember2020-06-300001333986us-gaap:FairValueInputsLevel1Memberus-gaap:FairValueMeasurementsRecurringMember2020-06-300001333986us-gaap:FairValueMeasurementsRecurringMemberus-</w:t>
      </w:r>
      <w:r>
        <w:rPr>
          <w:rFonts w:eastAsia="Times New Roman"/>
          <w:vanish/>
        </w:rPr>
        <w:t>gaap:FairValueInputsLevel2Member2020-06-300001333986us-gaap:FairValueInputsLevel3Memberus-gaap:FairValueMeasurementsRecurringMember2020-06-300001333986us-gaap:ShortTermInvestmentsMemberus-gaap:FairValueInputsLevel1Memberus-gaap:FairValueMeasurementsRecurri</w:t>
      </w:r>
      <w:r>
        <w:rPr>
          <w:rFonts w:eastAsia="Times New Roman"/>
          <w:vanish/>
        </w:rPr>
        <w:t>ngMember2020-06-300001333986us-gaap:ShortTermInvestmentsMemberus-gaap:FairValueMeasurementsRecurringMemberus-gaap:FairValueInputsLevel2Member2020-06-300001333986us-gaap:ShortTermInvestmentsMemberus-gaap:FairValueInputsLevel3Memberus-gaap:FairValueMeasureme</w:t>
      </w:r>
      <w:r>
        <w:rPr>
          <w:rFonts w:eastAsia="Times New Roman"/>
          <w:vanish/>
        </w:rPr>
        <w:t>ntsRecurringMember2020-06-300001333986us-gaap:ShortTermInvestmentsMemberus-gaap:FairValueMeasurementsRecurringMember2020-06-300001333986axaeq:AssetsofConsolidatedVIEsVOEsMemberus-gaap:FairValueInputsLevel1Memberus-gaap:FairValueMeasurementsRecurringMember2</w:t>
      </w:r>
      <w:r>
        <w:rPr>
          <w:rFonts w:eastAsia="Times New Roman"/>
          <w:vanish/>
        </w:rPr>
        <w:t>020-06-300001333986axaeq:AssetsofConsolidatedVIEsVOEsMemberus-gaap:FairValueMeasurementsRecurringMemberus-gaap:FairValueInputsLevel2Member2020-06-300001333986axaeq:AssetsofConsolidatedVIEsVOEsMemberus-gaap:FairValueInputsLevel3Memberus-gaap:FairValueMeasur</w:t>
      </w:r>
      <w:r>
        <w:rPr>
          <w:rFonts w:eastAsia="Times New Roman"/>
          <w:vanish/>
        </w:rPr>
        <w:t>ementsRecurringMember2020-06-300001333986axaeq:AssetsofConsolidatedVIEsVOEsMemberus-gaap:FairValueMeasurementsRecurringMember2020-06-300001333986us-gaap:SwapMemberus-gaap:FairValueInputsLevel1Memberus-gaap:FairValueMeasurementsRecurringMember2020-06-300001</w:t>
      </w:r>
      <w:r>
        <w:rPr>
          <w:rFonts w:eastAsia="Times New Roman"/>
          <w:vanish/>
        </w:rPr>
        <w:t>333986us-gaap:SwapMemberus-gaap:FairValueMeasurementsRecurringMemberus-gaap:FairValueInputsLevel2Member2020-06-300001333986us-gaap:SwapMemberus-gaap:FairValueInputsLevel3Memberus-gaap:FairValueMeasurementsRecurringMember2020-06-300001333986us-gaap:SwapMemb</w:t>
      </w:r>
      <w:r>
        <w:rPr>
          <w:rFonts w:eastAsia="Times New Roman"/>
          <w:vanish/>
        </w:rPr>
        <w:t>erus-gaap:FairValueMeasurementsRecurringMember2020-06-300001333986us-gaap:CreditDefaultSwapMemberus-gaap:FairValueInputsLevel1Memberus-gaap:FairValueMeasurementsRecurringMember2020-06-300001333986us-gaap:CreditDefaultSwapMemberus-gaap:FairValueMeasurements</w:t>
      </w:r>
      <w:r>
        <w:rPr>
          <w:rFonts w:eastAsia="Times New Roman"/>
          <w:vanish/>
        </w:rPr>
        <w:t>RecurringMemberus-gaap:FairValueInputsLevel2Member2020-06-300001333986us-gaap:CreditDefaultSwapMemberus-gaap:FairValueInputsLevel3Memberus-gaap:FairValueMeasurementsRecurringMember2020-06-300001333986us-gaap:CreditDefaultSwapMemberus-gaap:FairValueMeasurem</w:t>
      </w:r>
      <w:r>
        <w:rPr>
          <w:rFonts w:eastAsia="Times New Roman"/>
          <w:vanish/>
        </w:rPr>
        <w:t>entsRecurringMember2020-06-300001333986us-gaap:FutureMemberus-gaap:FairValueInputsLevel1Memberus-gaap:FairValueMeasurementsRecurringMember2020-06-300001333986us-gaap:FutureMemberus-gaap:FairValueMeasurementsRecurringMemberus-gaap:FairValueInputsLevel2Membe</w:t>
      </w:r>
      <w:r>
        <w:rPr>
          <w:rFonts w:eastAsia="Times New Roman"/>
          <w:vanish/>
        </w:rPr>
        <w:t>r2020-06-300001333986us-gaap:FutureMemberus-gaap:FairValueInputsLevel3Memberus-gaap:FairValueMeasurementsRecurringMember2020-06-300001333986us-gaap:FutureMemberus-gaap:FairValueMeasurementsRecurringMember2020-06-300001333986us-gaap:OptionMemberus-gaap:Fair</w:t>
      </w:r>
      <w:r>
        <w:rPr>
          <w:rFonts w:eastAsia="Times New Roman"/>
          <w:vanish/>
        </w:rPr>
        <w:t>ValueInputsLevel1Memberus-gaap:FairValueMeasurementsRecurringMember2020-06-300001333986us-gaap:OptionMemberus-gaap:FairValueMeasurementsRecurringMemberus-gaap:FairValueInputsLevel2Member2020-06-300001333986us-gaap:OptionMemberus-gaap:FairValueInputsLevel3M</w:t>
      </w:r>
      <w:r>
        <w:rPr>
          <w:rFonts w:eastAsia="Times New Roman"/>
          <w:vanish/>
        </w:rPr>
        <w:t>emberus-gaap:FairValueMeasurementsRecurringMember2020-06-300001333986us-gaap:OptionMemberus-gaap:FairValueMeasurementsRecurringMember2020-06-300001333986us-gaap:InterestRateSwaptionMemberus-gaap:FairValueInputsLevel1Memberus-gaap:FairValueMeasurementsRecur</w:t>
      </w:r>
      <w:r>
        <w:rPr>
          <w:rFonts w:eastAsia="Times New Roman"/>
          <w:vanish/>
        </w:rPr>
        <w:t>ringMember2020-06-300001333986us-gaap:InterestRateSwaptionMemberus-gaap:FairValueMeasurementsRecurringMemberus-gaap:FairValueInputsLevel2Member2020-06-300001333986us-gaap:InterestRateSwaptionMemberus-gaap:FairValueInputsLevel3Memberus-gaap:FairValueMeasure</w:t>
      </w:r>
      <w:r>
        <w:rPr>
          <w:rFonts w:eastAsia="Times New Roman"/>
          <w:vanish/>
        </w:rPr>
        <w:t>mentsRecurringMember2020-06-300001333986us-gaap:InterestRateSwaptionMemberus-gaap:FairValueMeasurementsRecurringMember2020-06-300001333986us-gaap:FairValueInputsLevel1Memberus-gaap:FairValueMeasurementsRecurringMemberus-gaap:GuaranteedMinimumWithdrawalBene</w:t>
      </w:r>
      <w:r>
        <w:rPr>
          <w:rFonts w:eastAsia="Times New Roman"/>
          <w:vanish/>
        </w:rPr>
        <w:t>fitMember2020-06-300001333986us-gaap:FairValueMeasurementsRecurringMemberus-gaap:FairValueInputsLevel2Memberus-gaap:GuaranteedMinimumWithdrawalBenefitMember2020-06-300001333986us-gaap:FairValueInputsLevel3Memberus-gaap:FairValueMeasurementsRecurringMemberu</w:t>
      </w:r>
      <w:r>
        <w:rPr>
          <w:rFonts w:eastAsia="Times New Roman"/>
          <w:vanish/>
        </w:rPr>
        <w:t>s-gaap:GuaranteedMinimumWithdrawalBenefitMember2020-06-300001333986us-gaap:FairValueMeasurementsRecurringMemberus-gaap:GuaranteedMinimumWithdrawalBenefitMember2020-06-300001333986axaeq:NonGmxbEmbeddedDerivativeInsuranceProductsMemberus-gaap:FairValueInputs</w:t>
      </w:r>
      <w:r>
        <w:rPr>
          <w:rFonts w:eastAsia="Times New Roman"/>
          <w:vanish/>
        </w:rPr>
        <w:t>Level1Memberus-gaap:FairValueMeasurementsRecurringMember2020-06-300001333986axaeq:NonGmxbEmbeddedDerivativeInsuranceProductsMemberus-gaap:FairValueMeasurementsRecurringMemberus-gaap:FairValueInputsLevel2Member2020-06-300001333986us-gaap:FairValueInputsLeve</w:t>
      </w:r>
      <w:r>
        <w:rPr>
          <w:rFonts w:eastAsia="Times New Roman"/>
          <w:vanish/>
        </w:rPr>
        <w:t>l3Memberaxaeq:NonGmxbEmbeddedDerivativeInsuranceProductsMemberus-gaap:FairValueMeasurementsRecurringMember2020-06-300001333986axaeq:NonGmxbEmbeddedDerivativeInsuranceProductsMemberus-gaap:FairValueMeasurementsRecurringMember2020-06-300001333986us-gaap:Vari</w:t>
      </w:r>
      <w:r>
        <w:rPr>
          <w:rFonts w:eastAsia="Times New Roman"/>
          <w:vanish/>
        </w:rPr>
        <w:t>ableInterestEntityPrimaryBeneficiaryMemberus-gaap:FairValueInputsLevel1Memberus-gaap:FairValueMeasurementsRecurringMember2020-06-300001333986us-gaap:VariableInterestEntityPrimaryBeneficiaryMemberus-gaap:FairValueMeasurementsRecurringMemberus-gaap:FairValue</w:t>
      </w:r>
      <w:r>
        <w:rPr>
          <w:rFonts w:eastAsia="Times New Roman"/>
          <w:vanish/>
        </w:rPr>
        <w:t>InputsLevel2Member2020-06-300001333986us-gaap:VariableInterestEntityPrimaryBeneficiaryMemberus-gaap:FairValueInputsLevel3Memberus-gaap:FairValueMeasurementsRecurringMember2020-06-300001333986us-gaap:VariableInterestEntityPrimaryBeneficiaryMemberus-gaap:Fai</w:t>
      </w:r>
      <w:r>
        <w:rPr>
          <w:rFonts w:eastAsia="Times New Roman"/>
          <w:vanish/>
        </w:rPr>
        <w:t>rValueMeasurementsRecurringMember2020-06-300001333986us-gaap:FairValueMeasuredAtNetAssetValuePerShareMemberus-gaap:FairValueMeasurementsRecurringMember2020-06-300001333986axaeq:PublicCorporateMemberus-gaap:FairValueInputsLevel1Memberus-gaap:FairValueMeasur</w:t>
      </w:r>
      <w:r>
        <w:rPr>
          <w:rFonts w:eastAsia="Times New Roman"/>
          <w:vanish/>
        </w:rPr>
        <w:t>ementsRecurringMember2019-12-310001333986axaeq:PublicCorporateMemberus-gaap:FairValueMeasurementsRecurringMemberus-gaap:FairValueInputsLevel2Member2019-12-310001333986axaeq:PublicCorporateMemberus-gaap:FairValueInputsLevel3Memberus-gaap:FairValueMeasuremen</w:t>
      </w:r>
      <w:r>
        <w:rPr>
          <w:rFonts w:eastAsia="Times New Roman"/>
          <w:vanish/>
        </w:rPr>
        <w:t>tsRecurringMember2019-12-310001333986axaeq:PublicCorporateMemberus-gaap:FairValueMeasurementsRecurringMember2019-12-310001333986us-gaap:USTreasuryAndGovernmentMemberus-gaap:FairValueInputsLevel1Memberus-gaap:FairValueMeasurementsRecurringMember2019-12-3100</w:t>
      </w:r>
      <w:r>
        <w:rPr>
          <w:rFonts w:eastAsia="Times New Roman"/>
          <w:vanish/>
        </w:rPr>
        <w:t>01333986us-gaap:USTreasuryAndGovernmentMemberus-gaap:FairValueMeasurementsRecurringMemberus-gaap:FairValueInputsLevel2Member2019-12-310001333986us-gaap:USTreasuryAndGovernmentMemberus-gaap:FairValueInputsLevel3Memberus-gaap:FairValueMeasurementsRecurringMe</w:t>
      </w:r>
      <w:r>
        <w:rPr>
          <w:rFonts w:eastAsia="Times New Roman"/>
          <w:vanish/>
        </w:rPr>
        <w:t>mber2019-12-310001333986us-gaap:USTreasuryAndGovernmentMemberus-gaap:FairValueMeasurementsRecurringMember2019-12-310001333986us-gaap:FairValueInputsLevel1Memberus-gaap:USStatesAndPoliticalSubdivisionsMemberus-gaap:FairValueMeasurementsRecurringMember2019-1</w:t>
      </w:r>
      <w:r>
        <w:rPr>
          <w:rFonts w:eastAsia="Times New Roman"/>
          <w:vanish/>
        </w:rPr>
        <w:t>2-310001333986us-gaap:USStatesAndPoliticalSubdivisionsMemberus-gaap:FairValueMeasurementsRecurringMemberus-gaap:FairValueInputsLevel2Member2019-12-310001333986us-gaap:FairValueInputsLevel3Memberus-gaap:USStatesAndPoliticalSubdivisionsMemberus-gaap:FairValu</w:t>
      </w:r>
      <w:r>
        <w:rPr>
          <w:rFonts w:eastAsia="Times New Roman"/>
          <w:vanish/>
        </w:rPr>
        <w:t>eMeasurementsRecurringMember2019-12-310001333986us-gaap:USStatesAndPoliticalSubdivisionsMemberus-gaap:FairValueMeasurementsRecurringMember2019-12-310001333986us-gaap:FairValueInputsLevel1Memberus-gaap:ForeignGovernmentDebtSecuritiesMemberus-gaap:FairValueM</w:t>
      </w:r>
      <w:r>
        <w:rPr>
          <w:rFonts w:eastAsia="Times New Roman"/>
          <w:vanish/>
        </w:rPr>
        <w:t>easurementsRecurringMember2019-12-310001333986us-gaap:ForeignGovernmentDebtSecuritiesMemberus-gaap:FairValueMeasurementsRecurringMemberus-gaap:FairValueInputsLevel2Member2019-12-310001333986us-gaap:FairValueInputsLevel3Memberus-gaap:ForeignGovernmentDebtSe</w:t>
      </w:r>
      <w:r>
        <w:rPr>
          <w:rFonts w:eastAsia="Times New Roman"/>
          <w:vanish/>
        </w:rPr>
        <w:t>curitiesMemberus-gaap:FairValueMeasurementsRecurringMember2019-12-310001333986us-gaap:ForeignGovernmentDebtSecuritiesMemberus-gaap:FairValueMeasurementsRecurringMember2019-12-310001333986us-gaap:ResidentialMortgageBackedSecuritiesMemberus-gaap:FairValueInp</w:t>
      </w:r>
      <w:r>
        <w:rPr>
          <w:rFonts w:eastAsia="Times New Roman"/>
          <w:vanish/>
        </w:rPr>
        <w:t>utsLevel1Memberus-gaap:FairValueMeasurementsRecurringMember2019-12-310001333986us-gaap:ResidentialMortgageBackedSecuritiesMemberus-gaap:FairValueMeasurementsRecurringMemberus-gaap:FairValueInputsLevel2Member2019-12-310001333986us-gaap:ResidentialMortgageBa</w:t>
      </w:r>
      <w:r>
        <w:rPr>
          <w:rFonts w:eastAsia="Times New Roman"/>
          <w:vanish/>
        </w:rPr>
        <w:t>ckedSecuritiesMemberus-gaap:FairValueInputsLevel3Memberus-gaap:FairValueMeasurementsRecurringMember2019-12-310001333986us-gaap:ResidentialMortgageBackedSecuritiesMemberus-gaap:FairValueMeasurementsRecurringMember2019-12-310001333986us-gaap:AssetBackedSecur</w:t>
      </w:r>
      <w:r>
        <w:rPr>
          <w:rFonts w:eastAsia="Times New Roman"/>
          <w:vanish/>
        </w:rPr>
        <w:t>itiesMemberus-gaap:FairValueInputsLevel1Memberus-gaap:FairValueMeasurementsRecurringMember2019-12-310001333986us-gaap:AssetBackedSecuritiesMemberus-gaap:FairValueMeasurementsRecurringMemberus-gaap:FairValueInputsLevel2Member2019-12-310001333986us-gaap:Asse</w:t>
      </w:r>
      <w:r>
        <w:rPr>
          <w:rFonts w:eastAsia="Times New Roman"/>
          <w:vanish/>
        </w:rPr>
        <w:t>tBackedSecuritiesMemberus-gaap:FairValueInputsLevel3Memberus-gaap:FairValueMeasurementsRecurringMember2019-12-310001333986us-gaap:AssetBackedSecuritiesMemberus-gaap:FairValueMeasurementsRecurringMember2019-12-310001333986us-gaap:RedeemablePreferredStockMem</w:t>
      </w:r>
      <w:r>
        <w:rPr>
          <w:rFonts w:eastAsia="Times New Roman"/>
          <w:vanish/>
        </w:rPr>
        <w:t>berus-gaap:FairValueInputsLevel1Memberus-gaap:FairValueMeasurementsRecurringMember2019-12-310001333986us-gaap:RedeemablePreferredStockMemberus-gaap:FairValueMeasurementsRecurringMemberus-gaap:FairValueInputsLevel2Member2019-12-310001333986us-gaap:Redeemabl</w:t>
      </w:r>
      <w:r>
        <w:rPr>
          <w:rFonts w:eastAsia="Times New Roman"/>
          <w:vanish/>
        </w:rPr>
        <w:t>ePreferredStockMemberus-gaap:FairValueInputsLevel3Memberus-gaap:FairValueMeasurementsRecurringMember2019-12-310001333986us-gaap:RedeemablePreferredStockMemberus-gaap:FairValueMeasurementsRecurringMember2019-12-310001333986us-gaap:FairValueInputsLevel1Membe</w:t>
      </w:r>
      <w:r>
        <w:rPr>
          <w:rFonts w:eastAsia="Times New Roman"/>
          <w:vanish/>
        </w:rPr>
        <w:t>rus-gaap:FairValueMeasurementsRecurringMember2019-12-310001333986us-gaap:FairValueMeasurementsRecurringMemberus-gaap:FairValueInputsLevel2Member2019-12-310001333986us-gaap:FairValueInputsLevel3Memberus-gaap:FairValueMeasurementsRecurringMember2019-12-31000</w:t>
      </w:r>
      <w:r>
        <w:rPr>
          <w:rFonts w:eastAsia="Times New Roman"/>
          <w:vanish/>
        </w:rPr>
        <w:t>1333986us-gaap:ShortTermInvestmentsMemberus-gaap:FairValueInputsLevel1Memberus-gaap:FairValueMeasurementsRecurringMember2019-12-310001333986us-gaap:ShortTermInvestmentsMemberus-gaap:FairValueMeasurementsRecurringMemberus-gaap:FairValueInputsLevel2Member201</w:t>
      </w:r>
      <w:r>
        <w:rPr>
          <w:rFonts w:eastAsia="Times New Roman"/>
          <w:vanish/>
        </w:rPr>
        <w:t>9-12-310001333986us-gaap:ShortTermInvestmentsMemberus-gaap:FairValueInputsLevel3Memberus-gaap:FairValueMeasurementsRecurringMember2019-12-310001333986us-gaap:ShortTermInvestmentsMemberus-gaap:FairValueMeasurementsRecurringMember2019-12-310001333986axaeq:As</w:t>
      </w:r>
      <w:r>
        <w:rPr>
          <w:rFonts w:eastAsia="Times New Roman"/>
          <w:vanish/>
        </w:rPr>
        <w:t>setsofConsolidatedVIEsVOEsMemberus-gaap:FairValueInputsLevel1Memberus-gaap:FairValueMeasurementsRecurringMember2019-12-310001333986axaeq:AssetsofConsolidatedVIEsVOEsMemberus-gaap:FairValueMeasurementsRecurringMemberus-gaap:FairValueInputsLevel2Member2019-1</w:t>
      </w:r>
      <w:r>
        <w:rPr>
          <w:rFonts w:eastAsia="Times New Roman"/>
          <w:vanish/>
        </w:rPr>
        <w:t>2-310001333986axaeq:AssetsofConsolidatedVIEsVOEsMemberus-gaap:FairValueInputsLevel3Memberus-gaap:FairValueMeasurementsRecurringMember2019-12-310001333986axaeq:AssetsofConsolidatedVIEsVOEsMemberus-gaap:FairValueMeasurementsRecurringMember2019-12-31000133398</w:t>
      </w:r>
      <w:r>
        <w:rPr>
          <w:rFonts w:eastAsia="Times New Roman"/>
          <w:vanish/>
        </w:rPr>
        <w:t>6us-gaap:SwapMemberus-gaap:FairValueInputsLevel1Memberus-gaap:FairValueMeasurementsRecurringMember2019-12-310001333986us-gaap:SwapMemberus-gaap:FairValueMeasurementsRecurringMemberus-gaap:FairValueInputsLevel2Member2019-12-310001333986us-gaap:SwapMemberus-</w:t>
      </w:r>
      <w:r>
        <w:rPr>
          <w:rFonts w:eastAsia="Times New Roman"/>
          <w:vanish/>
        </w:rPr>
        <w:t>gaap:FairValueInputsLevel3Memberus-gaap:FairValueMeasurementsRecurringMember2019-12-310001333986us-gaap:SwapMemberus-gaap:FairValueMeasurementsRecurringMember2019-12-310001333986us-gaap:CreditDefaultSwapMemberus-gaap:FairValueInputsLevel1Memberus-gaap:Fair</w:t>
      </w:r>
      <w:r>
        <w:rPr>
          <w:rFonts w:eastAsia="Times New Roman"/>
          <w:vanish/>
        </w:rPr>
        <w:t>ValueMeasurementsRecurringMember2019-12-310001333986us-gaap:CreditDefaultSwapMemberus-gaap:FairValueMeasurementsRecurringMemberus-gaap:FairValueInputsLevel2Member2019-12-310001333986us-gaap:CreditDefaultSwapMemberus-gaap:FairValueInputsLevel3Memberus-gaap:</w:t>
      </w:r>
      <w:r>
        <w:rPr>
          <w:rFonts w:eastAsia="Times New Roman"/>
          <w:vanish/>
        </w:rPr>
        <w:t>FairValueMeasurementsRecurringMember2019-12-310001333986us-gaap:CreditDefaultSwapMemberus-gaap:FairValueMeasurementsRecurringMember2019-12-310001333986us-gaap:OptionMemberus-gaap:FairValueInputsLevel1Memberus-gaap:FairValueMeasurementsRecurringMember2019-1</w:t>
      </w:r>
      <w:r>
        <w:rPr>
          <w:rFonts w:eastAsia="Times New Roman"/>
          <w:vanish/>
        </w:rPr>
        <w:t>2-310001333986us-gaap:OptionMemberus-gaap:FairValueMeasurementsRecurringMemberus-gaap:FairValueInputsLevel2Member2019-12-310001333986us-gaap:OptionMemberus-gaap:FairValueInputsLevel3Memberus-gaap:FairValueMeasurementsRecurringMember2019-12-310001333986us-g</w:t>
      </w:r>
      <w:r>
        <w:rPr>
          <w:rFonts w:eastAsia="Times New Roman"/>
          <w:vanish/>
        </w:rPr>
        <w:t>aap:OptionMemberus-gaap:FairValueMeasurementsRecurringMember2019-12-310001333986us-gaap:InterestRateSwaptionMemberus-gaap:FairValueInputsLevel1Memberus-gaap:FairValueMeasurementsRecurringMember2019-12-310001333986us-gaap:InterestRateSwaptionMemberus-gaap:F</w:t>
      </w:r>
      <w:r>
        <w:rPr>
          <w:rFonts w:eastAsia="Times New Roman"/>
          <w:vanish/>
        </w:rPr>
        <w:t>airValueMeasurementsRecurringMemberus-gaap:FairValueInputsLevel2Member2019-12-310001333986us-gaap:InterestRateSwaptionMemberus-gaap:FairValueInputsLevel3Memberus-gaap:FairValueMeasurementsRecurringMember2019-12-310001333986us-gaap:InterestRateSwaptionMembe</w:t>
      </w:r>
      <w:r>
        <w:rPr>
          <w:rFonts w:eastAsia="Times New Roman"/>
          <w:vanish/>
        </w:rPr>
        <w:t>rus-gaap:FairValueMeasurementsRecurringMember2019-12-310001333986us-gaap:FairValueInputsLevel1Memberus-gaap:FairValueMeasurementsRecurringMemberus-gaap:GuaranteedMinimumWithdrawalBenefitMember2019-12-310001333986us-gaap:FairValueMeasurementsRecurringMember</w:t>
      </w:r>
      <w:r>
        <w:rPr>
          <w:rFonts w:eastAsia="Times New Roman"/>
          <w:vanish/>
        </w:rPr>
        <w:t>us-gaap:FairValueInputsLevel2Memberus-gaap:GuaranteedMinimumWithdrawalBenefitMember2019-12-310001333986us-gaap:FairValueInputsLevel3Memberus-gaap:FairValueMeasurementsRecurringMemberus-gaap:GuaranteedMinimumWithdrawalBenefitMember2019-12-310001333986us-gaa</w:t>
      </w:r>
      <w:r>
        <w:rPr>
          <w:rFonts w:eastAsia="Times New Roman"/>
          <w:vanish/>
        </w:rPr>
        <w:t>p:FairValueMeasurementsRecurringMemberus-gaap:GuaranteedMinimumWithdrawalBenefitMember2019-12-310001333986axaeq:NonGmxbEmbeddedDerivativeInsuranceProductsMemberus-gaap:FairValueInputsLevel1Memberus-gaap:FairValueMeasurementsRecurringMember2019-12-310001333</w:t>
      </w:r>
      <w:r>
        <w:rPr>
          <w:rFonts w:eastAsia="Times New Roman"/>
          <w:vanish/>
        </w:rPr>
        <w:t>986axaeq:NonGmxbEmbeddedDerivativeInsuranceProductsMemberus-gaap:FairValueMeasurementsRecurringMemberus-gaap:FairValueInputsLevel2Member2019-12-310001333986us-gaap:FairValueInputsLevel3Memberaxaeq:NonGmxbEmbeddedDerivativeInsuranceProductsMemberus-gaap:Fai</w:t>
      </w:r>
      <w:r>
        <w:rPr>
          <w:rFonts w:eastAsia="Times New Roman"/>
          <w:vanish/>
        </w:rPr>
        <w:t>rValueMeasurementsRecurringMember2019-12-310001333986axaeq:NonGmxbEmbeddedDerivativeInsuranceProductsMemberus-gaap:FairValueMeasurementsRecurringMember2019-12-310001333986us-gaap:VariableInterestEntityPrimaryBeneficiaryMemberus-gaap:FairValueInputsLevel1Me</w:t>
      </w:r>
      <w:r>
        <w:rPr>
          <w:rFonts w:eastAsia="Times New Roman"/>
          <w:vanish/>
        </w:rPr>
        <w:t>mberus-gaap:FairValueMeasurementsRecurringMember2019-12-310001333986us-gaap:VariableInterestEntityPrimaryBeneficiaryMemberus-gaap:FairValueMeasurementsRecurringMemberus-gaap:FairValueInputsLevel2Member2019-12-310001333986us-gaap:VariableInterestEntityPrima</w:t>
      </w:r>
      <w:r>
        <w:rPr>
          <w:rFonts w:eastAsia="Times New Roman"/>
          <w:vanish/>
        </w:rPr>
        <w:t>ryBeneficiaryMemberus-gaap:FairValueInputsLevel3Memberus-gaap:FairValueMeasurementsRecurringMember2019-12-310001333986us-gaap:VariableInterestEntityPrimaryBeneficiaryMemberus-gaap:FairValueMeasurementsRecurringMember2019-12-310001333986us-gaap:FairValueMea</w:t>
      </w:r>
      <w:r>
        <w:rPr>
          <w:rFonts w:eastAsia="Times New Roman"/>
          <w:vanish/>
        </w:rPr>
        <w:t>suredAtNetAssetValuePerShareMemberus-gaap:FairValueMeasurementsRecurringMember2019-12-3100013339862019-01-012019-12-310001333986us-gaap:CorporateDebtSecuritiesMemberus-gaap:FairValueInputsLevel3Member2020-03-310001333986us-gaap:FairValueInputsLevel3Memberu</w:t>
      </w:r>
      <w:r>
        <w:rPr>
          <w:rFonts w:eastAsia="Times New Roman"/>
          <w:vanish/>
        </w:rPr>
        <w:t>s-gaap:USStatesAndPoliticalSubdivisionsMember2020-03-310001333986us-gaap:AssetBackedSecuritiesMemberus-gaap:FairValueInputsLevel3Member2020-03-310001333986us-gaap:CorporateDebtSecuritiesMemberus-gaap:FairValueInputsLevel3Member2020-04-012020-06-30000133398</w:t>
      </w:r>
      <w:r>
        <w:rPr>
          <w:rFonts w:eastAsia="Times New Roman"/>
          <w:vanish/>
        </w:rPr>
        <w:t>6us-gaap:FairValueInputsLevel3Memberus-gaap:USStatesAndPoliticalSubdivisionsMember2020-04-012020-06-300001333986us-gaap:AssetBackedSecuritiesMemberus-gaap:FairValueInputsLevel3Member2020-04-012020-06-300001333986us-gaap:CorporateDebtSecuritiesMemberus-gaap</w:t>
      </w:r>
      <w:r>
        <w:rPr>
          <w:rFonts w:eastAsia="Times New Roman"/>
          <w:vanish/>
        </w:rPr>
        <w:t>:FairValueInputsLevel3Member2020-06-300001333986us-gaap:FairValueInputsLevel3Memberus-gaap:USStatesAndPoliticalSubdivisionsMember2020-06-300001333986us-gaap:AssetBackedSecuritiesMemberus-gaap:FairValueInputsLevel3Member2020-06-300001333986us-gaap:Corporate</w:t>
      </w:r>
      <w:r>
        <w:rPr>
          <w:rFonts w:eastAsia="Times New Roman"/>
          <w:vanish/>
        </w:rPr>
        <w:t>DebtSecuritiesMemberus-gaap:FairValueInputsLevel3Member2019-03-310001333986us-gaap:FairValueInputsLevel3Memberus-gaap:USStatesAndPoliticalSubdivisionsMember2019-03-310001333986us-gaap:AssetBackedSecuritiesMemberus-gaap:FairValueInputsLevel3Member2019-03-31</w:t>
      </w:r>
      <w:r>
        <w:rPr>
          <w:rFonts w:eastAsia="Times New Roman"/>
          <w:vanish/>
        </w:rPr>
        <w:t>0001333986us-gaap:CorporateDebtSecuritiesMemberus-gaap:FairValueInputsLevel3Member2019-04-012019-06-300001333986us-gaap:FairValueInputsLevel3Memberus-gaap:USStatesAndPoliticalSubdivisionsMember2019-04-012019-06-300001333986us-gaap:AssetBackedSecuritiesMemb</w:t>
      </w:r>
      <w:r>
        <w:rPr>
          <w:rFonts w:eastAsia="Times New Roman"/>
          <w:vanish/>
        </w:rPr>
        <w:t>erus-gaap:FairValueInputsLevel3Member2019-04-012019-06-300001333986us-gaap:CorporateDebtSecuritiesMemberus-gaap:FairValueInputsLevel3Member2019-06-300001333986us-gaap:FairValueInputsLevel3Memberus-gaap:USStatesAndPoliticalSubdivisionsMember2019-06-30000133</w:t>
      </w:r>
      <w:r>
        <w:rPr>
          <w:rFonts w:eastAsia="Times New Roman"/>
          <w:vanish/>
        </w:rPr>
        <w:t>3986us-gaap:AssetBackedSecuritiesMemberus-gaap:FairValueInputsLevel3Member2019-06-300001333986us-gaap:CorporateDebtSecuritiesMemberus-gaap:FairValueInputsLevel3Member2019-12-310001333986us-gaap:FairValueInputsLevel3Memberus-gaap:USStatesAndPoliticalSubdivi</w:t>
      </w:r>
      <w:r>
        <w:rPr>
          <w:rFonts w:eastAsia="Times New Roman"/>
          <w:vanish/>
        </w:rPr>
        <w:t>sionsMember2019-12-310001333986us-gaap:AssetBackedSecuritiesMemberus-gaap:FairValueInputsLevel3Member2019-12-310001333986us-gaap:CorporateDebtSecuritiesMemberus-gaap:FairValueInputsLevel3Member2020-01-012020-06-300001333986us-gaap:FairValueInputsLevel3Memb</w:t>
      </w:r>
      <w:r>
        <w:rPr>
          <w:rFonts w:eastAsia="Times New Roman"/>
          <w:vanish/>
        </w:rPr>
        <w:t>erus-gaap:USStatesAndPoliticalSubdivisionsMember2020-01-012020-06-300001333986us-gaap:AssetBackedSecuritiesMemberus-gaap:FairValueInputsLevel3Member2020-01-012020-06-300001333986us-gaap:CorporateDebtSecuritiesMemberus-gaap:FairValueInputsLevel3Member2018-1</w:t>
      </w:r>
      <w:r>
        <w:rPr>
          <w:rFonts w:eastAsia="Times New Roman"/>
          <w:vanish/>
        </w:rPr>
        <w:t>2-310001333986us-gaap:FairValueInputsLevel3Memberus-gaap:USStatesAndPoliticalSubdivisionsMember2018-12-310001333986us-gaap:AssetBackedSecuritiesMemberus-gaap:FairValueInputsLevel3Member2018-12-310001333986us-gaap:CorporateDebtSecuritiesMemberus-gaap:FairVa</w:t>
      </w:r>
      <w:r>
        <w:rPr>
          <w:rFonts w:eastAsia="Times New Roman"/>
          <w:vanish/>
        </w:rPr>
        <w:t>lueInputsLevel3Member2019-01-012019-06-300001333986us-gaap:FairValueInputsLevel3Memberus-gaap:USStatesAndPoliticalSubdivisionsMember2019-01-012019-06-300001333986us-gaap:AssetBackedSecuritiesMemberus-gaap:FairValueInputsLevel3Member2019-01-012019-06-300001</w:t>
      </w:r>
      <w:r>
        <w:rPr>
          <w:rFonts w:eastAsia="Times New Roman"/>
          <w:vanish/>
        </w:rPr>
        <w:t>333986us-gaap:EquityMethodInvestmentsMemberus-gaap:FairValueInputsLevel3Member2020-03-310001333986axaeq:GmibReinsuranceMemberus-gaap:FairValueInputsLevel3Member2020-03-310001333986axaeq:SeparateAccountsMemberus-gaap:FairValueInputsLevel3Member2020-03-31000</w:t>
      </w:r>
      <w:r>
        <w:rPr>
          <w:rFonts w:eastAsia="Times New Roman"/>
          <w:vanish/>
        </w:rPr>
        <w:t>1333986axaeq:GuaranteedIncomeBenefitGuaranteedWithdrawalBenefitAndOtherFeaturesLiabilityMemberus-gaap:FairValueInputsLevel3Member2020-03-310001333986axaeq:ContingentPaymentArrangementsMemberus-gaap:FairValueInputsLevel3Member2020-03-310001333986us-gaap:Equ</w:t>
      </w:r>
      <w:r>
        <w:rPr>
          <w:rFonts w:eastAsia="Times New Roman"/>
          <w:vanish/>
        </w:rPr>
        <w:t>ityMethodInvestmentsMemberus-gaap:FairValueInputsLevel3Member2020-04-012020-06-300001333986axaeq:GmibReinsuranceMemberus-gaap:FairValueInputsLevel3Member2020-04-012020-06-300001333986axaeq:SeparateAccountsMemberus-gaap:FairValueInputsLevel3Member2020-04-01</w:t>
      </w:r>
      <w:r>
        <w:rPr>
          <w:rFonts w:eastAsia="Times New Roman"/>
          <w:vanish/>
        </w:rPr>
        <w:t>2020-06-300001333986axaeq:GuaranteedIncomeBenefitGuaranteedWithdrawalBenefitAndOtherFeaturesLiabilityMemberus-gaap:FairValueInputsLevel3Member2020-04-012020-06-300001333986axaeq:ContingentPaymentArrangementsMemberus-gaap:FairValueInputsLevel3Member2020-04-</w:t>
      </w:r>
      <w:r>
        <w:rPr>
          <w:rFonts w:eastAsia="Times New Roman"/>
          <w:vanish/>
        </w:rPr>
        <w:t>012020-06-300001333986us-gaap:EquityMethodInvestmentsMemberus-gaap:FairValueInputsLevel3Member2020-06-300001333986axaeq:GmibReinsuranceMemberus-gaap:FairValueInputsLevel3Member2020-06-300001333986axaeq:SeparateAccountsMemberus-gaap:FairValueInputsLevel3Mem</w:t>
      </w:r>
      <w:r>
        <w:rPr>
          <w:rFonts w:eastAsia="Times New Roman"/>
          <w:vanish/>
        </w:rPr>
        <w:t>ber2020-06-300001333986axaeq:GuaranteedIncomeBenefitGuaranteedWithdrawalBenefitAndOtherFeaturesLiabilityMemberus-gaap:FairValueInputsLevel3Member2020-06-300001333986axaeq:ContingentPaymentArrangementsMemberus-gaap:FairValueInputsLevel3Member2020-06-3000013</w:t>
      </w:r>
      <w:r>
        <w:rPr>
          <w:rFonts w:eastAsia="Times New Roman"/>
          <w:vanish/>
        </w:rPr>
        <w:t>33986us-gaap:EquityMethodInvestmentsMemberus-gaap:FairValueInputsLevel3Member2019-03-310001333986axaeq:GmibReinsuranceMemberus-gaap:FairValueInputsLevel3Member2019-03-310001333986axaeq:SeparateAccountsMemberus-gaap:FairValueInputsLevel3Member2019-03-310001</w:t>
      </w:r>
      <w:r>
        <w:rPr>
          <w:rFonts w:eastAsia="Times New Roman"/>
          <w:vanish/>
        </w:rPr>
        <w:t>333986axaeq:GuaranteedIncomeBenefitGuaranteedWithdrawalBenefitAndOtherFeaturesLiabilityMemberus-gaap:FairValueInputsLevel3Member2019-03-310001333986axaeq:ContingentPaymentArrangementsMemberus-gaap:FairValueInputsLevel3Member2019-03-310001333986us-gaap:Equi</w:t>
      </w:r>
      <w:r>
        <w:rPr>
          <w:rFonts w:eastAsia="Times New Roman"/>
          <w:vanish/>
        </w:rPr>
        <w:t>tyMethodInvestmentsMemberus-gaap:FairValueInputsLevel3Member2019-04-012019-06-300001333986axaeq:GmibReinsuranceMemberus-gaap:FairValueInputsLevel3Member2019-04-012019-06-300001333986axaeq:SeparateAccountsMemberus-gaap:FairValueInputsLevel3Member2019-04-012</w:t>
      </w:r>
      <w:r>
        <w:rPr>
          <w:rFonts w:eastAsia="Times New Roman"/>
          <w:vanish/>
        </w:rPr>
        <w:t>019-06-300001333986axaeq:GuaranteedIncomeBenefitGuaranteedWithdrawalBenefitAndOtherFeaturesLiabilityMemberus-gaap:FairValueInputsLevel3Member2019-04-012019-06-300001333986axaeq:ContingentPaymentArrangementsMemberus-gaap:FairValueInputsLevel3Member2019-04-0</w:t>
      </w:r>
      <w:r>
        <w:rPr>
          <w:rFonts w:eastAsia="Times New Roman"/>
          <w:vanish/>
        </w:rPr>
        <w:t>12019-06-300001333986us-gaap:EquityMethodInvestmentsMemberus-gaap:FairValueInputsLevel3Member2019-06-300001333986axaeq:GmibReinsuranceMemberus-gaap:FairValueInputsLevel3Member2019-06-300001333986axaeq:SeparateAccountsMemberus-gaap:FairValueInputsLevel3Memb</w:t>
      </w:r>
      <w:r>
        <w:rPr>
          <w:rFonts w:eastAsia="Times New Roman"/>
          <w:vanish/>
        </w:rPr>
        <w:t>er2019-06-300001333986axaeq:GuaranteedIncomeBenefitGuaranteedWithdrawalBenefitAndOtherFeaturesLiabilityMemberus-gaap:FairValueInputsLevel3Member2019-06-300001333986axaeq:ContingentPaymentArrangementsMemberus-gaap:FairValueInputsLevel3Member2019-06-30000133</w:t>
      </w:r>
      <w:r>
        <w:rPr>
          <w:rFonts w:eastAsia="Times New Roman"/>
          <w:vanish/>
        </w:rPr>
        <w:t>3986us-gaap:EquityMethodInvestmentsMemberus-gaap:FairValueInputsLevel3Member2019-12-310001333986axaeq:GmibReinsuranceMemberus-gaap:FairValueInputsLevel3Member2019-12-310001333986axaeq:SeparateAccountsMemberus-gaap:FairValueInputsLevel3Member2019-12-3100013</w:t>
      </w:r>
      <w:r>
        <w:rPr>
          <w:rFonts w:eastAsia="Times New Roman"/>
          <w:vanish/>
        </w:rPr>
        <w:t>33986axaeq:GuaranteedIncomeBenefitGuaranteedWithdrawalBenefitAndOtherFeaturesLiabilityMemberus-gaap:FairValueInputsLevel3Member2019-12-310001333986axaeq:ContingentPaymentArrangementsMemberus-gaap:FairValueInputsLevel3Member2019-12-310001333986us-gaap:Equit</w:t>
      </w:r>
      <w:r>
        <w:rPr>
          <w:rFonts w:eastAsia="Times New Roman"/>
          <w:vanish/>
        </w:rPr>
        <w:t>yMethodInvestmentsMemberus-gaap:FairValueInputsLevel3Member2020-01-012020-06-300001333986axaeq:GmibReinsuranceMemberus-gaap:FairValueInputsLevel3Member2020-01-012020-06-300001333986axaeq:SeparateAccountsMemberus-gaap:FairValueInputsLevel3Member2020-01-0120</w:t>
      </w:r>
      <w:r>
        <w:rPr>
          <w:rFonts w:eastAsia="Times New Roman"/>
          <w:vanish/>
        </w:rPr>
        <w:t>20-06-300001333986axaeq:GuaranteedIncomeBenefitGuaranteedWithdrawalBenefitAndOtherFeaturesLiabilityMemberus-gaap:FairValueInputsLevel3Member2020-01-012020-06-300001333986axaeq:ContingentPaymentArrangementsMemberus-gaap:FairValueInputsLevel3Member2020-01-01</w:t>
      </w:r>
      <w:r>
        <w:rPr>
          <w:rFonts w:eastAsia="Times New Roman"/>
          <w:vanish/>
        </w:rPr>
        <w:t>2020-06-300001333986us-gaap:EquityMethodInvestmentsMemberus-gaap:FairValueInputsLevel3Member2018-12-310001333986axaeq:GmibReinsuranceMemberus-gaap:FairValueInputsLevel3Member2018-12-310001333986axaeq:SeparateAccountsMemberus-gaap:FairValueInputsLevel3Membe</w:t>
      </w:r>
      <w:r>
        <w:rPr>
          <w:rFonts w:eastAsia="Times New Roman"/>
          <w:vanish/>
        </w:rPr>
        <w:t>r2018-12-310001333986axaeq:GuaranteedIncomeBenefitGuaranteedWithdrawalBenefitAndOtherFeaturesLiabilityMemberus-gaap:FairValueInputsLevel3Member2018-12-310001333986axaeq:ContingentPaymentArrangementsMemberus-gaap:FairValueInputsLevel3Member2018-12-310001333</w:t>
      </w:r>
      <w:r>
        <w:rPr>
          <w:rFonts w:eastAsia="Times New Roman"/>
          <w:vanish/>
        </w:rPr>
        <w:t>986us-gaap:EquityMethodInvestmentsMemberus-gaap:FairValueInputsLevel3Member2019-01-012019-06-300001333986axaeq:GmibReinsuranceMemberus-gaap:FairValueInputsLevel3Member2019-01-012019-06-300001333986axaeq:SeparateAccountsMemberus-gaap:FairValueInputsLevel3Me</w:t>
      </w:r>
      <w:r>
        <w:rPr>
          <w:rFonts w:eastAsia="Times New Roman"/>
          <w:vanish/>
        </w:rPr>
        <w:t>mber2019-01-012019-06-300001333986axaeq:GuaranteedIncomeBenefitGuaranteedWithdrawalBenefitAndOtherFeaturesLiabilityMemberus-gaap:FairValueInputsLevel3Member2019-01-012019-06-300001333986axaeq:ContingentPaymentArrangementsMemberus-gaap:FairValueInputsLevel3</w:t>
      </w:r>
      <w:r>
        <w:rPr>
          <w:rFonts w:eastAsia="Times New Roman"/>
          <w:vanish/>
        </w:rPr>
        <w:t>Member2019-01-012019-06-300001333986us-gaap:CorporateDebtSecuritiesMember2020-01-012020-06-300001333986us-gaap:USStatesAndPoliticalSubdivisionsMember2020-01-012020-06-300001333986us-gaap:AssetBackedSecuritiesMember2020-01-012020-06-300001333986axaeq:FixedM</w:t>
      </w:r>
      <w:r>
        <w:rPr>
          <w:rFonts w:eastAsia="Times New Roman"/>
          <w:vanish/>
        </w:rPr>
        <w:t>aturitiesAvailableforSaleMember2020-01-012020-06-300001333986axaeq:GmibReinsuranceMember2020-01-012020-06-300001333986axaeq:GMxBderivativefeaturesliabilityMember2020-01-012020-06-300001333986axaeq:Level3AssetsAndLiabilitiesHeldMember2020-01-012020-06-30000</w:t>
      </w:r>
      <w:r>
        <w:rPr>
          <w:rFonts w:eastAsia="Times New Roman"/>
          <w:vanish/>
        </w:rPr>
        <w:t>1333986us-gaap:CorporateDebtSecuritiesMember2019-01-012019-06-300001333986us-gaap:USStatesAndPoliticalSubdivisionsMember2019-01-012019-06-300001333986us-gaap:AssetBackedSecuritiesMember2019-01-012019-06-300001333986axaeq:FixedMaturitiesAvailableforSaleMemb</w:t>
      </w:r>
      <w:r>
        <w:rPr>
          <w:rFonts w:eastAsia="Times New Roman"/>
          <w:vanish/>
        </w:rPr>
        <w:t>er2019-01-012019-06-300001333986axaeq:GmibReinsuranceMember2019-01-012019-06-300001333986axaeq:GMxBderivativefeaturesliabilityMember2019-01-012019-06-300001333986axaeq:Level3AssetsAndLiabilitiesHeldMember2019-01-012019-06-300001333986us-gaap:CorporateDebtS</w:t>
      </w:r>
      <w:r>
        <w:rPr>
          <w:rFonts w:eastAsia="Times New Roman"/>
          <w:vanish/>
        </w:rPr>
        <w:t>ecuritiesMemberaxaeq:MatrixPricingModelValuationTechniqueMemberus-gaap:FairValueInputsLevel3Member2020-06-300001333986us-gaap:CorporateDebtSecuritiesMemberaxaeq:MarketComparableCompaniesValuationTechniqueMemberus-gaap:FairValueInputsLevel3Member2020-06-300</w:t>
      </w:r>
      <w:r>
        <w:rPr>
          <w:rFonts w:eastAsia="Times New Roman"/>
          <w:vanish/>
        </w:rPr>
        <w:t>001333986us-gaap:EquityMethodInvestmentsMemberus-gaap:FairValueInputsLevel3Memberaxaeq:DiscountedCashFlowValuationTechniqueMember2020-06-300001333986axaeq:GmibReinsuranceMemberus-gaap:FairValueInputsLevel3Memberaxaeq:DiscountedCashFlowValuationTechniqueMem</w:t>
      </w:r>
      <w:r>
        <w:rPr>
          <w:rFonts w:eastAsia="Times New Roman"/>
          <w:vanish/>
        </w:rPr>
        <w:t>ber2020-06-300001333986axaeq:GuaranteedMinimumInsuranceBenefitsnoLapseGuaranteeMemberus-gaap:FairValueInputsLevel3Memberaxaeq:DiscountedCashFlowValuationTechniqueMember2020-06-300001333986axaeq:AssumedGMIBReinsuranceContractsMemberus-gaap:FairValueInputsLe</w:t>
      </w:r>
      <w:r>
        <w:rPr>
          <w:rFonts w:eastAsia="Times New Roman"/>
          <w:vanish/>
        </w:rPr>
        <w:t>vel3Memberaxaeq:DiscountedCashFlowValuationTechniqueMember2020-06-300001333986axaeq:GmwbGwblMemberus-gaap:FairValueInputsLevel3Memberaxaeq:DiscountedCashFlowValuationTechniqueMember2020-06-300001333986us-gaap:FairValueInputsLevel3Memberaxaeq:GuaranteedInsu</w:t>
      </w:r>
      <w:r>
        <w:rPr>
          <w:rFonts w:eastAsia="Times New Roman"/>
          <w:vanish/>
        </w:rPr>
        <w:t>ranceBenefitsMemberaxaeq:DiscountedCashFlowValuationTechniqueMember2020-06-300001333986axaeq:GuaranteedMinimumAnnuityBenefitsMemberus-gaap:FairValueInputsLevel3Memberaxaeq:DiscountedCashFlowValuationTechniqueMember2020-06-300001333986us-gaap:CorporateDebtS</w:t>
      </w:r>
      <w:r>
        <w:rPr>
          <w:rFonts w:eastAsia="Times New Roman"/>
          <w:vanish/>
        </w:rPr>
        <w:t>ecuritiesMemberaxaeq:MatrixPricingModelValuationTechniqueMemberus-gaap:FairValueInputsLevel3Member2019-12-310001333986us-gaap:CorporateDebtSecuritiesMemberaxaeq:MarketComparableCompaniesValuationTechniqueMemberus-gaap:FairValueInputsLevel3Member2019-12-310</w:t>
      </w:r>
      <w:r>
        <w:rPr>
          <w:rFonts w:eastAsia="Times New Roman"/>
          <w:vanish/>
        </w:rPr>
        <w:t>001333986us-gaap:EquityMethodInvestmentsMemberus-gaap:FairValueInputsLevel3Memberaxaeq:DiscountedCashFlowValuationTechniqueMember2019-12-310001333986axaeq:GmibReinsuranceMemberus-gaap:FairValueInputsLevel3Memberaxaeq:DiscountedCashFlowValuationTechniqueMem</w:t>
      </w:r>
      <w:r>
        <w:rPr>
          <w:rFonts w:eastAsia="Times New Roman"/>
          <w:vanish/>
        </w:rPr>
        <w:t>ber2019-12-310001333986axaeq:GuaranteedMinimumInsuranceBenefitsnoLapseGuaranteeMemberus-gaap:FairValueInputsLevel3Memberaxaeq:DiscountedCashFlowValuationTechniqueMember2019-12-310001333986axaeq:AssumedGMIBReinsuranceContractsMemberus-gaap:FairValueInputsLe</w:t>
      </w:r>
      <w:r>
        <w:rPr>
          <w:rFonts w:eastAsia="Times New Roman"/>
          <w:vanish/>
        </w:rPr>
        <w:t>vel3Memberaxaeq:DiscountedCashFlowValuationTechniqueMember2019-12-310001333986axaeq:GmwbGwblMemberus-gaap:FairValueInputsLevel3Memberaxaeq:DiscountedCashFlowValuationTechniqueMember2019-12-310001333986us-gaap:FairValueInputsLevel3Memberaxaeq:GuaranteedInsu</w:t>
      </w:r>
      <w:r>
        <w:rPr>
          <w:rFonts w:eastAsia="Times New Roman"/>
          <w:vanish/>
        </w:rPr>
        <w:t>ranceBenefitsMemberaxaeq:DiscountedCashFlowValuationTechniqueMember2019-12-310001333986axaeq:GuaranteedMinimumAnnuityBenefitsMemberus-gaap:FairValueInputsLevel3Memberaxaeq:DiscountedCashFlowValuationTechniqueMember2019-12-310001333986us-gaap:FairValueMeasu</w:t>
      </w:r>
      <w:r>
        <w:rPr>
          <w:rFonts w:eastAsia="Times New Roman"/>
          <w:vanish/>
        </w:rPr>
        <w:t>rementsNonrecurringMemberus-gaap:FairValueInputsLevel3Member2020-06-300001333986us-gaap:FairValueMeasurementsNonrecurringMemberus-gaap:FairValueInputsLevel3Member2019-12-310001333986axaeq:AllianceBernsteinMemberus-gaap:FairValueInputsLevel3Member2020-06-30</w:t>
      </w:r>
      <w:r>
        <w:rPr>
          <w:rFonts w:eastAsia="Times New Roman"/>
          <w:vanish/>
        </w:rPr>
        <w:t>0001333986axaeq:AllianceBernsteinMemberus-gaap:FairValueInputsLevel3Member2019-12-310001333986srt:MinimumMemberaxaeq:AllianceBernsteinMemberus-gaap:FairValueInputsLevel3Memberus-gaap:MeasurementInputLongTermRevenueGrowthRateMember2020-01-012020-06-30000133</w:t>
      </w:r>
      <w:r>
        <w:rPr>
          <w:rFonts w:eastAsia="Times New Roman"/>
          <w:vanish/>
        </w:rPr>
        <w:t>3986axaeq:AllianceBernsteinMemberus-gaap:FairValueInputsLevel3Memberus-gaap:MeasurementInputLongTermRevenueGrowthRateMembersrt:MaximumMember2020-01-012020-06-300001333986srt:WeightedAverageMemberaxaeq:AllianceBernsteinMemberus-gaap:FairValueInputsLevel3Mem</w:t>
      </w:r>
      <w:r>
        <w:rPr>
          <w:rFonts w:eastAsia="Times New Roman"/>
          <w:vanish/>
        </w:rPr>
        <w:t>berus-gaap:MeasurementInputLongTermRevenueGrowthRateMember2020-01-012020-06-300001333986us-gaap:MeasurementInputDiscountRateMembersrt:MinimumMemberaxaeq:AllianceBernsteinMemberus-gaap:FairValueInputsLevel3Member2020-01-012020-06-300001333986us-gaap:Measure</w:t>
      </w:r>
      <w:r>
        <w:rPr>
          <w:rFonts w:eastAsia="Times New Roman"/>
          <w:vanish/>
        </w:rPr>
        <w:t>mentInputDiscountRateMemberaxaeq:AllianceBernsteinMemberus-gaap:FairValueInputsLevel3Membersrt:MaximumMember2020-01-012020-06-300001333986us-gaap:MeasurementInputDiscountRateMembersrt:WeightedAverageMemberaxaeq:AllianceBernsteinMemberus-gaap:FairValueInput</w:t>
      </w:r>
      <w:r>
        <w:rPr>
          <w:rFonts w:eastAsia="Times New Roman"/>
          <w:vanish/>
        </w:rPr>
        <w:t>sLevel3Member2020-01-012020-06-300001333986us-gaap:CarryingReportedAmountFairValueDisclosureMember2020-06-300001333986us-gaap:EstimateOfFairValueFairValueDisclosureMemberus-gaap:FairValueInputsLevel1Member2020-06-300001333986us-gaap:EstimateOfFairValueFair</w:t>
      </w:r>
      <w:r>
        <w:rPr>
          <w:rFonts w:eastAsia="Times New Roman"/>
          <w:vanish/>
        </w:rPr>
        <w:t>ValueDisclosureMemberus-gaap:FairValueInputsLevel2Member2020-06-300001333986us-gaap:EstimateOfFairValueFairValueDisclosureMemberus-gaap:FairValueInputsLevel3Member2020-06-300001333986us-gaap:EstimateOfFairValueFairValueDisclosureMember2020-06-300001333986u</w:t>
      </w:r>
      <w:r>
        <w:rPr>
          <w:rFonts w:eastAsia="Times New Roman"/>
          <w:vanish/>
        </w:rPr>
        <w:t>s-gaap:CarryingReportedAmountFairValueDisclosureMember2019-12-310001333986us-gaap:EstimateOfFairValueFairValueDisclosureMemberus-gaap:FairValueInputsLevel1Member2019-12-310001333986us-gaap:EstimateOfFairValueFairValueDisclosureMemberus-gaap:FairValueInputs</w:t>
      </w:r>
      <w:r>
        <w:rPr>
          <w:rFonts w:eastAsia="Times New Roman"/>
          <w:vanish/>
        </w:rPr>
        <w:t>Level2Member2019-12-310001333986us-gaap:EstimateOfFairValueFairValueDisclosureMemberus-gaap:FairValueInputsLevel3Member2019-12-310001333986us-gaap:EstimateOfFairValueFairValueDisclosureMember2019-12-310001333986us-gaap:CorporateDebtSecuritiesMemberaxaeq:Ma</w:t>
      </w:r>
      <w:r>
        <w:rPr>
          <w:rFonts w:eastAsia="Times New Roman"/>
          <w:vanish/>
        </w:rPr>
        <w:t>trixPricingModelValuationTechniqueMembersrt:MinimumMemberus-gaap:FairValueInputsLevel3Member2020-01-012020-06-300001333986us-gaap:CorporateDebtSecuritiesMemberaxaeq:MatrixPricingModelValuationTechniqueMemberus-gaap:FairValueInputsLevel3Membersrt:MaximumMem</w:t>
      </w:r>
      <w:r>
        <w:rPr>
          <w:rFonts w:eastAsia="Times New Roman"/>
          <w:vanish/>
        </w:rPr>
        <w:t>ber2020-01-012020-06-300001333986us-gaap:CorporateDebtSecuritiesMemberaxaeq:MatrixPricingModelValuationTechniqueMembersrt:WeightedAverageMemberus-gaap:FairValueInputsLevel3Member2020-01-012020-06-300001333986us-gaap:CorporateDebtSecuritiesMembersrt:Minimum</w:t>
      </w:r>
      <w:r>
        <w:rPr>
          <w:rFonts w:eastAsia="Times New Roman"/>
          <w:vanish/>
        </w:rPr>
        <w:t>Memberaxaeq:MarketComparableCompaniesValuationTechniqueMemberus-gaap:FairValueInputsLevel3Memberus-gaap:MeasurementInputEbitdaMultipleMember2020-06-300001333986us-gaap:CorporateDebtSecuritiesMemberaxaeq:MarketComparableCompaniesValuationTechniqueMemberus-g</w:t>
      </w:r>
      <w:r>
        <w:rPr>
          <w:rFonts w:eastAsia="Times New Roman"/>
          <w:vanish/>
        </w:rPr>
        <w:t>aap:FairValueInputsLevel3Memberus-gaap:MeasurementInputEbitdaMultipleMembersrt:MaximumMember2020-06-300001333986us-gaap:CorporateDebtSecuritiesMembersrt:WeightedAverageMemberaxaeq:MarketComparableCompaniesValuationTechniqueMemberus-gaap:FairValueInputsLeve</w:t>
      </w:r>
      <w:r>
        <w:rPr>
          <w:rFonts w:eastAsia="Times New Roman"/>
          <w:vanish/>
        </w:rPr>
        <w:t>l3Memberus-gaap:MeasurementInputEbitdaMultipleMember2020-06-300001333986us-gaap:MeasurementInputDiscountRateMemberus-gaap:CorporateDebtSecuritiesMembersrt:MinimumMemberaxaeq:MarketComparableCompaniesValuationTechniqueMemberus-gaap:FairValueInputsLevel3Memb</w:t>
      </w:r>
      <w:r>
        <w:rPr>
          <w:rFonts w:eastAsia="Times New Roman"/>
          <w:vanish/>
        </w:rPr>
        <w:t>er2020-06-300001333986us-gaap:MeasurementInputDiscountRateMemberus-gaap:CorporateDebtSecuritiesMemberaxaeq:MarketComparableCompaniesValuationTechniqueMemberus-gaap:FairValueInputsLevel3Membersrt:MaximumMember2020-06-300001333986us-gaap:MeasurementInputDisc</w:t>
      </w:r>
      <w:r>
        <w:rPr>
          <w:rFonts w:eastAsia="Times New Roman"/>
          <w:vanish/>
        </w:rPr>
        <w:t>ountRateMemberus-gaap:CorporateDebtSecuritiesMembersrt:WeightedAverageMemberaxaeq:MarketComparableCompaniesValuationTechniqueMemberus-gaap:FairValueInputsLevel3Member2020-06-300001333986us-gaap:CorporateDebtSecuritiesMembersrt:MinimumMemberaxaeq:Measuremen</w:t>
      </w:r>
      <w:r>
        <w:rPr>
          <w:rFonts w:eastAsia="Times New Roman"/>
          <w:vanish/>
        </w:rPr>
        <w:t>tInputCashFlowMultiplesMemberaxaeq:MarketComparableCompaniesValuationTechniqueMemberus-gaap:FairValueInputsLevel3Member2020-06-300001333986us-gaap:CorporateDebtSecuritiesMemberaxaeq:MeasurementInputCashFlowMultiplesMemberaxaeq:MarketComparableCompaniesValu</w:t>
      </w:r>
      <w:r>
        <w:rPr>
          <w:rFonts w:eastAsia="Times New Roman"/>
          <w:vanish/>
        </w:rPr>
        <w:t>ationTechniqueMemberus-gaap:FairValueInputsLevel3Membersrt:MaximumMember2020-06-300001333986us-gaap:CorporateDebtSecuritiesMemberaxaeq:MeasurementInputCashFlowMultiplesMembersrt:WeightedAverageMemberaxaeq:MarketComparableCompaniesValuationTechniqueMemberus</w:t>
      </w:r>
      <w:r>
        <w:rPr>
          <w:rFonts w:eastAsia="Times New Roman"/>
          <w:vanish/>
        </w:rPr>
        <w:t>-gaap:FairValueInputsLevel3Member2020-06-300001333986us-gaap:EquityMethodInvestmentsMemberus-gaap:FairValueInputsLevel3Memberus-gaap:MeasurementInputRevenueMultipleMemberaxaeq:DiscountedCashFlowValuationTechniqueMember2020-06-300001333986us-gaap:Measuremen</w:t>
      </w:r>
      <w:r>
        <w:rPr>
          <w:rFonts w:eastAsia="Times New Roman"/>
          <w:vanish/>
        </w:rPr>
        <w:t>tInputDiscountRateMemberus-gaap:EquityMethodInvestmentsMemberus-gaap:FairValueInputsLevel3Memberaxaeq:DiscountedCashFlowValuationTechniqueMember2020-06-300001333986us-gaap:EquityMethodInvestmentsMemberus-gaap:FairValueInputsLevel3Memberaxaeq:DiscountedCash</w:t>
      </w:r>
      <w:r>
        <w:rPr>
          <w:rFonts w:eastAsia="Times New Roman"/>
          <w:vanish/>
        </w:rPr>
        <w:t>FlowValuationTechniqueMember2020-01-012020-06-300001333986axaeq:GmibReinsuranceMembersrt:MinimumMemberaxaeq:MeasurementInputNonperformanceRiskMemberus-gaap:FairValueInputsLevel3Memberaxaeq:DiscountedCashFlowValuationTechniqueMember2020-06-300001333986axaeq</w:t>
      </w:r>
      <w:r>
        <w:rPr>
          <w:rFonts w:eastAsia="Times New Roman"/>
          <w:vanish/>
        </w:rPr>
        <w:t>:GmibReinsuranceMemberaxaeq:MeasurementInputNonperformanceRiskMemberus-gaap:FairValueInputsLevel3Membersrt:MaximumMemberaxaeq:DiscountedCashFlowValuationTechniqueMember2020-06-300001333986axaeq:GmibReinsuranceMembersrt:WeightedAverageMemberaxaeq:Measuremen</w:t>
      </w:r>
      <w:r>
        <w:rPr>
          <w:rFonts w:eastAsia="Times New Roman"/>
          <w:vanish/>
        </w:rPr>
        <w:t>tInputNonperformanceRiskMemberus-gaap:FairValueInputsLevel3Memberaxaeq:DiscountedCashFlowValuationTechniqueMember2020-06-300001333986axaeq:GmibReinsuranceMembersrt:MinimumMemberus-gaap:FairValueInputsLevel3Memberus-gaap:MeasurementInputLapseRateMemberaxaeq</w:t>
      </w:r>
      <w:r>
        <w:rPr>
          <w:rFonts w:eastAsia="Times New Roman"/>
          <w:vanish/>
        </w:rPr>
        <w:t>:DiscountedCashFlowValuationTechniqueMember2020-06-300001333986axaeq:GmibReinsuranceMemberus-gaap:FairValueInputsLevel3Membersrt:MaximumMemberus-gaap:MeasurementInputLapseRateMemberaxaeq:DiscountedCashFlowValuationTechniqueMember2020-06-300001333986axaeq:G</w:t>
      </w:r>
      <w:r>
        <w:rPr>
          <w:rFonts w:eastAsia="Times New Roman"/>
          <w:vanish/>
        </w:rPr>
        <w:t>mibReinsuranceMembersrt:WeightedAverageMemberus-gaap:FairValueInputsLevel3Memberus-gaap:MeasurementInputLapseRateMemberaxaeq:DiscountedCashFlowValuationTechniqueMember2020-06-300001333986axaeq:GmibReinsuranceMemberus-gaap:MeasurementInputWithdrawalRateMemb</w:t>
      </w:r>
      <w:r>
        <w:rPr>
          <w:rFonts w:eastAsia="Times New Roman"/>
          <w:vanish/>
        </w:rPr>
        <w:t>ersrt:MinimumMemberus-gaap:FairValueInputsLevel3Memberaxaeq:DiscountedCashFlowValuationTechniqueMember2020-06-300001333986axaeq:GmibReinsuranceMemberus-gaap:MeasurementInputWithdrawalRateMemberus-gaap:FairValueInputsLevel3Membersrt:MaximumMemberaxaeq:Disco</w:t>
      </w:r>
      <w:r>
        <w:rPr>
          <w:rFonts w:eastAsia="Times New Roman"/>
          <w:vanish/>
        </w:rPr>
        <w:t>untedCashFlowValuationTechniqueMember2020-06-300001333986axaeq:GmibReinsuranceMemberus-gaap:MeasurementInputWithdrawalRateMembersrt:WeightedAverageMemberus-gaap:FairValueInputsLevel3Memberaxaeq:DiscountedCashFlowValuationTechniqueMember2020-06-300001333986</w:t>
      </w:r>
      <w:r>
        <w:rPr>
          <w:rFonts w:eastAsia="Times New Roman"/>
          <w:vanish/>
        </w:rPr>
        <w:t>axaeq:GmibReinsuranceMemberus-gaap:MeasurementInputUtilizationRateMembersrt:MinimumMemberus-gaap:FairValueInputsLevel3Memberaxaeq:DiscountedCashFlowValuationTechniqueMember2020-06-300001333986axaeq:GmibReinsuranceMemberus-gaap:MeasurementInputUtilizationRa</w:t>
      </w:r>
      <w:r>
        <w:rPr>
          <w:rFonts w:eastAsia="Times New Roman"/>
          <w:vanish/>
        </w:rPr>
        <w:t>teMemberus-gaap:FairValueInputsLevel3Membersrt:MaximumMemberaxaeq:DiscountedCashFlowValuationTechniqueMember2020-06-300001333986axaeq:GmibReinsuranceMemberus-gaap:MeasurementInputUtilizationRateMembersrt:WeightedAverageMemberus-gaap:FairValueInputsLevel3Me</w:t>
      </w:r>
      <w:r>
        <w:rPr>
          <w:rFonts w:eastAsia="Times New Roman"/>
          <w:vanish/>
        </w:rPr>
        <w:t>mberaxaeq:DiscountedCashFlowValuationTechniqueMember2020-06-300001333986axaeq:MeasurementInputEquityVolatilityMemberaxaeq:GmibReinsuranceMembersrt:MinimumMemberus-gaap:FairValueInputsLevel3Memberaxaeq:DiscountedCashFlowValuationTechniqueMember2020-06-30000</w:t>
      </w:r>
      <w:r>
        <w:rPr>
          <w:rFonts w:eastAsia="Times New Roman"/>
          <w:vanish/>
        </w:rPr>
        <w:t>1333986axaeq:MeasurementInputEquityVolatilityMemberaxaeq:GmibReinsuranceMemberus-gaap:FairValueInputsLevel3Membersrt:MaximumMemberaxaeq:DiscountedCashFlowValuationTechniqueMember2020-06-300001333986axaeq:MeasurementInputEquityVolatilityMemberaxaeq:GmibRein</w:t>
      </w:r>
      <w:r>
        <w:rPr>
          <w:rFonts w:eastAsia="Times New Roman"/>
          <w:vanish/>
        </w:rPr>
        <w:t>suranceMembersrt:WeightedAverageMemberus-gaap:FairValueInputsLevel3Memberaxaeq:DiscountedCashFlowValuationTechniqueMember2020-06-300001333986axaeq:RangeOneMemberaxaeq:GmibReinsuranceMembersrt:MinimumMemberus-gaap:MeasurementInputMortalityRateMemberus-gaap:</w:t>
      </w:r>
      <w:r>
        <w:rPr>
          <w:rFonts w:eastAsia="Times New Roman"/>
          <w:vanish/>
        </w:rPr>
        <w:t>FairValueInputsLevel3Memberaxaeq:DiscountedCashFlowValuationTechniqueMember2020-06-300001333986axaeq:RangeOneMemberaxaeq:GmibReinsuranceMemberus-gaap:MeasurementInputMortalityRateMemberus-gaap:FairValueInputsLevel3Membersrt:MaximumMemberaxaeq:DiscountedCas</w:t>
      </w:r>
      <w:r>
        <w:rPr>
          <w:rFonts w:eastAsia="Times New Roman"/>
          <w:vanish/>
        </w:rPr>
        <w:t>hFlowValuationTechniqueMember2020-06-300001333986axaeq:GmibReinsuranceMembersrt:WeightedAverageMemberus-gaap:MeasurementInputMortalityRateMemberus-gaap:FairValueInputsLevel3Memberaxaeq:DiscountedCashFlowValuationTechniqueMember2020-06-300001333986axaeq:Gmi</w:t>
      </w:r>
      <w:r>
        <w:rPr>
          <w:rFonts w:eastAsia="Times New Roman"/>
          <w:vanish/>
        </w:rPr>
        <w:t>bReinsuranceMembersrt:MinimumMemberus-gaap:MeasurementInputMortalityRateMemberaxaeq:RangeTwoMemberus-gaap:FairValueInputsLevel3Memberaxaeq:DiscountedCashFlowValuationTechniqueMember2020-06-300001333986axaeq:GmibReinsuranceMemberus-gaap:MeasurementInputMort</w:t>
      </w:r>
      <w:r>
        <w:rPr>
          <w:rFonts w:eastAsia="Times New Roman"/>
          <w:vanish/>
        </w:rPr>
        <w:t>alityRateMemberaxaeq:RangeTwoMemberus-gaap:FairValueInputsLevel3Membersrt:MaximumMemberaxaeq:DiscountedCashFlowValuationTechniqueMember2020-06-300001333986axaeq:GmibReinsuranceMemberaxaeq:RangeThreeMembersrt:MinimumMemberus-gaap:MeasurementInputMortalityRa</w:t>
      </w:r>
      <w:r>
        <w:rPr>
          <w:rFonts w:eastAsia="Times New Roman"/>
          <w:vanish/>
        </w:rPr>
        <w:t>teMemberus-gaap:FairValueInputsLevel3Memberaxaeq:DiscountedCashFlowValuationTechniqueMember2020-06-300001333986axaeq:GmibReinsuranceMemberaxaeq:RangeThreeMemberus-gaap:MeasurementInputMortalityRateMemberus-gaap:FairValueInputsLevel3Membersrt:MaximumMembera</w:t>
      </w:r>
      <w:r>
        <w:rPr>
          <w:rFonts w:eastAsia="Times New Roman"/>
          <w:vanish/>
        </w:rPr>
        <w:t>xaeq:DiscountedCashFlowValuationTechniqueMember2020-06-300001333986axaeq:GuaranteedMinimumInsuranceBenefitsnoLapseGuaranteeMemberaxaeq:MeasurementInputNonperformanceRiskMemberus-gaap:FairValueInputsLevel3Memberaxaeq:DiscountedCashFlowValuationTechniqueMemb</w:t>
      </w:r>
      <w:r>
        <w:rPr>
          <w:rFonts w:eastAsia="Times New Roman"/>
          <w:vanish/>
        </w:rPr>
        <w:t>er2020-06-300001333986axaeq:GuaranteedMinimumInsuranceBenefitsnoLapseGuaranteeMembersrt:MinimumMemberus-gaap:FairValueInputsLevel3Memberus-gaap:MeasurementInputLapseRateMemberaxaeq:DiscountedCashFlowValuationTechniqueMember2020-06-300001333986axaeq:Guarant</w:t>
      </w:r>
      <w:r>
        <w:rPr>
          <w:rFonts w:eastAsia="Times New Roman"/>
          <w:vanish/>
        </w:rPr>
        <w:t>eedMinimumInsuranceBenefitsnoLapseGuaranteeMemberus-gaap:FairValueInputsLevel3Membersrt:MaximumMemberus-gaap:MeasurementInputLapseRateMemberaxaeq:DiscountedCashFlowValuationTechniqueMember2020-06-300001333986axaeq:GuaranteedMinimumInsuranceBenefitsnoLapseG</w:t>
      </w:r>
      <w:r>
        <w:rPr>
          <w:rFonts w:eastAsia="Times New Roman"/>
          <w:vanish/>
        </w:rPr>
        <w:t>uaranteeMembersrt:WeightedAverageMemberus-gaap:FairValueInputsLevel3Memberus-gaap:MeasurementInputLapseRateMemberaxaeq:DiscountedCashFlowValuationTechniqueMember2020-06-300001333986us-gaap:MeasurementInputWithdrawalRateMemberaxaeq:GuaranteedMinimumInsuranc</w:t>
      </w:r>
      <w:r>
        <w:rPr>
          <w:rFonts w:eastAsia="Times New Roman"/>
          <w:vanish/>
        </w:rPr>
        <w:t>eBenefitsnoLapseGuaranteeMembersrt:MinimumMemberus-gaap:FairValueInputsLevel3Memberaxaeq:DiscountedCashFlowValuationTechniqueMember2020-06-300001333986us-gaap:MeasurementInputWithdrawalRateMemberaxaeq:GuaranteedMinimumInsuranceBenefitsnoLapseGuaranteeMembe</w:t>
      </w:r>
      <w:r>
        <w:rPr>
          <w:rFonts w:eastAsia="Times New Roman"/>
          <w:vanish/>
        </w:rPr>
        <w:t>rus-gaap:FairValueInputsLevel3Membersrt:MaximumMemberaxaeq:DiscountedCashFlowValuationTechniqueMember2020-06-300001333986us-gaap:MeasurementInputWithdrawalRateMemberaxaeq:GuaranteedMinimumInsuranceBenefitsnoLapseGuaranteeMembersrt:WeightedAverageMemberus-g</w:t>
      </w:r>
      <w:r>
        <w:rPr>
          <w:rFonts w:eastAsia="Times New Roman"/>
          <w:vanish/>
        </w:rPr>
        <w:t>aap:FairValueInputsLevel3Memberaxaeq:DiscountedCashFlowValuationTechniqueMember2020-06-300001333986axaeq:GuaranteedMinimumInsuranceBenefitsnoLapseGuaranteeMembersrt:MinimumMemberaxaeq:MeasurementInputAnnuitizationRateMemberus-gaap:FairValueInputsLevel3Memb</w:t>
      </w:r>
      <w:r>
        <w:rPr>
          <w:rFonts w:eastAsia="Times New Roman"/>
          <w:vanish/>
        </w:rPr>
        <w:t>eraxaeq:DiscountedCashFlowValuationTechniqueMember2020-06-300001333986axaeq:GuaranteedMinimumInsuranceBenefitsnoLapseGuaranteeMemberaxaeq:MeasurementInputAnnuitizationRateMemberus-gaap:FairValueInputsLevel3Membersrt:MaximumMemberaxaeq:DiscountedCashFlowVal</w:t>
      </w:r>
      <w:r>
        <w:rPr>
          <w:rFonts w:eastAsia="Times New Roman"/>
          <w:vanish/>
        </w:rPr>
        <w:t>uationTechniqueMember2020-06-300001333986axaeq:GuaranteedMinimumInsuranceBenefitsnoLapseGuaranteeMembersrt:WeightedAverageMemberaxaeq:MeasurementInputAnnuitizationRateMemberus-gaap:FairValueInputsLevel3Memberaxaeq:DiscountedCashFlowValuationTechniqueMember</w:t>
      </w:r>
      <w:r>
        <w:rPr>
          <w:rFonts w:eastAsia="Times New Roman"/>
          <w:vanish/>
        </w:rPr>
        <w:t>2020-06-300001333986axaeq:RangeOneMemberaxaeq:GuaranteedMinimumInsuranceBenefitsnoLapseGuaranteeMembersrt:MinimumMemberus-gaap:MeasurementInputMortalityRateMemberus-gaap:FairValueInputsLevel3Memberaxaeq:DiscountedCashFlowValuationTechniqueMember2020-06-300</w:t>
      </w:r>
      <w:r>
        <w:rPr>
          <w:rFonts w:eastAsia="Times New Roman"/>
          <w:vanish/>
        </w:rPr>
        <w:t>001333986axaeq:RangeOneMemberaxaeq:GuaranteedMinimumInsuranceBenefitsnoLapseGuaranteeMemberus-gaap:MeasurementInputMortalityRateMemberus-gaap:FairValueInputsLevel3Membersrt:MaximumMemberaxaeq:DiscountedCashFlowValuationTechniqueMember2020-06-300001333986ax</w:t>
      </w:r>
      <w:r>
        <w:rPr>
          <w:rFonts w:eastAsia="Times New Roman"/>
          <w:vanish/>
        </w:rPr>
        <w:t>aeq:GuaranteedMinimumInsuranceBenefitsnoLapseGuaranteeMembersrt:WeightedAverageMemberus-gaap:MeasurementInputMortalityRateMemberus-gaap:FairValueInputsLevel3Memberaxaeq:DiscountedCashFlowValuationTechniqueMember2020-06-300001333986axaeq:GuaranteedMinimumIn</w:t>
      </w:r>
      <w:r>
        <w:rPr>
          <w:rFonts w:eastAsia="Times New Roman"/>
          <w:vanish/>
        </w:rPr>
        <w:t>suranceBenefitsnoLapseGuaranteeMembersrt:MinimumMemberus-gaap:MeasurementInputMortalityRateMemberaxaeq:RangeTwoMemberus-gaap:FairValueInputsLevel3Memberaxaeq:DiscountedCashFlowValuationTechniqueMember2020-06-300001333986axaeq:GuaranteedMinimumInsuranceBene</w:t>
      </w:r>
      <w:r>
        <w:rPr>
          <w:rFonts w:eastAsia="Times New Roman"/>
          <w:vanish/>
        </w:rPr>
        <w:t>fitsnoLapseGuaranteeMemberus-gaap:MeasurementInputMortalityRateMemberaxaeq:RangeTwoMemberus-gaap:FairValueInputsLevel3Membersrt:MaximumMemberaxaeq:DiscountedCashFlowValuationTechniqueMember2020-06-300001333986axaeq:RangeThreeMemberaxaeq:GuaranteedMinimumIn</w:t>
      </w:r>
      <w:r>
        <w:rPr>
          <w:rFonts w:eastAsia="Times New Roman"/>
          <w:vanish/>
        </w:rPr>
        <w:t>suranceBenefitsnoLapseGuaranteeMembersrt:MinimumMemberus-gaap:MeasurementInputMortalityRateMemberus-gaap:FairValueInputsLevel3Memberaxaeq:DiscountedCashFlowValuationTechniqueMember2020-06-300001333986axaeq:RangeThreeMemberaxaeq:GuaranteedMinimumInsuranceBe</w:t>
      </w:r>
      <w:r>
        <w:rPr>
          <w:rFonts w:eastAsia="Times New Roman"/>
          <w:vanish/>
        </w:rPr>
        <w:t>nefitsnoLapseGuaranteeMemberus-gaap:MeasurementInputMortalityRateMemberus-gaap:FairValueInputsLevel3Membersrt:MaximumMemberaxaeq:DiscountedCashFlowValuationTechniqueMember2020-06-300001333986srt:MinimumMemberaxaeq:MeasurementInputNonperformanceRiskMemberax</w:t>
      </w:r>
      <w:r>
        <w:rPr>
          <w:rFonts w:eastAsia="Times New Roman"/>
          <w:vanish/>
        </w:rPr>
        <w:t>aeq:AssumedGMIBReinsuranceContractsMemberus-gaap:FairValueInputsLevel3Memberaxaeq:DiscountedCashFlowValuationTechniqueMember2020-06-300001333986axaeq:MeasurementInputNonperformanceRiskMemberaxaeq:AssumedGMIBReinsuranceContractsMemberus-gaap:FairValueInputs</w:t>
      </w:r>
      <w:r>
        <w:rPr>
          <w:rFonts w:eastAsia="Times New Roman"/>
          <w:vanish/>
        </w:rPr>
        <w:t>Level3Membersrt:MaximumMemberaxaeq:DiscountedCashFlowValuationTechniqueMember2020-06-300001333986srt:WeightedAverageMemberaxaeq:MeasurementInputNonperformanceRiskMemberaxaeq:AssumedGMIBReinsuranceContractsMemberus-gaap:FairValueInputsLevel3Memberaxaeq:Disc</w:t>
      </w:r>
      <w:r>
        <w:rPr>
          <w:rFonts w:eastAsia="Times New Roman"/>
          <w:vanish/>
        </w:rPr>
        <w:t>ountedCashFlowValuationTechniqueMember2020-06-300001333986srt:MinimumMemberaxaeq:AssumedGMIBReinsuranceContractsMemberus-gaap:FairValueInputsLevel3Memberus-gaap:MeasurementInputLapseRateMemberaxaeq:DiscountedCashFlowValuationTechniqueMember2020-06-30000133</w:t>
      </w:r>
      <w:r>
        <w:rPr>
          <w:rFonts w:eastAsia="Times New Roman"/>
          <w:vanish/>
        </w:rPr>
        <w:t>3986axaeq:AssumedGMIBReinsuranceContractsMemberus-gaap:FairValueInputsLevel3Membersrt:MaximumMemberus-gaap:MeasurementInputLapseRateMemberaxaeq:DiscountedCashFlowValuationTechniqueMember2020-06-300001333986srt:WeightedAverageMemberaxaeq:AssumedGMIBReinsura</w:t>
      </w:r>
      <w:r>
        <w:rPr>
          <w:rFonts w:eastAsia="Times New Roman"/>
          <w:vanish/>
        </w:rPr>
        <w:t>nceContractsMemberus-gaap:FairValueInputsLevel3Memberus-gaap:MeasurementInputLapseRateMemberaxaeq:DiscountedCashFlowValuationTechniqueMember2020-06-300001333986us-gaap:MeasurementInputWithdrawalRateMembersrt:MinimumMemberaxaeq:AssumedGMIBReinsuranceContrac</w:t>
      </w:r>
      <w:r>
        <w:rPr>
          <w:rFonts w:eastAsia="Times New Roman"/>
          <w:vanish/>
        </w:rPr>
        <w:t>tsMemberus-gaap:FairValueInputsLevel3Memberaxaeq:DiscountedCashFlowValuationTechniqueMember2020-06-300001333986us-gaap:MeasurementInputWithdrawalRateMemberaxaeq:AssumedGMIBReinsuranceContractsMemberus-gaap:FairValueInputsLevel3Membersrt:MaximumMemberaxaeq:</w:t>
      </w:r>
      <w:r>
        <w:rPr>
          <w:rFonts w:eastAsia="Times New Roman"/>
          <w:vanish/>
        </w:rPr>
        <w:t>DiscountedCashFlowValuationTechniqueMember2020-06-300001333986axaeq:MeasurementInputWithdrawalRateTwoMembersrt:MinimumMemberaxaeq:AssumedGMIBReinsuranceContractsMemberus-gaap:FairValueInputsLevel3Memberaxaeq:DiscountedCashFlowValuationTechniqueMember2020-0</w:t>
      </w:r>
      <w:r>
        <w:rPr>
          <w:rFonts w:eastAsia="Times New Roman"/>
          <w:vanish/>
        </w:rPr>
        <w:t>6-300001333986axaeq:MeasurementInputWithdrawalRateTwoMemberaxaeq:AssumedGMIBReinsuranceContractsMemberus-gaap:FairValueInputsLevel3Membersrt:MaximumMemberaxaeq:DiscountedCashFlowValuationTechniqueMember2020-06-300001333986axaeq:MeasurementInputWithdrawalRa</w:t>
      </w:r>
      <w:r>
        <w:rPr>
          <w:rFonts w:eastAsia="Times New Roman"/>
          <w:vanish/>
        </w:rPr>
        <w:t>teTwoMembersrt:WeightedAverageMemberaxaeq:AssumedGMIBReinsuranceContractsMemberus-gaap:FairValueInputsLevel3Memberaxaeq:DiscountedCashFlowValuationTechniqueMember2020-06-300001333986us-gaap:MeasurementInputUtilizationRateMembersrt:MinimumMemberaxaeq:Assume</w:t>
      </w:r>
      <w:r>
        <w:rPr>
          <w:rFonts w:eastAsia="Times New Roman"/>
          <w:vanish/>
        </w:rPr>
        <w:t>dGMIBReinsuranceContractsMemberus-gaap:FairValueInputsLevel3Memberaxaeq:DiscountedCashFlowValuationTechniqueMember2020-06-300001333986us-gaap:MeasurementInputUtilizationRateMemberaxaeq:AssumedGMIBReinsuranceContractsMemberus-gaap:FairValueInputsLevel3Membe</w:t>
      </w:r>
      <w:r>
        <w:rPr>
          <w:rFonts w:eastAsia="Times New Roman"/>
          <w:vanish/>
        </w:rPr>
        <w:t>rsrt:MaximumMemberaxaeq:DiscountedCashFlowValuationTechniqueMember2020-06-300001333986us-gaap:MeasurementInputUtilizationRateMembersrt:WeightedAverageMemberaxaeq:AssumedGMIBReinsuranceContractsMemberus-gaap:FairValueInputsLevel3Memberaxaeq:DiscountedCashFl</w:t>
      </w:r>
      <w:r>
        <w:rPr>
          <w:rFonts w:eastAsia="Times New Roman"/>
          <w:vanish/>
        </w:rPr>
        <w:t>owValuationTechniqueMember2020-06-300001333986axaeq:MeasurementInputEquityVolatilityMembersrt:MinimumMemberaxaeq:AssumedGMIBReinsuranceContractsMemberus-gaap:FairValueInputsLevel3Memberaxaeq:DiscountedCashFlowValuationTechniqueMember2020-06-300001333986axa</w:t>
      </w:r>
      <w:r>
        <w:rPr>
          <w:rFonts w:eastAsia="Times New Roman"/>
          <w:vanish/>
        </w:rPr>
        <w:t>eq:MeasurementInputEquityVolatilityMemberaxaeq:AssumedGMIBReinsuranceContractsMemberus-gaap:FairValueInputsLevel3Membersrt:MaximumMemberaxaeq:DiscountedCashFlowValuationTechniqueMember2020-06-300001333986axaeq:MeasurementInputEquityVolatilityMembersrt:Weig</w:t>
      </w:r>
      <w:r>
        <w:rPr>
          <w:rFonts w:eastAsia="Times New Roman"/>
          <w:vanish/>
        </w:rPr>
        <w:t>htedAverageMemberaxaeq:AssumedGMIBReinsuranceContractsMemberus-gaap:FairValueInputsLevel3Memberaxaeq:DiscountedCashFlowValuationTechniqueMember2020-06-300001333986axaeq:MeasurementInputNonperformanceRiskMemberaxaeq:GmwbGwblMemberus-gaap:FairValueInputsLeve</w:t>
      </w:r>
      <w:r>
        <w:rPr>
          <w:rFonts w:eastAsia="Times New Roman"/>
          <w:vanish/>
        </w:rPr>
        <w:t>l3Memberaxaeq:DiscountedCashFlowValuationTechniqueMember2020-06-300001333986srt:MinimumMemberaxaeq:GmwbGwblMemberus-gaap:FairValueInputsLevel3Memberus-gaap:MeasurementInputLapseRateMemberaxaeq:DiscountedCashFlowValuationTechniqueMember2020-06-300001333986a</w:t>
      </w:r>
      <w:r>
        <w:rPr>
          <w:rFonts w:eastAsia="Times New Roman"/>
          <w:vanish/>
        </w:rPr>
        <w:t>xaeq:GmwbGwblMemberus-gaap:FairValueInputsLevel3Membersrt:MaximumMemberus-gaap:MeasurementInputLapseRateMemberaxaeq:DiscountedCashFlowValuationTechniqueMember2020-06-300001333986srt:WeightedAverageMemberaxaeq:GmwbGwblMemberus-gaap:FairValueInputsLevel3Memb</w:t>
      </w:r>
      <w:r>
        <w:rPr>
          <w:rFonts w:eastAsia="Times New Roman"/>
          <w:vanish/>
        </w:rPr>
        <w:t>erus-gaap:MeasurementInputLapseRateMemberaxaeq:DiscountedCashFlowValuationTechniqueMember2020-06-300001333986us-gaap:MeasurementInputWithdrawalRateMembersrt:MinimumMemberaxaeq:GmwbGwblMemberus-gaap:FairValueInputsLevel3Memberaxaeq:DiscountedCashFlowValuati</w:t>
      </w:r>
      <w:r>
        <w:rPr>
          <w:rFonts w:eastAsia="Times New Roman"/>
          <w:vanish/>
        </w:rPr>
        <w:t>onTechniqueMember2020-06-300001333986us-gaap:MeasurementInputWithdrawalRateMemberaxaeq:GmwbGwblMemberus-gaap:FairValueInputsLevel3Membersrt:MaximumMemberaxaeq:DiscountedCashFlowValuationTechniqueMember2020-06-300001333986us-gaap:MeasurementInputWithdrawalR</w:t>
      </w:r>
      <w:r>
        <w:rPr>
          <w:rFonts w:eastAsia="Times New Roman"/>
          <w:vanish/>
        </w:rPr>
        <w:t>ateMembersrt:WeightedAverageMemberaxaeq:GmwbGwblMemberus-gaap:FairValueInputsLevel3Memberaxaeq:DiscountedCashFlowValuationTechniqueMember2020-06-300001333986us-gaap:MeasurementInputUtilizationRateMemberaxaeq:GmwbGwblMemberus-gaap:FairValueInputsLevel3Membe</w:t>
      </w:r>
      <w:r>
        <w:rPr>
          <w:rFonts w:eastAsia="Times New Roman"/>
          <w:vanish/>
        </w:rPr>
        <w:t>raxaeq:DiscountedCashFlowValuationTechniqueMember2020-06-300001333986axaeq:MeasurementInputEquityVolatilityMembersrt:MinimumMemberaxaeq:GmwbGwblMemberus-gaap:FairValueInputsLevel3Memberaxaeq:DiscountedCashFlowValuationTechniqueMember2020-06-300001333986axa</w:t>
      </w:r>
      <w:r>
        <w:rPr>
          <w:rFonts w:eastAsia="Times New Roman"/>
          <w:vanish/>
        </w:rPr>
        <w:t>eq:MeasurementInputEquityVolatilityMemberaxaeq:GmwbGwblMemberus-gaap:FairValueInputsLevel3Membersrt:MaximumMemberaxaeq:DiscountedCashFlowValuationTechniqueMember2020-06-300001333986axaeq:MeasurementInputEquityVolatilityMembersrt:WeightedAverageMemberaxaeq:</w:t>
      </w:r>
      <w:r>
        <w:rPr>
          <w:rFonts w:eastAsia="Times New Roman"/>
          <w:vanish/>
        </w:rPr>
        <w:t>GmwbGwblMemberus-gaap:FairValueInputsLevel3Memberaxaeq:DiscountedCashFlowValuationTechniqueMember2020-06-300001333986axaeq:MeasurementInputNonperformanceRiskMemberus-gaap:FairValueInputsLevel3Memberaxaeq:GuaranteedInsuranceBenefitsMemberaxaeq:DiscountedCas</w:t>
      </w:r>
      <w:r>
        <w:rPr>
          <w:rFonts w:eastAsia="Times New Roman"/>
          <w:vanish/>
        </w:rPr>
        <w:t>hFlowValuationTechniqueMember2020-06-300001333986srt:MinimumMemberus-gaap:FairValueInputsLevel3Memberus-gaap:MeasurementInputLapseRateMemberaxaeq:GuaranteedInsuranceBenefitsMemberaxaeq:DiscountedCashFlowValuationTechniqueMember2020-06-300001333986us-gaap:F</w:t>
      </w:r>
      <w:r>
        <w:rPr>
          <w:rFonts w:eastAsia="Times New Roman"/>
          <w:vanish/>
        </w:rPr>
        <w:t>airValueInputsLevel3Membersrt:MaximumMemberus-gaap:MeasurementInputLapseRateMemberaxaeq:GuaranteedInsuranceBenefitsMemberaxaeq:DiscountedCashFlowValuationTechniqueMember2020-06-300001333986srt:WeightedAverageMemberus-gaap:FairValueInputsLevel3Memberus-gaap</w:t>
      </w:r>
      <w:r>
        <w:rPr>
          <w:rFonts w:eastAsia="Times New Roman"/>
          <w:vanish/>
        </w:rPr>
        <w:t>:MeasurementInputLapseRateMemberaxaeq:GuaranteedInsuranceBenefitsMemberaxaeq:DiscountedCashFlowValuationTechniqueMember2020-06-300001333986us-gaap:MeasurementInputWithdrawalRateMembersrt:MinimumMemberus-gaap:FairValueInputsLevel3Memberaxaeq:GuaranteedInsur</w:t>
      </w:r>
      <w:r>
        <w:rPr>
          <w:rFonts w:eastAsia="Times New Roman"/>
          <w:vanish/>
        </w:rPr>
        <w:t>anceBenefitsMemberaxaeq:DiscountedCashFlowValuationTechniqueMember2020-06-300001333986us-gaap:MeasurementInputWithdrawalRateMemberus-gaap:FairValueInputsLevel3Membersrt:MaximumMemberaxaeq:GuaranteedInsuranceBenefitsMemberaxaeq:DiscountedCashFlowValuationTe</w:t>
      </w:r>
      <w:r>
        <w:rPr>
          <w:rFonts w:eastAsia="Times New Roman"/>
          <w:vanish/>
        </w:rPr>
        <w:t>chniqueMember2020-06-300001333986us-gaap:MeasurementInputWithdrawalRateMembersrt:WeightedAverageMemberus-gaap:FairValueInputsLevel3Memberaxaeq:GuaranteedInsuranceBenefitsMemberaxaeq:DiscountedCashFlowValuationTechniqueMember2020-06-300001333986us-gaap:Meas</w:t>
      </w:r>
      <w:r>
        <w:rPr>
          <w:rFonts w:eastAsia="Times New Roman"/>
          <w:vanish/>
        </w:rPr>
        <w:t>urementInputUtilizationRateMembersrt:MinimumMemberus-gaap:FairValueInputsLevel3Memberaxaeq:GuaranteedInsuranceBenefitsMemberaxaeq:DiscountedCashFlowValuationTechniqueMember2020-06-300001333986us-gaap:MeasurementInputUtilizationRateMemberus-gaap:FairValueIn</w:t>
      </w:r>
      <w:r>
        <w:rPr>
          <w:rFonts w:eastAsia="Times New Roman"/>
          <w:vanish/>
        </w:rPr>
        <w:t>putsLevel3Membersrt:MaximumMemberaxaeq:GuaranteedInsuranceBenefitsMemberaxaeq:DiscountedCashFlowValuationTechniqueMember2020-06-300001333986us-gaap:MeasurementInputUtilizationRateMembersrt:WeightedAverageMemberus-gaap:FairValueInputsLevel3Memberaxaeq:Guara</w:t>
      </w:r>
      <w:r>
        <w:rPr>
          <w:rFonts w:eastAsia="Times New Roman"/>
          <w:vanish/>
        </w:rPr>
        <w:t>nteedInsuranceBenefitsMemberaxaeq:DiscountedCashFlowValuationTechniqueMember2020-06-300001333986axaeq:MeasurementInputEquityVolatilityMembersrt:MinimumMemberus-gaap:FairValueInputsLevel3Memberaxaeq:GuaranteedInsuranceBenefitsMemberaxaeq:DiscountedCashFlowV</w:t>
      </w:r>
      <w:r>
        <w:rPr>
          <w:rFonts w:eastAsia="Times New Roman"/>
          <w:vanish/>
        </w:rPr>
        <w:t>aluationTechniqueMember2020-06-300001333986axaeq:MeasurementInputEquityVolatilityMemberus-gaap:FairValueInputsLevel3Membersrt:MaximumMemberaxaeq:GuaranteedInsuranceBenefitsMemberaxaeq:DiscountedCashFlowValuationTechniqueMember2020-06-300001333986axaeq:Meas</w:t>
      </w:r>
      <w:r>
        <w:rPr>
          <w:rFonts w:eastAsia="Times New Roman"/>
          <w:vanish/>
        </w:rPr>
        <w:t>urementInputEquityVolatilityMembersrt:WeightedAverageMemberus-gaap:FairValueInputsLevel3Memberaxaeq:GuaranteedInsuranceBenefitsMemberaxaeq:DiscountedCashFlowValuationTechniqueMember2020-06-300001333986axaeq:GuaranteedMinimumAnnuityBenefitsMemberaxaeq:Measu</w:t>
      </w:r>
      <w:r>
        <w:rPr>
          <w:rFonts w:eastAsia="Times New Roman"/>
          <w:vanish/>
        </w:rPr>
        <w:t>rementInputNonperformanceRiskMemberus-gaap:FairValueInputsLevel3Memberaxaeq:DiscountedCashFlowValuationTechniqueMember2020-06-300001333986srt:MinimumMemberaxaeq:GuaranteedMinimumAnnuityBenefitsMemberus-gaap:FairValueInputsLevel3Memberus-gaap:MeasurementInp</w:t>
      </w:r>
      <w:r>
        <w:rPr>
          <w:rFonts w:eastAsia="Times New Roman"/>
          <w:vanish/>
        </w:rPr>
        <w:t>utLapseRateMemberaxaeq:DiscountedCashFlowValuationTechniqueMember2020-06-300001333986axaeq:GuaranteedMinimumAnnuityBenefitsMemberus-gaap:FairValueInputsLevel3Membersrt:MaximumMemberus-gaap:MeasurementInputLapseRateMemberaxaeq:DiscountedCashFlowValuationTec</w:t>
      </w:r>
      <w:r>
        <w:rPr>
          <w:rFonts w:eastAsia="Times New Roman"/>
          <w:vanish/>
        </w:rPr>
        <w:t>hniqueMember2020-06-300001333986axaeq:GuaranteedMinimumAnnuityBenefitsMembersrt:WeightedAverageMemberus-gaap:FairValueInputsLevel3Memberus-gaap:MeasurementInputLapseRateMemberaxaeq:DiscountedCashFlowValuationTechniqueMember2020-06-300001333986axaeq:Measure</w:t>
      </w:r>
      <w:r>
        <w:rPr>
          <w:rFonts w:eastAsia="Times New Roman"/>
          <w:vanish/>
        </w:rPr>
        <w:t>mentInputEquityVolatilityMembersrt:MinimumMemberaxaeq:GuaranteedMinimumAnnuityBenefitsMemberus-gaap:FairValueInputsLevel3Memberaxaeq:DiscountedCashFlowValuationTechniqueMember2020-06-300001333986axaeq:MeasurementInputEquityVolatilityMemberaxaeq:GuaranteedM</w:t>
      </w:r>
      <w:r>
        <w:rPr>
          <w:rFonts w:eastAsia="Times New Roman"/>
          <w:vanish/>
        </w:rPr>
        <w:t>inimumAnnuityBenefitsMemberus-gaap:FairValueInputsLevel3Membersrt:MaximumMemberaxaeq:DiscountedCashFlowValuationTechniqueMember2020-06-300001333986axaeq:MeasurementInputEquityVolatilityMemberaxaeq:GuaranteedMinimumAnnuityBenefitsMembersrt:WeightedAverageMe</w:t>
      </w:r>
      <w:r>
        <w:rPr>
          <w:rFonts w:eastAsia="Times New Roman"/>
          <w:vanish/>
        </w:rPr>
        <w:t>mberus-gaap:FairValueInputsLevel3Memberaxaeq:DiscountedCashFlowValuationTechniqueMember2020-06-300001333986us-gaap:CorporateDebtSecuritiesMemberaxaeq:MatrixPricingModelValuationTechniqueMembersrt:MinimumMemberus-gaap:FairValueInputsLevel3Member2019-01-0120</w:t>
      </w:r>
      <w:r>
        <w:rPr>
          <w:rFonts w:eastAsia="Times New Roman"/>
          <w:vanish/>
        </w:rPr>
        <w:t>19-12-310001333986us-gaap:CorporateDebtSecuritiesMemberaxaeq:MatrixPricingModelValuationTechniqueMemberus-gaap:FairValueInputsLevel3Membersrt:MaximumMember2019-01-012019-12-310001333986us-gaap:CorporateDebtSecuritiesMemberaxaeq:MatrixPricingModelValuationT</w:t>
      </w:r>
      <w:r>
        <w:rPr>
          <w:rFonts w:eastAsia="Times New Roman"/>
          <w:vanish/>
        </w:rPr>
        <w:t>echniqueMembersrt:WeightedAverageMemberus-gaap:FairValueInputsLevel3Member2019-01-012019-12-310001333986us-gaap:CorporateDebtSecuritiesMembersrt:MinimumMemberaxaeq:MarketComparableCompaniesValuationTechniqueMemberus-gaap:FairValueInputsLevel3Memberus-gaap:</w:t>
      </w:r>
      <w:r>
        <w:rPr>
          <w:rFonts w:eastAsia="Times New Roman"/>
          <w:vanish/>
        </w:rPr>
        <w:t>MeasurementInputEbitdaMultipleMember2019-12-310001333986us-gaap:CorporateDebtSecuritiesMemberaxaeq:MarketComparableCompaniesValuationTechniqueMemberus-gaap:FairValueInputsLevel3Memberus-gaap:MeasurementInputEbitdaMultipleMembersrt:MaximumMember2019-12-3100</w:t>
      </w:r>
      <w:r>
        <w:rPr>
          <w:rFonts w:eastAsia="Times New Roman"/>
          <w:vanish/>
        </w:rPr>
        <w:t>01333986us-gaap:CorporateDebtSecuritiesMembersrt:WeightedAverageMemberaxaeq:MarketComparableCompaniesValuationTechniqueMemberus-gaap:FairValueInputsLevel3Memberus-gaap:MeasurementInputEbitdaMultipleMember2019-12-310001333986us-gaap:MeasurementInputDiscount</w:t>
      </w:r>
      <w:r>
        <w:rPr>
          <w:rFonts w:eastAsia="Times New Roman"/>
          <w:vanish/>
        </w:rPr>
        <w:t>RateMemberus-gaap:CorporateDebtSecuritiesMembersrt:MinimumMemberaxaeq:MarketComparableCompaniesValuationTechniqueMemberus-gaap:FairValueInputsLevel3Member2019-12-310001333986us-gaap:MeasurementInputDiscountRateMemberus-gaap:CorporateDebtSecuritiesMemberaxa</w:t>
      </w:r>
      <w:r>
        <w:rPr>
          <w:rFonts w:eastAsia="Times New Roman"/>
          <w:vanish/>
        </w:rPr>
        <w:t>eq:MarketComparableCompaniesValuationTechniqueMemberus-gaap:FairValueInputsLevel3Membersrt:MaximumMember2019-12-310001333986us-gaap:MeasurementInputDiscountRateMemberus-gaap:CorporateDebtSecuritiesMembersrt:WeightedAverageMemberaxaeq:MarketComparableCompan</w:t>
      </w:r>
      <w:r>
        <w:rPr>
          <w:rFonts w:eastAsia="Times New Roman"/>
          <w:vanish/>
        </w:rPr>
        <w:t>iesValuationTechniqueMemberus-gaap:FairValueInputsLevel3Member2019-12-310001333986us-gaap:CorporateDebtSecuritiesMembersrt:MinimumMemberaxaeq:MeasurementInputCashFlowMultiplesMemberaxaeq:MarketComparableCompaniesValuationTechniqueMemberus-gaap:FairValueInp</w:t>
      </w:r>
      <w:r>
        <w:rPr>
          <w:rFonts w:eastAsia="Times New Roman"/>
          <w:vanish/>
        </w:rPr>
        <w:t>utsLevel3Member2019-12-310001333986us-gaap:CorporateDebtSecuritiesMemberaxaeq:MeasurementInputCashFlowMultiplesMemberaxaeq:MarketComparableCompaniesValuationTechniqueMemberus-gaap:FairValueInputsLevel3Membersrt:MaximumMember2019-12-310001333986us-gaap:Corp</w:t>
      </w:r>
      <w:r>
        <w:rPr>
          <w:rFonts w:eastAsia="Times New Roman"/>
          <w:vanish/>
        </w:rPr>
        <w:t>orateDebtSecuritiesMemberaxaeq:MeasurementInputCashFlowMultiplesMembersrt:WeightedAverageMemberaxaeq:MarketComparableCompaniesValuationTechniqueMemberus-gaap:FairValueInputsLevel3Member2019-12-310001333986us-gaap:EquityMethodInvestmentsMemberus-gaap:FairVa</w:t>
      </w:r>
      <w:r>
        <w:rPr>
          <w:rFonts w:eastAsia="Times New Roman"/>
          <w:vanish/>
        </w:rPr>
        <w:t>lueInputsLevel3Memberus-gaap:MeasurementInputRevenueMultipleMemberaxaeq:DiscountedCashFlowValuationTechniqueMember2019-12-310001333986us-gaap:EquityMethodInvestmentsMemberaxaeq:MeasurementInputsDiscountFactorMemberus-gaap:FairValueInputsLevel3Memberaxaeq:D</w:t>
      </w:r>
      <w:r>
        <w:rPr>
          <w:rFonts w:eastAsia="Times New Roman"/>
          <w:vanish/>
        </w:rPr>
        <w:t>iscountedCashFlowValuationTechniqueMember2019-12-310001333986us-gaap:EquityMethodInvestmentsMemberus-gaap:FairValueInputsLevel3Memberaxaeq:DiscountedCashFlowValuationTechniqueMember2019-01-012019-12-310001333986axaeq:GmibReinsuranceMembersrt:MinimumMembera</w:t>
      </w:r>
      <w:r>
        <w:rPr>
          <w:rFonts w:eastAsia="Times New Roman"/>
          <w:vanish/>
        </w:rPr>
        <w:t>xaeq:MeasurementInputNonperformanceRiskMemberus-gaap:FairValueInputsLevel3Memberaxaeq:DiscountedCashFlowValuationTechniqueMember2019-12-310001333986axaeq:GmibReinsuranceMemberaxaeq:MeasurementInputNonperformanceRiskMemberus-gaap:FairValueInputsLevel3Member</w:t>
      </w:r>
      <w:r>
        <w:rPr>
          <w:rFonts w:eastAsia="Times New Roman"/>
          <w:vanish/>
        </w:rPr>
        <w:t>srt:MaximumMemberaxaeq:DiscountedCashFlowValuationTechniqueMember2019-12-310001333986axaeq:GmibReinsuranceMembersrt:MinimumMemberus-gaap:FairValueInputsLevel3Memberus-gaap:MeasurementInputLapseRateMemberaxaeq:DiscountedCashFlowValuationTechniqueMember2019-</w:t>
      </w:r>
      <w:r>
        <w:rPr>
          <w:rFonts w:eastAsia="Times New Roman"/>
          <w:vanish/>
        </w:rPr>
        <w:t>12-310001333986axaeq:GmibReinsuranceMemberus-gaap:FairValueInputsLevel3Membersrt:MaximumMemberus-gaap:MeasurementInputLapseRateMemberaxaeq:DiscountedCashFlowValuationTechniqueMember2019-12-310001333986axaeq:GmibReinsuranceMemberus-gaap:MeasurementInputWith</w:t>
      </w:r>
      <w:r>
        <w:rPr>
          <w:rFonts w:eastAsia="Times New Roman"/>
          <w:vanish/>
        </w:rPr>
        <w:t>drawalRateMembersrt:MinimumMemberus-gaap:FairValueInputsLevel3Memberaxaeq:DiscountedCashFlowValuationTechniqueMember2019-12-310001333986axaeq:GmibReinsuranceMemberus-gaap:MeasurementInputWithdrawalRateMemberus-gaap:FairValueInputsLevel3Membersrt:MaximumMem</w:t>
      </w:r>
      <w:r>
        <w:rPr>
          <w:rFonts w:eastAsia="Times New Roman"/>
          <w:vanish/>
        </w:rPr>
        <w:t>beraxaeq:DiscountedCashFlowValuationTechniqueMember2019-12-310001333986axaeq:GmibReinsuranceMemberus-gaap:MeasurementInputUtilizationRateMembersrt:MinimumMemberus-gaap:FairValueInputsLevel3Memberaxaeq:DiscountedCashFlowValuationTechniqueMember2019-12-31000</w:t>
      </w:r>
      <w:r>
        <w:rPr>
          <w:rFonts w:eastAsia="Times New Roman"/>
          <w:vanish/>
        </w:rPr>
        <w:t>1333986axaeq:GmibReinsuranceMemberus-gaap:MeasurementInputUtilizationRateMemberus-gaap:FairValueInputsLevel3Membersrt:MaximumMemberaxaeq:DiscountedCashFlowValuationTechniqueMember2019-12-310001333986axaeq:MeasurementInputEquityVolatilityMemberaxaeq:GmibRei</w:t>
      </w:r>
      <w:r>
        <w:rPr>
          <w:rFonts w:eastAsia="Times New Roman"/>
          <w:vanish/>
        </w:rPr>
        <w:t>nsuranceMembersrt:MinimumMemberus-gaap:FairValueInputsLevel3Memberaxaeq:DiscountedCashFlowValuationTechniqueMember2019-12-310001333986axaeq:MeasurementInputEquityVolatilityMemberaxaeq:GmibReinsuranceMemberus-gaap:FairValueInputsLevel3Membersrt:MaximumMembe</w:t>
      </w:r>
      <w:r>
        <w:rPr>
          <w:rFonts w:eastAsia="Times New Roman"/>
          <w:vanish/>
        </w:rPr>
        <w:t>raxaeq:DiscountedCashFlowValuationTechniqueMember2019-12-310001333986axaeq:RangeOneMemberaxaeq:GmibReinsuranceMembersrt:MinimumMemberus-gaap:MeasurementInputMortalityRateMemberus-gaap:FairValueInputsLevel3Memberaxaeq:DiscountedCashFlowValuationTechniqueMem</w:t>
      </w:r>
      <w:r>
        <w:rPr>
          <w:rFonts w:eastAsia="Times New Roman"/>
          <w:vanish/>
        </w:rPr>
        <w:t>ber2019-12-310001333986axaeq:RangeOneMemberaxaeq:GmibReinsuranceMemberus-gaap:MeasurementInputMortalityRateMemberus-gaap:FairValueInputsLevel3Membersrt:MaximumMemberaxaeq:DiscountedCashFlowValuationTechniqueMember2019-12-310001333986axaeq:GmibReinsuranceMe</w:t>
      </w:r>
      <w:r>
        <w:rPr>
          <w:rFonts w:eastAsia="Times New Roman"/>
          <w:vanish/>
        </w:rPr>
        <w:t>mbersrt:MinimumMemberus-gaap:MeasurementInputMortalityRateMemberaxaeq:RangeTwoMemberus-gaap:FairValueInputsLevel3Memberaxaeq:DiscountedCashFlowValuationTechniqueMember2019-12-310001333986axaeq:GmibReinsuranceMemberus-gaap:MeasurementInputMortalityRateMembe</w:t>
      </w:r>
      <w:r>
        <w:rPr>
          <w:rFonts w:eastAsia="Times New Roman"/>
          <w:vanish/>
        </w:rPr>
        <w:t>raxaeq:RangeTwoMemberus-gaap:FairValueInputsLevel3Membersrt:MaximumMemberaxaeq:DiscountedCashFlowValuationTechniqueMember2019-12-310001333986axaeq:GmibReinsuranceMemberaxaeq:RangeThreeMembersrt:MinimumMemberus-gaap:MeasurementInputMortalityRateMemberus-gaa</w:t>
      </w:r>
      <w:r>
        <w:rPr>
          <w:rFonts w:eastAsia="Times New Roman"/>
          <w:vanish/>
        </w:rPr>
        <w:t>p:FairValueInputsLevel3Memberaxaeq:DiscountedCashFlowValuationTechniqueMember2019-12-310001333986axaeq:GmibReinsuranceMemberaxaeq:RangeThreeMemberus-gaap:MeasurementInputMortalityRateMemberus-gaap:FairValueInputsLevel3Membersrt:MaximumMemberaxaeq:Discounte</w:t>
      </w:r>
      <w:r>
        <w:rPr>
          <w:rFonts w:eastAsia="Times New Roman"/>
          <w:vanish/>
        </w:rPr>
        <w:t>dCashFlowValuationTechniqueMember2019-12-310001333986axaeq:GuaranteedMinimumInsuranceBenefitsnoLapseGuaranteeMemberaxaeq:MeasurementInputNonperformanceRiskMemberus-gaap:FairValueInputsLevel3Memberaxaeq:DiscountedCashFlowValuationTechniqueMember2019-12-3100</w:t>
      </w:r>
      <w:r>
        <w:rPr>
          <w:rFonts w:eastAsia="Times New Roman"/>
          <w:vanish/>
        </w:rPr>
        <w:t>01333986axaeq:GuaranteedMinimumInsuranceBenefitsnoLapseGuaranteeMembersrt:MinimumMemberus-gaap:FairValueInputsLevel3Memberus-gaap:MeasurementInputLapseRateMemberaxaeq:DiscountedCashFlowValuationTechniqueMember2019-12-310001333986axaeq:GuaranteedMinimumInsu</w:t>
      </w:r>
      <w:r>
        <w:rPr>
          <w:rFonts w:eastAsia="Times New Roman"/>
          <w:vanish/>
        </w:rPr>
        <w:t>ranceBenefitsnoLapseGuaranteeMemberus-gaap:FairValueInputsLevel3Membersrt:MaximumMemberus-gaap:MeasurementInputLapseRateMemberaxaeq:DiscountedCashFlowValuationTechniqueMember2019-12-310001333986us-gaap:MeasurementInputWithdrawalRateMemberaxaeq:GuaranteedMi</w:t>
      </w:r>
      <w:r>
        <w:rPr>
          <w:rFonts w:eastAsia="Times New Roman"/>
          <w:vanish/>
        </w:rPr>
        <w:t>nimumInsuranceBenefitsnoLapseGuaranteeMembersrt:MinimumMemberus-gaap:FairValueInputsLevel3Memberaxaeq:DiscountedCashFlowValuationTechniqueMember2019-12-310001333986us-gaap:MeasurementInputWithdrawalRateMemberaxaeq:GuaranteedMinimumInsuranceBenefitsnoLapseG</w:t>
      </w:r>
      <w:r>
        <w:rPr>
          <w:rFonts w:eastAsia="Times New Roman"/>
          <w:vanish/>
        </w:rPr>
        <w:t>uaranteeMemberus-gaap:FairValueInputsLevel3Membersrt:MaximumMemberaxaeq:DiscountedCashFlowValuationTechniqueMember2019-12-310001333986axaeq:GuaranteedMinimumInsuranceBenefitsnoLapseGuaranteeMembersrt:MinimumMemberaxaeq:MeasurementInputAnnuitizationRateMemb</w:t>
      </w:r>
      <w:r>
        <w:rPr>
          <w:rFonts w:eastAsia="Times New Roman"/>
          <w:vanish/>
        </w:rPr>
        <w:t>erus-gaap:FairValueInputsLevel3Memberaxaeq:DiscountedCashFlowValuationTechniqueMember2019-12-310001333986axaeq:GuaranteedMinimumInsuranceBenefitsnoLapseGuaranteeMemberaxaeq:MeasurementInputAnnuitizationRateMemberus-gaap:FairValueInputsLevel3Membersrt:Maxim</w:t>
      </w:r>
      <w:r>
        <w:rPr>
          <w:rFonts w:eastAsia="Times New Roman"/>
          <w:vanish/>
        </w:rPr>
        <w:t>umMemberaxaeq:DiscountedCashFlowValuationTechniqueMember2019-12-310001333986axaeq:RangeOneMemberaxaeq:GuaranteedMinimumInsuranceBenefitsnoLapseGuaranteeMembersrt:MinimumMemberus-gaap:MeasurementInputMortalityRateMemberus-gaap:FairValueInputsLevel3Memberaxa</w:t>
      </w:r>
      <w:r>
        <w:rPr>
          <w:rFonts w:eastAsia="Times New Roman"/>
          <w:vanish/>
        </w:rPr>
        <w:t>eq:DiscountedCashFlowValuationTechniqueMember2019-12-310001333986axaeq:RangeOneMemberaxaeq:GuaranteedMinimumInsuranceBenefitsnoLapseGuaranteeMemberus-gaap:MeasurementInputMortalityRateMemberus-gaap:FairValueInputsLevel3Membersrt:MaximumMemberaxaeq:Discount</w:t>
      </w:r>
      <w:r>
        <w:rPr>
          <w:rFonts w:eastAsia="Times New Roman"/>
          <w:vanish/>
        </w:rPr>
        <w:t>edCashFlowValuationTechniqueMember2019-12-310001333986axaeq:GuaranteedMinimumInsuranceBenefitsnoLapseGuaranteeMembersrt:MinimumMemberus-gaap:MeasurementInputMortalityRateMemberaxaeq:RangeTwoMemberus-gaap:FairValueInputsLevel3Memberaxaeq:DiscountedCashFlowV</w:t>
      </w:r>
      <w:r>
        <w:rPr>
          <w:rFonts w:eastAsia="Times New Roman"/>
          <w:vanish/>
        </w:rPr>
        <w:t>aluationTechniqueMember2019-12-310001333986axaeq:GuaranteedMinimumInsuranceBenefitsnoLapseGuaranteeMemberus-gaap:MeasurementInputMortalityRateMemberaxaeq:RangeTwoMemberus-gaap:FairValueInputsLevel3Membersrt:MaximumMemberaxaeq:DiscountedCashFlowValuationTec</w:t>
      </w:r>
      <w:r>
        <w:rPr>
          <w:rFonts w:eastAsia="Times New Roman"/>
          <w:vanish/>
        </w:rPr>
        <w:t>hniqueMember2019-12-310001333986axaeq:RangeThreeMemberaxaeq:GuaranteedMinimumInsuranceBenefitsnoLapseGuaranteeMembersrt:MinimumMemberus-gaap:MeasurementInputMortalityRateMemberus-gaap:FairValueInputsLevel3Memberaxaeq:DiscountedCashFlowValuationTechniqueMem</w:t>
      </w:r>
      <w:r>
        <w:rPr>
          <w:rFonts w:eastAsia="Times New Roman"/>
          <w:vanish/>
        </w:rPr>
        <w:t>ber2019-12-310001333986axaeq:RangeThreeMemberaxaeq:GuaranteedMinimumInsuranceBenefitsnoLapseGuaranteeMemberus-gaap:MeasurementInputMortalityRateMemberus-gaap:FairValueInputsLevel3Membersrt:MaximumMemberaxaeq:DiscountedCashFlowValuationTechniqueMember2019-1</w:t>
      </w:r>
      <w:r>
        <w:rPr>
          <w:rFonts w:eastAsia="Times New Roman"/>
          <w:vanish/>
        </w:rPr>
        <w:t>2-310001333986srt:MinimumMemberaxaeq:MeasurementInputNonperformanceRiskMemberaxaeq:AssumedGMIBReinsuranceContractsMemberus-gaap:FairValueInputsLevel3Memberaxaeq:DiscountedCashFlowValuationTechniqueMember2019-12-310001333986axaeq:MeasurementInputNonperforma</w:t>
      </w:r>
      <w:r>
        <w:rPr>
          <w:rFonts w:eastAsia="Times New Roman"/>
          <w:vanish/>
        </w:rPr>
        <w:t>nceRiskMemberaxaeq:AssumedGMIBReinsuranceContractsMemberus-gaap:FairValueInputsLevel3Membersrt:MaximumMemberaxaeq:DiscountedCashFlowValuationTechniqueMember2019-12-310001333986srt:MinimumMemberaxaeq:AssumedGMIBReinsuranceContractsMemberus-gaap:FairValueInp</w:t>
      </w:r>
      <w:r>
        <w:rPr>
          <w:rFonts w:eastAsia="Times New Roman"/>
          <w:vanish/>
        </w:rPr>
        <w:t>utsLevel3Memberus-gaap:MeasurementInputLapseRateMemberaxaeq:DiscountedCashFlowValuationTechniqueMember2019-12-310001333986axaeq:AssumedGMIBReinsuranceContractsMemberus-gaap:FairValueInputsLevel3Membersrt:MaximumMemberus-gaap:MeasurementInputLapseRateMember</w:t>
      </w:r>
      <w:r>
        <w:rPr>
          <w:rFonts w:eastAsia="Times New Roman"/>
          <w:vanish/>
        </w:rPr>
        <w:t>axaeq:DiscountedCashFlowValuationTechniqueMember2019-12-310001333986us-gaap:MeasurementInputWithdrawalRateMembersrt:MinimumMemberaxaeq:AssumedGMIBReinsuranceContractsMemberus-gaap:FairValueInputsLevel3Memberaxaeq:DiscountedCashFlowValuationTechniqueMember2</w:t>
      </w:r>
      <w:r>
        <w:rPr>
          <w:rFonts w:eastAsia="Times New Roman"/>
          <w:vanish/>
        </w:rPr>
        <w:t>019-12-310001333986us-gaap:MeasurementInputWithdrawalRateMemberaxaeq:AssumedGMIBReinsuranceContractsMemberus-gaap:FairValueInputsLevel3Membersrt:MaximumMemberaxaeq:DiscountedCashFlowValuationTechniqueMember2019-12-310001333986axaeq:MeasurementInputWithdraw</w:t>
      </w:r>
      <w:r>
        <w:rPr>
          <w:rFonts w:eastAsia="Times New Roman"/>
          <w:vanish/>
        </w:rPr>
        <w:t>alRateTwoMembersrt:MinimumMemberaxaeq:AssumedGMIBReinsuranceContractsMemberus-gaap:FairValueInputsLevel3Memberaxaeq:DiscountedCashFlowValuationTechniqueMember2019-12-310001333986axaeq:MeasurementInputWithdrawalRateTwoMemberaxaeq:AssumedGMIBReinsuranceContr</w:t>
      </w:r>
      <w:r>
        <w:rPr>
          <w:rFonts w:eastAsia="Times New Roman"/>
          <w:vanish/>
        </w:rPr>
        <w:t>actsMemberus-gaap:FairValueInputsLevel3Membersrt:MaximumMemberaxaeq:DiscountedCashFlowValuationTechniqueMember2019-12-310001333986us-gaap:MeasurementInputUtilizationRateMembersrt:MinimumMemberaxaeq:AssumedGMIBReinsuranceContractsMemberus-gaap:FairValueInpu</w:t>
      </w:r>
      <w:r>
        <w:rPr>
          <w:rFonts w:eastAsia="Times New Roman"/>
          <w:vanish/>
        </w:rPr>
        <w:t>tsLevel3Memberaxaeq:DiscountedCashFlowValuationTechniqueMember2019-12-310001333986us-gaap:MeasurementInputUtilizationRateMemberaxaeq:AssumedGMIBReinsuranceContractsMemberus-gaap:FairValueInputsLevel3Membersrt:MaximumMemberaxaeq:DiscountedCashFlowValuationT</w:t>
      </w:r>
      <w:r>
        <w:rPr>
          <w:rFonts w:eastAsia="Times New Roman"/>
          <w:vanish/>
        </w:rPr>
        <w:t>echniqueMember2019-12-310001333986axaeq:MeasurementInputEquityVolatilityMembersrt:MinimumMemberaxaeq:AssumedGMIBReinsuranceContractsMemberus-gaap:FairValueInputsLevel3Memberaxaeq:DiscountedCashFlowValuationTechniqueMember2019-12-310001333986axaeq:Measureme</w:t>
      </w:r>
      <w:r>
        <w:rPr>
          <w:rFonts w:eastAsia="Times New Roman"/>
          <w:vanish/>
        </w:rPr>
        <w:t>ntInputEquityVolatilityMemberaxaeq:AssumedGMIBReinsuranceContractsMemberus-gaap:FairValueInputsLevel3Membersrt:MaximumMemberaxaeq:DiscountedCashFlowValuationTechniqueMember2019-12-310001333986axaeq:MeasurementInputNonperformanceRiskMemberaxaeq:GmwbGwblMemb</w:t>
      </w:r>
      <w:r>
        <w:rPr>
          <w:rFonts w:eastAsia="Times New Roman"/>
          <w:vanish/>
        </w:rPr>
        <w:t>erus-gaap:FairValueInputsLevel3Memberaxaeq:DiscountedCashFlowValuationTechniqueMember2019-12-310001333986srt:MinimumMemberaxaeq:GmwbGwblMemberus-gaap:FairValueInputsLevel3Memberus-gaap:MeasurementInputLapseRateMemberaxaeq:DiscountedCashFlowValuationTechniq</w:t>
      </w:r>
      <w:r>
        <w:rPr>
          <w:rFonts w:eastAsia="Times New Roman"/>
          <w:vanish/>
        </w:rPr>
        <w:t>ueMember2019-12-310001333986axaeq:GmwbGwblMemberus-gaap:FairValueInputsLevel3Membersrt:MaximumMemberus-gaap:MeasurementInputLapseRateMemberaxaeq:DiscountedCashFlowValuationTechniqueMember2019-12-310001333986us-gaap:MeasurementInputWithdrawalRateMembersrt:M</w:t>
      </w:r>
      <w:r>
        <w:rPr>
          <w:rFonts w:eastAsia="Times New Roman"/>
          <w:vanish/>
        </w:rPr>
        <w:t>inimumMemberaxaeq:GmwbGwblMemberus-gaap:FairValueInputsLevel3Memberaxaeq:DiscountedCashFlowValuationTechniqueMember2019-12-310001333986us-gaap:MeasurementInputWithdrawalRateMemberaxaeq:GmwbGwblMemberus-gaap:FairValueInputsLevel3Membersrt:MaximumMemberaxaeq</w:t>
      </w:r>
      <w:r>
        <w:rPr>
          <w:rFonts w:eastAsia="Times New Roman"/>
          <w:vanish/>
        </w:rPr>
        <w:t>:DiscountedCashFlowValuationTechniqueMember2019-12-310001333986us-gaap:MeasurementInputUtilizationRateMemberaxaeq:GmwbGwblMemberus-gaap:FairValueInputsLevel3Memberaxaeq:DiscountedCashFlowValuationTechniqueMember2019-12-310001333986axaeq:MeasurementInputEqu</w:t>
      </w:r>
      <w:r>
        <w:rPr>
          <w:rFonts w:eastAsia="Times New Roman"/>
          <w:vanish/>
        </w:rPr>
        <w:t>ityVolatilityMembersrt:MinimumMemberaxaeq:GmwbGwblMemberus-gaap:FairValueInputsLevel3Memberaxaeq:DiscountedCashFlowValuationTechniqueMember2019-12-310001333986axaeq:MeasurementInputEquityVolatilityMemberaxaeq:GmwbGwblMemberus-gaap:FairValueInputsLevel3Memb</w:t>
      </w:r>
      <w:r>
        <w:rPr>
          <w:rFonts w:eastAsia="Times New Roman"/>
          <w:vanish/>
        </w:rPr>
        <w:t>ersrt:MaximumMemberaxaeq:DiscountedCashFlowValuationTechniqueMember2019-12-310001333986axaeq:MeasurementInputNonperformanceRiskMemberus-gaap:FairValueInputsLevel3Memberaxaeq:GuaranteedInsuranceBenefitsMemberaxaeq:DiscountedCashFlowValuationTechniqueMember2</w:t>
      </w:r>
      <w:r>
        <w:rPr>
          <w:rFonts w:eastAsia="Times New Roman"/>
          <w:vanish/>
        </w:rPr>
        <w:t>019-12-310001333986srt:MinimumMemberus-gaap:FairValueInputsLevel3Memberus-gaap:MeasurementInputLapseRateMemberaxaeq:GuaranteedInsuranceBenefitsMemberaxaeq:DiscountedCashFlowValuationTechniqueMember2019-12-310001333986us-gaap:FairValueInputsLevel3Membersrt:</w:t>
      </w:r>
      <w:r>
        <w:rPr>
          <w:rFonts w:eastAsia="Times New Roman"/>
          <w:vanish/>
        </w:rPr>
        <w:t>MaximumMemberus-gaap:MeasurementInputLapseRateMemberaxaeq:GuaranteedInsuranceBenefitsMemberaxaeq:DiscountedCashFlowValuationTechniqueMember2019-12-310001333986us-gaap:MeasurementInputWithdrawalRateMembersrt:MinimumMemberus-gaap:FairValueInputsLevel3Membera</w:t>
      </w:r>
      <w:r>
        <w:rPr>
          <w:rFonts w:eastAsia="Times New Roman"/>
          <w:vanish/>
        </w:rPr>
        <w:t>xaeq:GuaranteedInsuranceBenefitsMemberaxaeq:DiscountedCashFlowValuationTechniqueMember2019-12-310001333986us-gaap:MeasurementInputWithdrawalRateMemberus-gaap:FairValueInputsLevel3Membersrt:MaximumMemberaxaeq:GuaranteedInsuranceBenefitsMemberaxaeq:Discounte</w:t>
      </w:r>
      <w:r>
        <w:rPr>
          <w:rFonts w:eastAsia="Times New Roman"/>
          <w:vanish/>
        </w:rPr>
        <w:t>dCashFlowValuationTechniqueMember2019-12-310001333986us-gaap:MeasurementInputUtilizationRateMembersrt:MinimumMemberus-gaap:FairValueInputsLevel3Memberaxaeq:GuaranteedInsuranceBenefitsMemberaxaeq:DiscountedCashFlowValuationTechniqueMember2019-12-31000133398</w:t>
      </w:r>
      <w:r>
        <w:rPr>
          <w:rFonts w:eastAsia="Times New Roman"/>
          <w:vanish/>
        </w:rPr>
        <w:t>6us-gaap:MeasurementInputUtilizationRateMemberus-gaap:FairValueInputsLevel3Membersrt:MaximumMemberaxaeq:GuaranteedInsuranceBenefitsMemberaxaeq:DiscountedCashFlowValuationTechniqueMember2019-12-310001333986axaeq:MeasurementInputEquityVolatilityMembersrt:Min</w:t>
      </w:r>
      <w:r>
        <w:rPr>
          <w:rFonts w:eastAsia="Times New Roman"/>
          <w:vanish/>
        </w:rPr>
        <w:t>imumMemberus-gaap:FairValueInputsLevel3Memberaxaeq:GuaranteedInsuranceBenefitsMemberaxaeq:DiscountedCashFlowValuationTechniqueMember2019-12-310001333986axaeq:MeasurementInputEquityVolatilityMemberus-gaap:FairValueInputsLevel3Membersrt:MaximumMemberaxaeq:Gu</w:t>
      </w:r>
      <w:r>
        <w:rPr>
          <w:rFonts w:eastAsia="Times New Roman"/>
          <w:vanish/>
        </w:rPr>
        <w:t>aranteedInsuranceBenefitsMemberaxaeq:DiscountedCashFlowValuationTechniqueMember2019-12-310001333986srt:MinimumMemberaxaeq:GuaranteedMinimumAnnuityBenefitsMemberus-gaap:FairValueInputsLevel3Memberus-gaap:MeasurementInputLapseRateMemberaxaeq:DiscountedCashFl</w:t>
      </w:r>
      <w:r>
        <w:rPr>
          <w:rFonts w:eastAsia="Times New Roman"/>
          <w:vanish/>
        </w:rPr>
        <w:t>owValuationTechniqueMember2019-12-310001333986axaeq:GuaranteedMinimumAnnuityBenefitsMemberus-gaap:FairValueInputsLevel3Membersrt:MaximumMemberus-gaap:MeasurementInputLapseRateMemberaxaeq:DiscountedCashFlowValuationTechniqueMember2019-12-310001333986axaeq:M</w:t>
      </w:r>
      <w:r>
        <w:rPr>
          <w:rFonts w:eastAsia="Times New Roman"/>
          <w:vanish/>
        </w:rPr>
        <w:t>easurementInputEquityVolatilityMembersrt:MinimumMemberaxaeq:GuaranteedMinimumAnnuityBenefitsMemberus-gaap:FairValueInputsLevel3Memberaxaeq:DiscountedCashFlowValuationTechniqueMember2019-12-310001333986axaeq:MeasurementInputEquityVolatilityMemberaxaeq:Guara</w:t>
      </w:r>
      <w:r>
        <w:rPr>
          <w:rFonts w:eastAsia="Times New Roman"/>
          <w:vanish/>
        </w:rPr>
        <w:t>nteedMinimumAnnuityBenefitsMemberus-gaap:FairValueInputsLevel3Membersrt:MaximumMemberaxaeq:DiscountedCashFlowValuationTechniqueMember2019-12-3100013339862019-11-0600013339862020-02-260001333986axaeq:RedeemableNoncontrollingInterestMember2020-03-31000133398</w:t>
      </w:r>
      <w:r>
        <w:rPr>
          <w:rFonts w:eastAsia="Times New Roman"/>
          <w:vanish/>
        </w:rPr>
        <w:t>6axaeq:RedeemableNoncontrollingInterestMember2019-03-310001333986axaeq:RedeemableNoncontrollingInterestMember2019-12-310001333986axaeq:RedeemableNoncontrollingInterestMember2018-12-310001333986axaeq:RedeemableNoncontrollingInterestMember2020-04-012020-06-3</w:t>
      </w:r>
      <w:r>
        <w:rPr>
          <w:rFonts w:eastAsia="Times New Roman"/>
          <w:vanish/>
        </w:rPr>
        <w:t>00001333986axaeq:RedeemableNoncontrollingInterestMember2019-04-012019-06-300001333986axaeq:RedeemableNoncontrollingInterestMember2020-01-012020-06-300001333986axaeq:RedeemableNoncontrollingInterestMember2019-01-012019-06-300001333986axaeq:RedeemableNoncont</w:t>
      </w:r>
      <w:r>
        <w:rPr>
          <w:rFonts w:eastAsia="Times New Roman"/>
          <w:vanish/>
        </w:rPr>
        <w:t>rollingInterestMember2020-06-300001333986axaeq:RedeemableNoncontrollingInterestMember2019-06-300001333986axaeq:BrachFamilyFoundationLitigationMember2016-02-290001333986axaeq:PreCapitalizedTrustSecuritiesTrancheOneMember2019-04-012019-04-300001333986axaeq:P</w:t>
      </w:r>
      <w:r>
        <w:rPr>
          <w:rFonts w:eastAsia="Times New Roman"/>
          <w:vanish/>
        </w:rPr>
        <w:t>reCapitalizedTrustSecuritiesTrancheTwoMember2019-04-012019-04-300001333986axaeq:FederalHomeLoanBankofNewYorkShortTermFundingAgreementsMaturinginLessThanOneYearMember2019-12-310001333986axaeq:FederalHomeLoanBankofNewYorkShortTermFundingAgreementsMaturinginL</w:t>
      </w:r>
      <w:r>
        <w:rPr>
          <w:rFonts w:eastAsia="Times New Roman"/>
          <w:vanish/>
        </w:rPr>
        <w:t>essThanOneYearMember2020-01-012020-06-300001333986axaeq:FederalHomeLoanBankofNewYorkShortTermFundingAgreementsMaturinginLessThanOneYearMember2020-06-300001333986axaeq:FederalHomeLoanBankofNewYorkLongTermFundingAgreementsMaturingBetweenTwoandFiveYearsMember</w:t>
      </w:r>
      <w:r>
        <w:rPr>
          <w:rFonts w:eastAsia="Times New Roman"/>
          <w:vanish/>
        </w:rPr>
        <w:t>2019-12-310001333986axaeq:FederalHomeLoanBankofNewYorkLongTermFundingAgreementsMaturingBetweenTwoandFiveYearsMember2020-01-012020-06-300001333986axaeq:FederalHomeLoanBankofNewYorkLongTermFundingAgreementsMaturingBetweenTwoandFiveYearsMember2020-06-30000133</w:t>
      </w:r>
      <w:r>
        <w:rPr>
          <w:rFonts w:eastAsia="Times New Roman"/>
          <w:vanish/>
        </w:rPr>
        <w:t>3986axaeq:FederalHomeLoanBankofNewYorkLongTermFundingAgreementsMaturinginGreaterthanFiveYearsMember2019-12-310001333986axaeq:FederalHomeLoanBankofNewYorkLongTermFundingAgreementsMaturinginGreaterthanFiveYearsMember2020-01-012020-06-300001333986axaeq:Federa</w:t>
      </w:r>
      <w:r>
        <w:rPr>
          <w:rFonts w:eastAsia="Times New Roman"/>
          <w:vanish/>
        </w:rPr>
        <w:t>lHomeLoanBankofNewYorkLongTermFundingAgreementsMaturinginGreaterthanFiveYearsMember2020-06-300001333986axaeq:FederalHomeLoanBankofNewYorkLongTermFundingAgreementsMember2019-12-310001333986axaeq:FederalHomeLoanBankofNewYorkLongTermFundingAgreementsMember202</w:t>
      </w:r>
      <w:r>
        <w:rPr>
          <w:rFonts w:eastAsia="Times New Roman"/>
          <w:vanish/>
        </w:rPr>
        <w:t>0-01-012020-06-300001333986axaeq:FederalHomeLoanBankofNewYorkLongTermFundingAgreementsMember2020-06-300001333986axaeq:HoldingsRevolvingCreditFacilityMemberus-gaap:RevolvingCreditFacilityMember2020-06-300001333986axaeq:HoldingsRevolvingCreditFacilityMemberu</w:t>
      </w:r>
      <w:r>
        <w:rPr>
          <w:rFonts w:eastAsia="Times New Roman"/>
          <w:vanish/>
        </w:rPr>
        <w:t>s-gaap:RevolvingCreditFacilityMember2020-01-012020-06-300001333986us-gaap:LetterOfCreditMemberus-gaap:RevolvingCreditFacilityMember2020-06-300001333986us-gaap:LetterOfCreditMemberus-gaap:RevolvingCreditFacilityMemberaxaeq:ACSLifeMember2020-06-300001333986u</w:t>
      </w:r>
      <w:r>
        <w:rPr>
          <w:rFonts w:eastAsia="Times New Roman"/>
          <w:vanish/>
        </w:rPr>
        <w:t>s-gaap:LetterOfCreditMemberaxaeq:AXAEquitableLifeInsuranceCoMemberus-gaap:RevolvingCreditFacilityMember2020-06-300001333986axaeq:BilateralLetterOfCreditFacilitiesMemberus-gaap:RevolvingCreditFacilityMember2020-06-300001333986axaeq:AxaMember2020-06-30000133</w:t>
      </w:r>
      <w:r>
        <w:rPr>
          <w:rFonts w:eastAsia="Times New Roman"/>
          <w:vanish/>
        </w:rPr>
        <w:t>3986axaeq:AxaMembersrt:AffiliatedEntityMember2020-06-300001333986us-gaap:RevolvingCreditFacilityMember2020-06-300001333986us-gaap:MaterialReconcilingItemsMember2020-04-012020-06-300001333986us-gaap:MaterialReconcilingItemsMember2019-04-012019-06-3000013339</w:t>
      </w:r>
      <w:r>
        <w:rPr>
          <w:rFonts w:eastAsia="Times New Roman"/>
          <w:vanish/>
        </w:rPr>
        <w:t>86us-gaap:MaterialReconcilingItemsMember2020-01-012020-06-300001333986us-gaap:MaterialReconcilingItemsMember2019-01-012019-06-300001333986us-gaap:OperatingSegmentsMemberaxaeq:IndividualRetirementMember2020-04-012020-06-300001333986us-gaap:OperatingSegments</w:t>
      </w:r>
      <w:r>
        <w:rPr>
          <w:rFonts w:eastAsia="Times New Roman"/>
          <w:vanish/>
        </w:rPr>
        <w:t>Memberaxaeq:IndividualRetirementMember2019-04-012019-06-300001333986us-gaap:OperatingSegmentsMemberaxaeq:IndividualRetirementMember2020-01-012020-06-300001333986us-gaap:OperatingSegmentsMemberaxaeq:IndividualRetirementMember2019-01-012019-06-300001333986us</w:t>
      </w:r>
      <w:r>
        <w:rPr>
          <w:rFonts w:eastAsia="Times New Roman"/>
          <w:vanish/>
        </w:rPr>
        <w:t>-gaap:OperatingSegmentsMemberaxaeq:GroupRetirementMember2020-04-012020-06-300001333986us-gaap:OperatingSegmentsMemberaxaeq:GroupRetirementMember2019-04-012019-06-300001333986us-gaap:OperatingSegmentsMemberaxaeq:GroupRetirementMember2020-01-012020-06-300001</w:t>
      </w:r>
      <w:r>
        <w:rPr>
          <w:rFonts w:eastAsia="Times New Roman"/>
          <w:vanish/>
        </w:rPr>
        <w:t>333986us-gaap:OperatingSegmentsMemberaxaeq:GroupRetirementMember2019-01-012019-06-300001333986us-gaap:OperatingSegmentsMemberaxaeq:InvestmentManagementAndResearchMember2020-04-012020-06-300001333986us-gaap:OperatingSegmentsMemberaxaeq:InvestmentManagementA</w:t>
      </w:r>
      <w:r>
        <w:rPr>
          <w:rFonts w:eastAsia="Times New Roman"/>
          <w:vanish/>
        </w:rPr>
        <w:t>ndResearchMember2019-04-012019-06-300001333986us-gaap:OperatingSegmentsMemberaxaeq:InvestmentManagementAndResearchMember2020-01-012020-06-300001333986us-gaap:OperatingSegmentsMemberaxaeq:InvestmentManagementAndResearchMember2019-01-012019-06-300001333986us</w:t>
      </w:r>
      <w:r>
        <w:rPr>
          <w:rFonts w:eastAsia="Times New Roman"/>
          <w:vanish/>
        </w:rPr>
        <w:t>-gaap:OperatingSegmentsMemberaxaeq:ProtectionSolutionsMember2020-04-012020-06-300001333986us-gaap:OperatingSegmentsMemberaxaeq:ProtectionSolutionsMember2019-04-012019-06-300001333986us-gaap:OperatingSegmentsMemberaxaeq:ProtectionSolutionsMember2020-01-0120</w:t>
      </w:r>
      <w:r>
        <w:rPr>
          <w:rFonts w:eastAsia="Times New Roman"/>
          <w:vanish/>
        </w:rPr>
        <w:t>20-06-300001333986us-gaap:OperatingSegmentsMemberaxaeq:ProtectionSolutionsMember2019-01-012019-06-300001333986us-gaap:CorporateNonSegmentMember2020-04-012020-06-300001333986us-gaap:CorporateNonSegmentMember2019-04-012019-06-300001333986us-gaap:CorporateNon</w:t>
      </w:r>
      <w:r>
        <w:rPr>
          <w:rFonts w:eastAsia="Times New Roman"/>
          <w:vanish/>
        </w:rPr>
        <w:t>SegmentMember2020-01-012020-06-300001333986us-gaap:CorporateNonSegmentMember2019-01-012019-06-300001333986us-gaap:IntersegmentEliminationMember2020-04-012020-06-300001333986us-gaap:IntersegmentEliminationMember2019-04-012019-06-300001333986us-gaap:Interseg</w:t>
      </w:r>
      <w:r>
        <w:rPr>
          <w:rFonts w:eastAsia="Times New Roman"/>
          <w:vanish/>
        </w:rPr>
        <w:t>mentEliminationMember2020-01-012020-06-300001333986us-gaap:IntersegmentEliminationMember2019-01-012019-06-300001333986us-gaap:IntersegmentEliminationMemberus-gaap:InvestmentAdviceMember2020-04-012020-06-300001333986us-gaap:IntersegmentEliminationMemberus-g</w:t>
      </w:r>
      <w:r>
        <w:rPr>
          <w:rFonts w:eastAsia="Times New Roman"/>
          <w:vanish/>
        </w:rPr>
        <w:t>aap:InvestmentAdviceMember2019-04-012019-06-300001333986us-gaap:IntersegmentEliminationMemberus-gaap:InvestmentAdviceMember2020-01-012020-06-300001333986us-gaap:IntersegmentEliminationMemberus-gaap:InvestmentAdviceMember2019-01-012019-06-300001333986us-gaa</w:t>
      </w:r>
      <w:r>
        <w:rPr>
          <w:rFonts w:eastAsia="Times New Roman"/>
          <w:vanish/>
        </w:rPr>
        <w:t>p:OperatingSegmentsMemberaxaeq:IndividualRetirementMember2020-06-300001333986us-gaap:OperatingSegmentsMemberaxaeq:IndividualRetirementMember2019-12-310001333986us-gaap:OperatingSegmentsMemberaxaeq:GroupRetirementMember2020-06-300001333986us-gaap:OperatingS</w:t>
      </w:r>
      <w:r>
        <w:rPr>
          <w:rFonts w:eastAsia="Times New Roman"/>
          <w:vanish/>
        </w:rPr>
        <w:t>egmentsMemberaxaeq:GroupRetirementMember2019-12-310001333986us-gaap:OperatingSegmentsMemberaxaeq:InvestmentManagementAndResearchMember2020-06-300001333986us-gaap:OperatingSegmentsMemberaxaeq:InvestmentManagementAndResearchMember2019-12-310001333986us-gaap:</w:t>
      </w:r>
      <w:r>
        <w:rPr>
          <w:rFonts w:eastAsia="Times New Roman"/>
          <w:vanish/>
        </w:rPr>
        <w:t>OperatingSegmentsMemberaxaeq:ProtectionSolutionsMember2020-06-300001333986us-gaap:OperatingSegmentsMemberaxaeq:ProtectionSolutionsMember2019-12-310001333986us-gaap:CorporateNonSegmentMember2020-06-300001333986us-gaap:CorporateNonSegmentMember2019-12-310001</w:t>
      </w:r>
      <w:r>
        <w:rPr>
          <w:rFonts w:eastAsia="Times New Roman"/>
          <w:vanish/>
        </w:rPr>
        <w:t>333986axaeq:TrustNotesMember2020-06-300001333986axaeq:TrustNotesMemberus-gaap:SubsequentEventMember2020-07-070001333986us-gaap:SubsequentEventMember2020-07-312020-07-310001333986us-gaap:SeriesAPreferredStockMemberus-gaap:SubsequentEventMember2020-07-312020</w:t>
      </w:r>
      <w:r>
        <w:rPr>
          <w:rFonts w:eastAsia="Times New Roman"/>
          <w:vanish/>
        </w:rPr>
        <w:t>-07-310001333986us-gaap:SeriesAPreferredStockMemberus-gaap:SubsequentEventMember2020-07-31</w:t>
      </w:r>
    </w:p>
    <w:p w:rsidR="00000000" w:rsidRDefault="00775A8F">
      <w:pPr>
        <w:jc w:val="right"/>
        <w:divId w:val="1569994159"/>
        <w:rPr>
          <w:rFonts w:eastAsia="Times New Roman"/>
        </w:rPr>
      </w:pPr>
    </w:p>
    <w:p w:rsidR="00000000" w:rsidRDefault="00775A8F">
      <w:pPr>
        <w:jc w:val="right"/>
        <w:rPr>
          <w:rFonts w:eastAsia="Times New Roman"/>
        </w:rPr>
      </w:pPr>
    </w:p>
    <w:p w:rsidR="00000000" w:rsidRDefault="00775A8F">
      <w:pPr>
        <w:jc w:val="center"/>
        <w:rPr>
          <w:rFonts w:eastAsia="Times New Roman"/>
        </w:rPr>
      </w:pPr>
      <w:r>
        <w:rPr>
          <w:rFonts w:eastAsia="Times New Roman"/>
          <w:b/>
          <w:bCs/>
          <w:color w:val="000000"/>
        </w:rPr>
        <w:t>UNITED STATE</w:t>
      </w:r>
      <w:r>
        <w:rPr>
          <w:rFonts w:eastAsia="Times New Roman"/>
          <w:b/>
          <w:bCs/>
          <w:color w:val="000000"/>
        </w:rPr>
        <w:t>S</w:t>
      </w:r>
    </w:p>
    <w:p w:rsidR="00000000" w:rsidRDefault="00775A8F">
      <w:pPr>
        <w:jc w:val="center"/>
        <w:rPr>
          <w:rFonts w:eastAsia="Times New Roman"/>
        </w:rPr>
      </w:pPr>
      <w:r>
        <w:rPr>
          <w:rFonts w:eastAsia="Times New Roman"/>
          <w:b/>
          <w:bCs/>
          <w:color w:val="000000"/>
        </w:rPr>
        <w:t>SECURITIES AND EXCHANGE COMMISSIO</w:t>
      </w:r>
      <w:r>
        <w:rPr>
          <w:rFonts w:eastAsia="Times New Roman"/>
          <w:b/>
          <w:bCs/>
          <w:color w:val="000000"/>
        </w:rPr>
        <w:t>N</w:t>
      </w:r>
    </w:p>
    <w:p w:rsidR="00000000" w:rsidRDefault="00775A8F">
      <w:pPr>
        <w:jc w:val="center"/>
        <w:rPr>
          <w:rFonts w:eastAsia="Times New Roman"/>
        </w:rPr>
      </w:pPr>
      <w:r>
        <w:rPr>
          <w:rFonts w:eastAsia="Times New Roman"/>
          <w:b/>
          <w:bCs/>
          <w:color w:val="000000"/>
        </w:rPr>
        <w:t>Washington, D.C. 2054</w:t>
      </w:r>
      <w:r>
        <w:rPr>
          <w:rFonts w:eastAsia="Times New Roman"/>
          <w:b/>
          <w:bCs/>
          <w:color w:val="000000"/>
        </w:rPr>
        <w:t>9</w:t>
      </w:r>
    </w:p>
    <w:p w:rsidR="00000000" w:rsidRDefault="00775A8F">
      <w:pPr>
        <w:jc w:val="center"/>
        <w:rPr>
          <w:rFonts w:eastAsia="Times New Roman"/>
        </w:rPr>
      </w:pPr>
      <w:r>
        <w:rPr>
          <w:rFonts w:eastAsia="Times New Roman"/>
          <w:b/>
          <w:bCs/>
          <w:color w:val="000000"/>
          <w:sz w:val="18"/>
          <w:szCs w:val="18"/>
        </w:rPr>
        <w:t>——————————————</w:t>
      </w:r>
      <w:r>
        <w:rPr>
          <w:rFonts w:eastAsia="Times New Roman"/>
          <w:b/>
          <w:bCs/>
          <w:color w:val="000000"/>
          <w:sz w:val="18"/>
          <w:szCs w:val="18"/>
        </w:rPr>
        <w:t>—</w:t>
      </w:r>
    </w:p>
    <w:p w:rsidR="00000000" w:rsidRDefault="00775A8F">
      <w:pPr>
        <w:jc w:val="center"/>
        <w:rPr>
          <w:rFonts w:eastAsia="Times New Roman"/>
        </w:rPr>
      </w:pPr>
      <w:r>
        <w:rPr>
          <w:rFonts w:eastAsia="Times New Roman"/>
          <w:b/>
          <w:bCs/>
          <w:color w:val="000000"/>
        </w:rPr>
        <w:t>FORM 10-Q</w:t>
      </w:r>
      <w:r>
        <w:rPr>
          <w:rFonts w:eastAsia="Times New Roman"/>
          <w:b/>
          <w:bCs/>
          <w:color w:val="00000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125"/>
        <w:gridCol w:w="83"/>
        <w:gridCol w:w="83"/>
        <w:gridCol w:w="7849"/>
        <w:gridCol w:w="83"/>
      </w:tblGrid>
      <w:tr w:rsidR="00000000">
        <w:trPr>
          <w:divId w:val="337269001"/>
          <w:jc w:val="center"/>
        </w:trPr>
        <w:tc>
          <w:tcPr>
            <w:tcW w:w="50" w:type="pct"/>
            <w:vAlign w:val="center"/>
            <w:hideMark/>
          </w:tcPr>
          <w:p w:rsidR="00000000" w:rsidRDefault="00775A8F">
            <w:pPr>
              <w:jc w:val="center"/>
              <w:rPr>
                <w:rFonts w:eastAsia="Times New Roman"/>
              </w:rPr>
            </w:pPr>
          </w:p>
        </w:tc>
        <w:tc>
          <w:tcPr>
            <w:tcW w:w="7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2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337269001"/>
          <w:jc w:val="center"/>
        </w:trPr>
        <w:tc>
          <w:tcPr>
            <w:tcW w:w="0" w:type="auto"/>
            <w:gridSpan w:val="3"/>
            <w:tcMar>
              <w:top w:w="30" w:type="dxa"/>
              <w:left w:w="20" w:type="dxa"/>
              <w:bottom w:w="30" w:type="dxa"/>
              <w:right w:w="20" w:type="dxa"/>
            </w:tcMar>
            <w:hideMark/>
          </w:tcPr>
          <w:p w:rsidR="00000000" w:rsidRDefault="00775A8F">
            <w:pPr>
              <w:jc w:val="center"/>
              <w:divId w:val="1940239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b/>
                <w:bCs/>
                <w:color w:val="000000"/>
                <w:sz w:val="18"/>
                <w:szCs w:val="18"/>
              </w:rPr>
              <w:t>QUARTERLY REPORT PURSUANT TO SECTION 13 OR 15(d) OF</w:t>
            </w:r>
            <w:r>
              <w:rPr>
                <w:rFonts w:eastAsia="Times New Roman"/>
                <w:b/>
                <w:bCs/>
                <w:color w:val="000000"/>
                <w:sz w:val="18"/>
                <w:szCs w:val="18"/>
              </w:rPr>
              <w:t xml:space="preserve"> THE SECURITIES EXCHANGE ACT OF 193</w:t>
            </w:r>
            <w:r>
              <w:rPr>
                <w:rFonts w:eastAsia="Times New Roman"/>
                <w:b/>
                <w:bCs/>
                <w:color w:val="000000"/>
                <w:sz w:val="18"/>
                <w:szCs w:val="18"/>
              </w:rPr>
              <w:t>4</w:t>
            </w:r>
          </w:p>
        </w:tc>
      </w:tr>
    </w:tbl>
    <w:p w:rsidR="00000000" w:rsidRDefault="00775A8F">
      <w:pPr>
        <w:jc w:val="center"/>
        <w:divId w:val="1411847267"/>
        <w:rPr>
          <w:rFonts w:eastAsia="Times New Roman"/>
        </w:rPr>
      </w:pPr>
      <w:r>
        <w:rPr>
          <w:rFonts w:eastAsia="Times New Roman"/>
          <w:b/>
          <w:bCs/>
          <w:color w:val="000000"/>
          <w:sz w:val="18"/>
          <w:szCs w:val="18"/>
        </w:rPr>
        <w:t>For the quarterly period ended June 30, 2020</w:t>
      </w:r>
      <w:r>
        <w:rPr>
          <w:rFonts w:eastAsia="Times New Roman"/>
          <w:b/>
          <w:bCs/>
          <w:color w:val="000000"/>
          <w:sz w:val="18"/>
          <w:szCs w:val="18"/>
        </w:rPr>
        <w:t> </w:t>
      </w:r>
    </w:p>
    <w:p w:rsidR="00000000" w:rsidRDefault="00775A8F">
      <w:pPr>
        <w:jc w:val="center"/>
        <w:rPr>
          <w:rFonts w:eastAsia="Times New Roman"/>
        </w:rPr>
      </w:pPr>
      <w:r>
        <w:rPr>
          <w:rFonts w:eastAsia="Times New Roman"/>
          <w:b/>
          <w:bCs/>
          <w:color w:val="000000"/>
          <w:sz w:val="18"/>
          <w:szCs w:val="18"/>
        </w:rPr>
        <w:t>o</w:t>
      </w:r>
      <w:r>
        <w:rPr>
          <w:rFonts w:eastAsia="Times New Roman"/>
          <w:b/>
          <w:bCs/>
          <w:color w:val="000000"/>
          <w:sz w:val="18"/>
          <w:szCs w:val="18"/>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125"/>
        <w:gridCol w:w="83"/>
        <w:gridCol w:w="83"/>
        <w:gridCol w:w="7849"/>
        <w:gridCol w:w="83"/>
      </w:tblGrid>
      <w:tr w:rsidR="00000000">
        <w:trPr>
          <w:divId w:val="245578342"/>
          <w:jc w:val="center"/>
        </w:trPr>
        <w:tc>
          <w:tcPr>
            <w:tcW w:w="50" w:type="pct"/>
            <w:vAlign w:val="center"/>
            <w:hideMark/>
          </w:tcPr>
          <w:p w:rsidR="00000000" w:rsidRDefault="00775A8F">
            <w:pPr>
              <w:jc w:val="center"/>
              <w:rPr>
                <w:rFonts w:eastAsia="Times New Roman"/>
              </w:rPr>
            </w:pPr>
          </w:p>
        </w:tc>
        <w:tc>
          <w:tcPr>
            <w:tcW w:w="7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2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245578342"/>
          <w:jc w:val="center"/>
        </w:trPr>
        <w:tc>
          <w:tcPr>
            <w:tcW w:w="0" w:type="auto"/>
            <w:gridSpan w:val="3"/>
            <w:tcMar>
              <w:top w:w="30" w:type="dxa"/>
              <w:left w:w="20" w:type="dxa"/>
              <w:bottom w:w="30" w:type="dxa"/>
              <w:right w:w="20" w:type="dxa"/>
            </w:tcMar>
            <w:hideMark/>
          </w:tcPr>
          <w:p w:rsidR="00000000" w:rsidRDefault="00775A8F">
            <w:pPr>
              <w:jc w:val="center"/>
              <w:divId w:val="410543923"/>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b/>
                <w:bCs/>
                <w:color w:val="000000"/>
                <w:sz w:val="18"/>
                <w:szCs w:val="18"/>
              </w:rPr>
              <w:t>TRANSITION REPORT PURSUANT TO SECTION 13 OR 15(d) OF THE SECURITIES EXCHANGE ACT OF 193</w:t>
            </w:r>
            <w:r>
              <w:rPr>
                <w:rFonts w:eastAsia="Times New Roman"/>
                <w:b/>
                <w:bCs/>
                <w:color w:val="000000"/>
                <w:sz w:val="18"/>
                <w:szCs w:val="18"/>
              </w:rPr>
              <w:t>4</w:t>
            </w:r>
          </w:p>
        </w:tc>
      </w:tr>
    </w:tbl>
    <w:p w:rsidR="00000000" w:rsidRDefault="00775A8F">
      <w:pPr>
        <w:jc w:val="center"/>
        <w:divId w:val="1766265280"/>
        <w:rPr>
          <w:rFonts w:eastAsia="Times New Roman"/>
        </w:rPr>
      </w:pPr>
      <w:r>
        <w:rPr>
          <w:rFonts w:eastAsia="Times New Roman"/>
          <w:b/>
          <w:bCs/>
          <w:color w:val="000000"/>
          <w:sz w:val="18"/>
          <w:szCs w:val="18"/>
        </w:rPr>
        <w:t>For the transition period from              t</w:t>
      </w:r>
      <w:r>
        <w:rPr>
          <w:rFonts w:eastAsia="Times New Roman"/>
          <w:b/>
          <w:bCs/>
          <w:color w:val="000000"/>
          <w:sz w:val="18"/>
          <w:szCs w:val="18"/>
        </w:rPr>
        <w:t>o</w:t>
      </w:r>
    </w:p>
    <w:p w:rsidR="00000000" w:rsidRDefault="00775A8F">
      <w:pPr>
        <w:jc w:val="center"/>
        <w:divId w:val="2035417260"/>
        <w:rPr>
          <w:rFonts w:eastAsia="Times New Roman"/>
        </w:rPr>
      </w:pPr>
      <w:r>
        <w:rPr>
          <w:rFonts w:eastAsia="Times New Roman"/>
          <w:b/>
          <w:bCs/>
          <w:color w:val="000000"/>
          <w:sz w:val="20"/>
          <w:szCs w:val="20"/>
        </w:rPr>
        <w:t>Commission File No. 001-3846</w:t>
      </w:r>
      <w:r>
        <w:rPr>
          <w:rFonts w:eastAsia="Times New Roman"/>
          <w:b/>
          <w:bCs/>
          <w:color w:val="000000"/>
          <w:sz w:val="20"/>
          <w:szCs w:val="20"/>
        </w:rPr>
        <w:t>9</w:t>
      </w:r>
    </w:p>
    <w:p w:rsidR="00000000" w:rsidRDefault="00775A8F">
      <w:pPr>
        <w:jc w:val="center"/>
        <w:divId w:val="1481383513"/>
        <w:rPr>
          <w:rFonts w:eastAsia="Times New Roman"/>
        </w:rPr>
      </w:pPr>
      <w:r>
        <w:rPr>
          <w:rFonts w:eastAsia="Times New Roman"/>
          <w:b/>
          <w:bCs/>
          <w:color w:val="000000"/>
          <w:sz w:val="18"/>
          <w:szCs w:val="18"/>
        </w:rPr>
        <w:t>———————————————</w:t>
      </w:r>
      <w:r>
        <w:rPr>
          <w:rFonts w:eastAsia="Times New Roman"/>
          <w:b/>
          <w:bCs/>
          <w:color w:val="000000"/>
          <w:sz w:val="18"/>
          <w:szCs w:val="18"/>
        </w:rPr>
        <w:t>—</w:t>
      </w:r>
    </w:p>
    <w:p w:rsidR="00000000" w:rsidRDefault="00775A8F">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775A8F">
      <w:pPr>
        <w:jc w:val="center"/>
        <w:rPr>
          <w:rFonts w:eastAsia="Times New Roman"/>
        </w:rPr>
      </w:pPr>
      <w:r>
        <w:rPr>
          <w:rFonts w:eastAsia="Times New Roman"/>
          <w:b/>
          <w:bCs/>
          <w:color w:val="000000"/>
          <w:sz w:val="36"/>
          <w:szCs w:val="36"/>
        </w:rPr>
        <w:t>Equitable Holdings, Inc</w:t>
      </w:r>
      <w:r>
        <w:rPr>
          <w:rFonts w:eastAsia="Times New Roman"/>
          <w:b/>
          <w:bCs/>
          <w:color w:val="000000"/>
          <w:sz w:val="36"/>
          <w:szCs w:val="36"/>
        </w:rPr>
        <w:t>.</w:t>
      </w:r>
      <w:r>
        <w:rPr>
          <w:rFonts w:eastAsia="Times New Roman"/>
          <w:b/>
          <w:bCs/>
          <w:color w:val="000000"/>
          <w:sz w:val="44"/>
          <w:szCs w:val="44"/>
        </w:rPr>
        <w:t xml:space="preserve"> </w:t>
      </w:r>
    </w:p>
    <w:p w:rsidR="00000000" w:rsidRDefault="00775A8F">
      <w:pPr>
        <w:jc w:val="center"/>
        <w:divId w:val="1341279152"/>
        <w:rPr>
          <w:rFonts w:eastAsia="Times New Roman"/>
        </w:rPr>
      </w:pPr>
      <w:r>
        <w:rPr>
          <w:rFonts w:eastAsia="Times New Roman"/>
          <w:color w:val="000000"/>
          <w:sz w:val="18"/>
          <w:szCs w:val="18"/>
        </w:rPr>
        <w:t>(Exact name of registrant as specified in its charter)</w:t>
      </w: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75"/>
        <w:gridCol w:w="3941"/>
        <w:gridCol w:w="75"/>
        <w:gridCol w:w="36"/>
        <w:gridCol w:w="206"/>
        <w:gridCol w:w="36"/>
        <w:gridCol w:w="75"/>
        <w:gridCol w:w="3773"/>
        <w:gridCol w:w="76"/>
      </w:tblGrid>
      <w:tr w:rsidR="00000000">
        <w:trPr>
          <w:divId w:val="1536038541"/>
        </w:trPr>
        <w:tc>
          <w:tcPr>
            <w:tcW w:w="50" w:type="pct"/>
            <w:vAlign w:val="center"/>
            <w:hideMark/>
          </w:tcPr>
          <w:p w:rsidR="00000000" w:rsidRDefault="00775A8F">
            <w:pPr>
              <w:jc w:val="center"/>
              <w:rPr>
                <w:rFonts w:eastAsia="Times New Roman"/>
              </w:rPr>
            </w:pPr>
          </w:p>
        </w:tc>
        <w:tc>
          <w:tcPr>
            <w:tcW w:w="238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27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536038541"/>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Delawar</w:t>
            </w:r>
            <w:r>
              <w:rPr>
                <w:rFonts w:eastAsia="Times New Roman"/>
                <w:b/>
                <w:bCs/>
                <w:color w:val="000000"/>
                <w:sz w:val="18"/>
                <w:szCs w:val="18"/>
              </w:rPr>
              <w:t>e</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90-022624</w:t>
            </w:r>
            <w:r>
              <w:rPr>
                <w:rFonts w:eastAsia="Times New Roman"/>
                <w:b/>
                <w:bCs/>
                <w:color w:val="000000"/>
                <w:sz w:val="18"/>
                <w:szCs w:val="18"/>
              </w:rPr>
              <w:t>8</w:t>
            </w:r>
          </w:p>
        </w:tc>
      </w:tr>
      <w:tr w:rsidR="00000000">
        <w:trPr>
          <w:divId w:val="1536038541"/>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(State or other jurisdiction of incorporation or organization</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(I.R.S. Employer Identification No.</w:t>
            </w:r>
            <w:r>
              <w:rPr>
                <w:rFonts w:eastAsia="Times New Roman"/>
                <w:color w:val="000000"/>
                <w:sz w:val="18"/>
                <w:szCs w:val="18"/>
              </w:rPr>
              <w:t>)</w:t>
            </w:r>
          </w:p>
        </w:tc>
      </w:tr>
    </w:tbl>
    <w:p w:rsidR="00000000" w:rsidRDefault="00775A8F">
      <w:pPr>
        <w:divId w:val="551964254"/>
        <w:rPr>
          <w:rFonts w:eastAsia="Times New Roman"/>
        </w:rPr>
      </w:pPr>
    </w:p>
    <w:p w:rsidR="00000000" w:rsidRDefault="00775A8F">
      <w:pPr>
        <w:divId w:val="236214224"/>
        <w:rPr>
          <w:rFonts w:eastAsia="Times New Roman"/>
        </w:rPr>
      </w:pPr>
      <w:r>
        <w:rPr>
          <w:rFonts w:eastAsia="Times New Roman"/>
          <w:b/>
          <w:bCs/>
          <w:color w:val="000000"/>
          <w:sz w:val="20"/>
          <w:szCs w:val="20"/>
        </w:rPr>
        <w:t>1290 Avenue of the Americas, New York, New York     10104</w:t>
      </w:r>
      <w:r>
        <w:rPr>
          <w:rFonts w:eastAsia="Times New Roman"/>
          <w:b/>
          <w:bCs/>
          <w:color w:val="000000"/>
          <w:sz w:val="20"/>
          <w:szCs w:val="20"/>
        </w:rPr>
        <w:t xml:space="preserve"> </w:t>
      </w:r>
    </w:p>
    <w:p w:rsidR="00000000" w:rsidRDefault="00775A8F">
      <w:pPr>
        <w:divId w:val="1546334226"/>
        <w:rPr>
          <w:rFonts w:eastAsia="Times New Roman"/>
        </w:rPr>
      </w:pPr>
      <w:r>
        <w:rPr>
          <w:rFonts w:eastAsia="Times New Roman"/>
          <w:color w:val="000000"/>
          <w:sz w:val="16"/>
          <w:szCs w:val="16"/>
        </w:rPr>
        <w:t>(Address of principal executive offices) (Zip Code</w:t>
      </w:r>
      <w:r>
        <w:rPr>
          <w:rFonts w:eastAsia="Times New Roman"/>
          <w:color w:val="000000"/>
          <w:sz w:val="16"/>
          <w:szCs w:val="16"/>
        </w:rPr>
        <w:t>)</w:t>
      </w:r>
    </w:p>
    <w:p w:rsidR="00000000" w:rsidRDefault="00775A8F">
      <w:pPr>
        <w:divId w:val="652292563"/>
        <w:rPr>
          <w:rFonts w:eastAsia="Times New Roman"/>
        </w:rPr>
      </w:pPr>
    </w:p>
    <w:p w:rsidR="00000000" w:rsidRDefault="00775A8F">
      <w:pPr>
        <w:jc w:val="center"/>
        <w:rPr>
          <w:rFonts w:eastAsia="Times New Roman"/>
        </w:rPr>
      </w:pPr>
      <w:r>
        <w:rPr>
          <w:rFonts w:eastAsia="Times New Roman"/>
          <w:b/>
          <w:bCs/>
          <w:color w:val="000000"/>
          <w:sz w:val="20"/>
          <w:szCs w:val="20"/>
        </w:rPr>
        <w:t>(212) 554-1234</w:t>
      </w:r>
      <w:r>
        <w:rPr>
          <w:rFonts w:eastAsia="Times New Roman"/>
          <w:b/>
          <w:bCs/>
          <w:color w:val="000000"/>
          <w:sz w:val="20"/>
          <w:szCs w:val="20"/>
        </w:rPr>
        <w:t xml:space="preserve"> </w:t>
      </w:r>
    </w:p>
    <w:p w:rsidR="00000000" w:rsidRDefault="00775A8F">
      <w:pPr>
        <w:jc w:val="center"/>
        <w:divId w:val="2120371194"/>
        <w:rPr>
          <w:rFonts w:eastAsia="Times New Roman"/>
        </w:rPr>
      </w:pPr>
      <w:r>
        <w:rPr>
          <w:rFonts w:eastAsia="Times New Roman"/>
          <w:color w:val="000000"/>
          <w:sz w:val="16"/>
          <w:szCs w:val="16"/>
        </w:rPr>
        <w:t>(Registrant’s telephone number, including area code</w:t>
      </w:r>
      <w:r>
        <w:rPr>
          <w:rFonts w:eastAsia="Times New Roman"/>
          <w:color w:val="000000"/>
          <w:sz w:val="16"/>
          <w:szCs w:val="16"/>
        </w:rPr>
        <w:t>)</w:t>
      </w:r>
    </w:p>
    <w:p w:rsidR="00000000" w:rsidRDefault="00775A8F">
      <w:pPr>
        <w:divId w:val="1397822210"/>
        <w:rPr>
          <w:rFonts w:eastAsia="Times New Roman"/>
        </w:rPr>
      </w:pPr>
      <w:r>
        <w:rPr>
          <w:rFonts w:eastAsia="Times New Roman"/>
          <w:color w:val="000000"/>
          <w:sz w:val="16"/>
          <w:szCs w:val="16"/>
        </w:rPr>
        <w:t>Securities registered pursuant to Section 12(b) of the Act</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3"/>
        <w:gridCol w:w="2872"/>
        <w:gridCol w:w="73"/>
        <w:gridCol w:w="36"/>
        <w:gridCol w:w="36"/>
        <w:gridCol w:w="36"/>
        <w:gridCol w:w="70"/>
        <w:gridCol w:w="2241"/>
        <w:gridCol w:w="73"/>
        <w:gridCol w:w="36"/>
        <w:gridCol w:w="36"/>
        <w:gridCol w:w="36"/>
        <w:gridCol w:w="70"/>
        <w:gridCol w:w="2545"/>
        <w:gridCol w:w="73"/>
      </w:tblGrid>
      <w:tr w:rsidR="00000000">
        <w:trPr>
          <w:divId w:val="416749959"/>
          <w:jc w:val="center"/>
        </w:trPr>
        <w:tc>
          <w:tcPr>
            <w:tcW w:w="50" w:type="pct"/>
            <w:vAlign w:val="center"/>
            <w:hideMark/>
          </w:tcPr>
          <w:p w:rsidR="00000000" w:rsidRDefault="00775A8F">
            <w:pPr>
              <w:rPr>
                <w:rFonts w:eastAsia="Times New Roman"/>
              </w:rPr>
            </w:pPr>
          </w:p>
        </w:tc>
        <w:tc>
          <w:tcPr>
            <w:tcW w:w="173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35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5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416749959"/>
          <w:jc w:val="center"/>
        </w:trPr>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Title of each clas</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Trading symbo</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Name of each exchange on which registere</w:t>
            </w:r>
            <w:r>
              <w:rPr>
                <w:rFonts w:eastAsia="Times New Roman"/>
                <w:b/>
                <w:bCs/>
                <w:color w:val="000000"/>
                <w:sz w:val="16"/>
                <w:szCs w:val="16"/>
              </w:rPr>
              <w:t>d</w:t>
            </w:r>
          </w:p>
        </w:tc>
      </w:tr>
      <w:tr w:rsidR="00000000">
        <w:trPr>
          <w:divId w:val="41674995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Common Stoc</w:t>
            </w:r>
            <w:r>
              <w:rPr>
                <w:rFonts w:eastAsia="Times New Roman"/>
                <w:color w:val="000000"/>
                <w:sz w:val="16"/>
                <w:szCs w:val="16"/>
              </w:rPr>
              <w:t>k</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EQ</w:t>
            </w:r>
            <w:r>
              <w:rPr>
                <w:rFonts w:eastAsia="Times New Roman"/>
                <w:color w:val="000000"/>
                <w:sz w:val="16"/>
                <w:szCs w:val="16"/>
              </w:rPr>
              <w:t>H</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New York Stock Exchang</w:t>
            </w:r>
            <w:r>
              <w:rPr>
                <w:rFonts w:eastAsia="Times New Roman"/>
                <w:color w:val="000000"/>
                <w:sz w:val="16"/>
                <w:szCs w:val="16"/>
              </w:rPr>
              <w:t>e</w:t>
            </w:r>
          </w:p>
        </w:tc>
      </w:tr>
      <w:tr w:rsidR="00000000">
        <w:trPr>
          <w:divId w:val="416749959"/>
          <w:jc w:val="center"/>
        </w:trPr>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color w:val="000000"/>
                <w:sz w:val="16"/>
                <w:szCs w:val="16"/>
              </w:rPr>
              <w:t xml:space="preserve">Depositary Shares, each representing a 1/1,000th interest in a share of Fixed Rate Noncumulative Perpetual Preferred Stock, Series </w:t>
            </w:r>
            <w:r>
              <w:rPr>
                <w:rFonts w:eastAsia="Times New Roman"/>
                <w:color w:val="000000"/>
                <w:sz w:val="16"/>
                <w:szCs w:val="16"/>
              </w:rPr>
              <w:t>A</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color w:val="000000"/>
                <w:sz w:val="16"/>
                <w:szCs w:val="16"/>
              </w:rPr>
              <w:t xml:space="preserve">EQH PR </w:t>
            </w:r>
            <w:r>
              <w:rPr>
                <w:rFonts w:eastAsia="Times New Roman"/>
                <w:color w:val="000000"/>
                <w:sz w:val="16"/>
                <w:szCs w:val="16"/>
              </w:rPr>
              <w:t>A</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color w:val="000000"/>
                <w:sz w:val="16"/>
                <w:szCs w:val="16"/>
              </w:rPr>
              <w:t>New York Stock Exchang</w:t>
            </w:r>
            <w:r>
              <w:rPr>
                <w:rFonts w:eastAsia="Times New Roman"/>
                <w:color w:val="000000"/>
                <w:sz w:val="16"/>
                <w:szCs w:val="16"/>
              </w:rPr>
              <w:t>e</w:t>
            </w:r>
          </w:p>
        </w:tc>
      </w:tr>
    </w:tbl>
    <w:p w:rsidR="00000000" w:rsidRDefault="00775A8F">
      <w:pPr>
        <w:divId w:val="1484348390"/>
        <w:rPr>
          <w:rFonts w:eastAsia="Times New Roman"/>
        </w:rPr>
      </w:pPr>
      <w:r>
        <w:rPr>
          <w:rFonts w:eastAsia="Times New Roman"/>
          <w:color w:val="000000"/>
          <w:sz w:val="16"/>
          <w:szCs w:val="16"/>
        </w:rPr>
        <w:t>Securities registered pursuant to Section 12(g) of the Act: Non</w:t>
      </w:r>
      <w:r>
        <w:rPr>
          <w:rFonts w:eastAsia="Times New Roman"/>
          <w:color w:val="000000"/>
          <w:sz w:val="16"/>
          <w:szCs w:val="16"/>
        </w:rPr>
        <w:t>e</w:t>
      </w:r>
    </w:p>
    <w:p w:rsidR="00000000" w:rsidRDefault="00775A8F">
      <w:pPr>
        <w:divId w:val="440078835"/>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w:t>
      </w:r>
      <w:r>
        <w:rPr>
          <w:rFonts w:eastAsia="Times New Roman"/>
          <w:color w:val="000000"/>
          <w:sz w:val="16"/>
          <w:szCs w:val="16"/>
        </w:rPr>
        <w:t>or such shorter period that the registrant was required to file such reports), and (2) has been subject to such filing requirements for the past 90 days.    Yes</w:t>
      </w:r>
      <w:r>
        <w:rPr>
          <w:rFonts w:eastAsia="Times New Roman"/>
          <w:color w:val="000000"/>
          <w:sz w:val="16"/>
          <w:szCs w:val="16"/>
        </w:rPr>
        <w:t> </w:t>
      </w:r>
      <w:r>
        <w:rPr>
          <w:rFonts w:ascii="Segoe UI Symbol" w:eastAsia="Times New Roman" w:hAnsi="Segoe UI Symbol" w:cs="Segoe UI Symbol"/>
          <w:color w:val="000000"/>
          <w:sz w:val="18"/>
          <w:szCs w:val="18"/>
        </w:rPr>
        <w:t>☒</w:t>
      </w:r>
      <w:r>
        <w:rPr>
          <w:rFonts w:eastAsia="Times New Roman"/>
          <w:color w:val="000000"/>
          <w:sz w:val="16"/>
          <w:szCs w:val="16"/>
        </w:rPr>
        <w:t>    No</w:t>
      </w:r>
      <w:r>
        <w:rPr>
          <w:rFonts w:eastAsia="Times New Roman"/>
          <w:color w:val="000000"/>
          <w:sz w:val="16"/>
          <w:szCs w:val="16"/>
        </w:rPr>
        <w:t> </w:t>
      </w:r>
      <w:r>
        <w:rPr>
          <w:rFonts w:ascii="Segoe UI Symbol" w:eastAsia="Times New Roman" w:hAnsi="Segoe UI Symbol" w:cs="Segoe UI Symbol"/>
          <w:color w:val="000000"/>
          <w:sz w:val="18"/>
          <w:szCs w:val="18"/>
        </w:rPr>
        <w:t>☐</w:t>
      </w:r>
    </w:p>
    <w:p w:rsidR="00000000" w:rsidRDefault="00775A8F">
      <w:pPr>
        <w:divId w:val="922564561"/>
        <w:rPr>
          <w:rFonts w:eastAsia="Times New Roman"/>
        </w:rPr>
      </w:pPr>
      <w:r>
        <w:rPr>
          <w:rFonts w:eastAsia="Times New Roman"/>
          <w:color w:val="000000"/>
          <w:sz w:val="16"/>
          <w:szCs w:val="16"/>
        </w:rPr>
        <w:t>Indicate by check mark whether the registrant has submitted electronically every Inte</w:t>
      </w:r>
      <w:r>
        <w:rPr>
          <w:rFonts w:eastAsia="Times New Roman"/>
          <w:color w:val="000000"/>
          <w:sz w:val="16"/>
          <w:szCs w:val="16"/>
        </w:rPr>
        <w:t>ractive Data File required to be submitted pursuant to Rule 405 of Regulation S-T (§232.405 of this chapter) during the preceding 12 months (or for such shorter period that the registrant was required to submit such files).    Yes </w:t>
      </w:r>
      <w:r>
        <w:rPr>
          <w:rFonts w:eastAsia="Times New Roman"/>
          <w:color w:val="000000"/>
          <w:sz w:val="16"/>
          <w:szCs w:val="16"/>
        </w:rPr>
        <w:t> </w:t>
      </w:r>
      <w:r>
        <w:rPr>
          <w:rFonts w:ascii="Segoe UI Symbol" w:eastAsia="Times New Roman" w:hAnsi="Segoe UI Symbol" w:cs="Segoe UI Symbol"/>
          <w:color w:val="000000"/>
          <w:sz w:val="18"/>
          <w:szCs w:val="18"/>
        </w:rPr>
        <w:t>☒</w:t>
      </w:r>
      <w:r>
        <w:rPr>
          <w:rFonts w:eastAsia="Times New Roman"/>
          <w:color w:val="000000"/>
          <w:sz w:val="16"/>
          <w:szCs w:val="16"/>
        </w:rPr>
        <w:t>    No </w:t>
      </w:r>
      <w:r>
        <w:rPr>
          <w:rFonts w:eastAsia="Times New Roman"/>
          <w:color w:val="000000"/>
          <w:sz w:val="16"/>
          <w:szCs w:val="16"/>
        </w:rPr>
        <w:t> </w:t>
      </w:r>
      <w:r>
        <w:rPr>
          <w:rFonts w:ascii="Segoe UI Symbol" w:eastAsia="Times New Roman" w:hAnsi="Segoe UI Symbol" w:cs="Segoe UI Symbol"/>
          <w:color w:val="000000"/>
          <w:sz w:val="18"/>
          <w:szCs w:val="18"/>
        </w:rPr>
        <w:t>☐</w:t>
      </w:r>
    </w:p>
    <w:p w:rsidR="00000000" w:rsidRDefault="00775A8F">
      <w:pPr>
        <w:divId w:val="1864854194"/>
        <w:rPr>
          <w:rFonts w:eastAsia="Times New Roman"/>
        </w:rPr>
      </w:pPr>
      <w:r>
        <w:rPr>
          <w:rFonts w:eastAsia="Times New Roman"/>
          <w:color w:val="000000"/>
          <w:sz w:val="16"/>
          <w:szCs w:val="16"/>
        </w:rPr>
        <w:t>Indicate by c</w:t>
      </w:r>
      <w:r>
        <w:rPr>
          <w:rFonts w:eastAsia="Times New Roman"/>
          <w:color w:val="000000"/>
          <w:sz w:val="16"/>
          <w:szCs w:val="16"/>
        </w:rPr>
        <w:t xml:space="preserve">heck mark whether the registrant is a large accelerated filer, an accelerated filer, a non-accelerated filer, a smaller reporting company or an “emerging growth company”. See definition of “accelerated filer,” “large accelerated filer,” “smaller reporting </w:t>
      </w:r>
      <w:r>
        <w:rPr>
          <w:rFonts w:eastAsia="Times New Roman"/>
          <w:color w:val="000000"/>
          <w:sz w:val="16"/>
          <w:szCs w:val="16"/>
        </w:rPr>
        <w:t>company” and “emerging growth company” in Rule 12b-2 of the Exchange Act</w:t>
      </w:r>
      <w:r>
        <w:rPr>
          <w:rFonts w:eastAsia="Times New Roman"/>
          <w:color w:val="000000"/>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1189"/>
        <w:gridCol w:w="43"/>
        <w:gridCol w:w="37"/>
        <w:gridCol w:w="163"/>
        <w:gridCol w:w="36"/>
        <w:gridCol w:w="81"/>
        <w:gridCol w:w="950"/>
        <w:gridCol w:w="80"/>
        <w:gridCol w:w="37"/>
        <w:gridCol w:w="163"/>
        <w:gridCol w:w="36"/>
        <w:gridCol w:w="47"/>
        <w:gridCol w:w="1071"/>
        <w:gridCol w:w="46"/>
        <w:gridCol w:w="37"/>
        <w:gridCol w:w="163"/>
        <w:gridCol w:w="36"/>
        <w:gridCol w:w="91"/>
        <w:gridCol w:w="1610"/>
        <w:gridCol w:w="90"/>
        <w:gridCol w:w="37"/>
        <w:gridCol w:w="163"/>
        <w:gridCol w:w="36"/>
        <w:gridCol w:w="37"/>
        <w:gridCol w:w="1380"/>
        <w:gridCol w:w="43"/>
        <w:gridCol w:w="37"/>
        <w:gridCol w:w="163"/>
        <w:gridCol w:w="36"/>
        <w:gridCol w:w="36"/>
        <w:gridCol w:w="36"/>
        <w:gridCol w:w="36"/>
        <w:gridCol w:w="36"/>
        <w:gridCol w:w="36"/>
        <w:gridCol w:w="36"/>
        <w:gridCol w:w="36"/>
        <w:gridCol w:w="36"/>
        <w:gridCol w:w="36"/>
      </w:tblGrid>
      <w:tr w:rsidR="00000000">
        <w:trPr>
          <w:gridAfter w:val="9"/>
          <w:divId w:val="2128698189"/>
        </w:trPr>
        <w:tc>
          <w:tcPr>
            <w:tcW w:w="50" w:type="pct"/>
            <w:vAlign w:val="center"/>
            <w:hideMark/>
          </w:tcPr>
          <w:p w:rsidR="00000000" w:rsidRDefault="00775A8F">
            <w:pPr>
              <w:rPr>
                <w:rFonts w:eastAsia="Times New Roman"/>
              </w:rPr>
            </w:pPr>
          </w:p>
        </w:tc>
        <w:tc>
          <w:tcPr>
            <w:tcW w:w="7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1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1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1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1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1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90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1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r>
      <w:tr w:rsidR="00000000">
        <w:trPr>
          <w:gridAfter w:val="9"/>
          <w:divId w:val="2128698189"/>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Large accelerated file</w:t>
            </w:r>
            <w:r>
              <w:rPr>
                <w:rFonts w:eastAsia="Times New Roman"/>
                <w:color w:val="000000"/>
                <w:sz w:val="16"/>
                <w:szCs w:val="16"/>
              </w:rPr>
              <w:t>r</w:t>
            </w:r>
          </w:p>
        </w:tc>
        <w:tc>
          <w:tcPr>
            <w:tcW w:w="0" w:type="auto"/>
            <w:gridSpan w:val="3"/>
            <w:tcMar>
              <w:top w:w="30" w:type="dxa"/>
              <w:left w:w="20" w:type="dxa"/>
              <w:bottom w:w="30" w:type="dxa"/>
              <w:right w:w="20" w:type="dxa"/>
            </w:tcMar>
            <w:vAlign w:val="bottom"/>
            <w:hideMark/>
          </w:tcPr>
          <w:p w:rsidR="00000000" w:rsidRDefault="00775A8F">
            <w:pPr>
              <w:divId w:val="1682856885"/>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Accelerated file</w:t>
            </w:r>
            <w:r>
              <w:rPr>
                <w:rFonts w:eastAsia="Times New Roman"/>
                <w:color w:val="000000"/>
                <w:sz w:val="16"/>
                <w:szCs w:val="16"/>
              </w:rPr>
              <w:t>r</w:t>
            </w:r>
          </w:p>
        </w:tc>
        <w:tc>
          <w:tcPr>
            <w:tcW w:w="0" w:type="auto"/>
            <w:gridSpan w:val="3"/>
            <w:tcMar>
              <w:top w:w="30" w:type="dxa"/>
              <w:left w:w="20" w:type="dxa"/>
              <w:bottom w:w="30" w:type="dxa"/>
              <w:right w:w="20" w:type="dxa"/>
            </w:tcMar>
            <w:vAlign w:val="bottom"/>
            <w:hideMark/>
          </w:tcPr>
          <w:p w:rsidR="00000000" w:rsidRDefault="00775A8F">
            <w:pPr>
              <w:divId w:val="1269660177"/>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Non-accelerated file</w:t>
            </w:r>
            <w:r>
              <w:rPr>
                <w:rFonts w:eastAsia="Times New Roman"/>
                <w:color w:val="000000"/>
                <w:sz w:val="16"/>
                <w:szCs w:val="16"/>
              </w:rPr>
              <w:t>r</w:t>
            </w:r>
          </w:p>
        </w:tc>
        <w:tc>
          <w:tcPr>
            <w:tcW w:w="0" w:type="auto"/>
            <w:gridSpan w:val="3"/>
            <w:tcMar>
              <w:top w:w="30" w:type="dxa"/>
              <w:left w:w="20" w:type="dxa"/>
              <w:bottom w:w="30" w:type="dxa"/>
              <w:right w:w="20" w:type="dxa"/>
            </w:tcMar>
            <w:vAlign w:val="bottom"/>
            <w:hideMark/>
          </w:tcPr>
          <w:p w:rsidR="00000000" w:rsidRDefault="00775A8F">
            <w:pPr>
              <w:divId w:val="85197810"/>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Smaller reporting compan</w:t>
            </w:r>
            <w:r>
              <w:rPr>
                <w:rFonts w:eastAsia="Times New Roman"/>
                <w:color w:val="000000"/>
                <w:sz w:val="16"/>
                <w:szCs w:val="16"/>
              </w:rPr>
              <w:t>y</w:t>
            </w:r>
          </w:p>
        </w:tc>
        <w:tc>
          <w:tcPr>
            <w:tcW w:w="0" w:type="auto"/>
            <w:gridSpan w:val="3"/>
            <w:tcMar>
              <w:top w:w="30" w:type="dxa"/>
              <w:left w:w="20" w:type="dxa"/>
              <w:bottom w:w="30" w:type="dxa"/>
              <w:right w:w="20" w:type="dxa"/>
            </w:tcMar>
            <w:vAlign w:val="bottom"/>
            <w:hideMark/>
          </w:tcPr>
          <w:p w:rsidR="00000000" w:rsidRDefault="00775A8F">
            <w:pPr>
              <w:divId w:val="1551306864"/>
              <w:rPr>
                <w:rFonts w:eastAsia="Times New Roman"/>
              </w:rPr>
            </w:pPr>
            <w:r>
              <w:rPr>
                <w:rFonts w:ascii="Segoe UI Symbol" w:eastAsia="Times New Roman" w:hAnsi="Segoe UI Symbol" w:cs="Segoe UI Symbol"/>
                <w:color w:val="000000"/>
                <w:sz w:val="16"/>
                <w:szCs w:val="16"/>
              </w:rPr>
              <w:t>☐</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Emerging growth compan</w:t>
            </w:r>
            <w:r>
              <w:rPr>
                <w:rFonts w:eastAsia="Times New Roman"/>
                <w:color w:val="000000"/>
                <w:sz w:val="16"/>
                <w:szCs w:val="16"/>
              </w:rPr>
              <w:t>y</w:t>
            </w:r>
          </w:p>
        </w:tc>
        <w:tc>
          <w:tcPr>
            <w:tcW w:w="0" w:type="auto"/>
            <w:gridSpan w:val="3"/>
            <w:tcMar>
              <w:top w:w="30" w:type="dxa"/>
              <w:left w:w="20" w:type="dxa"/>
              <w:bottom w:w="30" w:type="dxa"/>
              <w:right w:w="20" w:type="dxa"/>
            </w:tcMar>
            <w:vAlign w:val="bottom"/>
            <w:hideMark/>
          </w:tcPr>
          <w:p w:rsidR="00000000" w:rsidRDefault="00775A8F">
            <w:pPr>
              <w:divId w:val="345980237"/>
              <w:rPr>
                <w:rFonts w:eastAsia="Times New Roman"/>
              </w:rPr>
            </w:pPr>
            <w:r>
              <w:rPr>
                <w:rFonts w:ascii="Segoe UI Symbol" w:eastAsia="Times New Roman" w:hAnsi="Segoe UI Symbol" w:cs="Segoe UI Symbol"/>
                <w:color w:val="000000"/>
                <w:sz w:val="16"/>
                <w:szCs w:val="16"/>
              </w:rPr>
              <w:t>☐</w:t>
            </w:r>
          </w:p>
        </w:tc>
      </w:tr>
      <w:tr w:rsidR="00000000">
        <w:trPr>
          <w:divId w:val="2128698189"/>
        </w:trPr>
        <w:tc>
          <w:tcPr>
            <w:tcW w:w="0" w:type="auto"/>
            <w:gridSpan w:val="30"/>
            <w:tcMar>
              <w:top w:w="30" w:type="dxa"/>
              <w:left w:w="20" w:type="dxa"/>
              <w:bottom w:w="30" w:type="dxa"/>
              <w:right w:w="20" w:type="dxa"/>
            </w:tcMar>
            <w:vAlign w:val="center"/>
            <w:hideMark/>
          </w:tcPr>
          <w:p w:rsidR="00000000" w:rsidRDefault="00775A8F">
            <w:pPr>
              <w:jc w:val="both"/>
              <w:rPr>
                <w:rFonts w:eastAsia="Times New Roman"/>
              </w:rPr>
            </w:pPr>
            <w:r>
              <w:rPr>
                <w:rFonts w:eastAsia="Times New Roman"/>
                <w:color w:val="000000"/>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 (a) of the Exchange Act.</w:t>
            </w:r>
            <w:r>
              <w:rPr>
                <w:rFonts w:eastAsia="Times New Roman"/>
                <w:color w:val="000000"/>
                <w:sz w:val="16"/>
                <w:szCs w:val="16"/>
              </w:rPr>
              <w:t xml:space="preserve"> </w:t>
            </w:r>
            <w:r>
              <w:rPr>
                <w:rFonts w:ascii="Wingdings" w:eastAsia="Times New Roman" w:hAnsi="Wingdings"/>
                <w:color w:val="000000"/>
                <w:sz w:val="16"/>
                <w:szCs w:val="16"/>
              </w:rPr>
              <w:t>¨</w:t>
            </w:r>
          </w:p>
        </w:tc>
        <w:tc>
          <w:tcPr>
            <w:tcW w:w="0" w:type="auto"/>
            <w:vAlign w:val="center"/>
            <w:hideMark/>
          </w:tcPr>
          <w:p w:rsidR="00000000" w:rsidRDefault="00775A8F">
            <w:pPr>
              <w:jc w:val="both"/>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949899453"/>
        <w:rPr>
          <w:rFonts w:eastAsia="Times New Roman"/>
        </w:rPr>
      </w:pPr>
      <w:r>
        <w:rPr>
          <w:rFonts w:eastAsia="Times New Roman"/>
          <w:color w:val="000000"/>
          <w:sz w:val="16"/>
          <w:szCs w:val="16"/>
        </w:rPr>
        <w:t>Indicate by check mark whether the registrant is a shell company (as defined in Rule 12b-2 of the Exchange Act). Yes</w:t>
      </w:r>
      <w:r>
        <w:rPr>
          <w:rFonts w:eastAsia="Times New Roman"/>
          <w:color w:val="000000"/>
          <w:sz w:val="16"/>
          <w:szCs w:val="16"/>
        </w:rPr>
        <w:t> </w:t>
      </w:r>
      <w:r>
        <w:rPr>
          <w:rFonts w:ascii="Segoe UI Symbol" w:eastAsia="Times New Roman" w:hAnsi="Segoe UI Symbol" w:cs="Segoe UI Symbol"/>
          <w:color w:val="000000"/>
          <w:sz w:val="18"/>
          <w:szCs w:val="18"/>
        </w:rPr>
        <w:t>☐</w:t>
      </w:r>
      <w:r>
        <w:rPr>
          <w:rFonts w:ascii="Wingdings" w:eastAsia="Times New Roman" w:hAnsi="Wingdings"/>
          <w:b/>
          <w:bCs/>
          <w:color w:val="000000"/>
          <w:sz w:val="16"/>
          <w:szCs w:val="16"/>
        </w:rPr>
        <w:t xml:space="preserve"> </w:t>
      </w:r>
      <w:r>
        <w:rPr>
          <w:rFonts w:eastAsia="Times New Roman"/>
          <w:color w:val="000000"/>
          <w:sz w:val="16"/>
          <w:szCs w:val="16"/>
        </w:rPr>
        <w:t>No</w:t>
      </w:r>
      <w:r>
        <w:rPr>
          <w:rFonts w:eastAsia="Times New Roman"/>
          <w:color w:val="000000"/>
          <w:sz w:val="16"/>
          <w:szCs w:val="16"/>
        </w:rPr>
        <w:t xml:space="preserve"> </w:t>
      </w:r>
      <w:r>
        <w:rPr>
          <w:rFonts w:ascii="Segoe UI Symbol" w:eastAsia="Times New Roman" w:hAnsi="Segoe UI Symbol" w:cs="Segoe UI Symbol"/>
          <w:color w:val="000000"/>
          <w:sz w:val="18"/>
          <w:szCs w:val="18"/>
        </w:rPr>
        <w:t>☒</w:t>
      </w:r>
    </w:p>
    <w:p w:rsidR="00000000" w:rsidRDefault="00775A8F">
      <w:pPr>
        <w:divId w:val="70857794"/>
        <w:rPr>
          <w:rFonts w:eastAsia="Times New Roman"/>
        </w:rPr>
      </w:pPr>
      <w:r>
        <w:rPr>
          <w:rFonts w:eastAsia="Times New Roman"/>
          <w:color w:val="000000"/>
          <w:sz w:val="16"/>
          <w:szCs w:val="16"/>
        </w:rPr>
        <w:t>As of August 3, 2020, 449,411,503 shares of the registrant’s Common Stock, $0.01 par value, were outstanding</w:t>
      </w:r>
      <w:r>
        <w:rPr>
          <w:rFonts w:eastAsia="Times New Roman"/>
          <w:color w:val="000000"/>
          <w:sz w:val="16"/>
          <w:szCs w:val="16"/>
        </w:rPr>
        <w:t>.</w:t>
      </w:r>
    </w:p>
    <w:p w:rsidR="00000000" w:rsidRDefault="00775A8F">
      <w:pPr>
        <w:divId w:val="1298684933"/>
        <w:rPr>
          <w:rFonts w:eastAsia="Times New Roman"/>
        </w:rPr>
      </w:pPr>
    </w:p>
    <w:p w:rsidR="00000000" w:rsidRDefault="00775A8F">
      <w:pPr>
        <w:rPr>
          <w:rFonts w:eastAsia="Times New Roman"/>
        </w:rPr>
      </w:pPr>
      <w:r>
        <w:rPr>
          <w:rFonts w:eastAsia="Times New Roman"/>
        </w:rPr>
        <w:pict>
          <v:rect id="_x0000_i1026" style="width:0;height:1.5pt" o:hralign="center" o:hrstd="t" o:hr="t" fillcolor="#a0a0a0" stroked="f"/>
        </w:pict>
      </w:r>
    </w:p>
    <w:p w:rsidR="00000000" w:rsidRDefault="00775A8F">
      <w:pPr>
        <w:divId w:val="813452377"/>
        <w:rPr>
          <w:rFonts w:eastAsia="Times New Roman"/>
        </w:rPr>
      </w:pPr>
    </w:p>
    <w:p w:rsidR="00000000" w:rsidRDefault="00775A8F">
      <w:pPr>
        <w:jc w:val="center"/>
        <w:divId w:val="1555508167"/>
        <w:rPr>
          <w:rFonts w:eastAsia="Times New Roman"/>
        </w:rPr>
      </w:pPr>
      <w:r>
        <w:rPr>
          <w:rFonts w:eastAsia="Times New Roman"/>
          <w:b/>
          <w:bCs/>
          <w:color w:val="000000"/>
          <w:sz w:val="20"/>
          <w:szCs w:val="20"/>
        </w:rPr>
        <w:t>TABLE OF CONTENT</w:t>
      </w:r>
      <w:r>
        <w:rPr>
          <w:rFonts w:eastAsia="Times New Roman"/>
          <w:b/>
          <w:bCs/>
          <w:color w:val="000000"/>
          <w:sz w:val="20"/>
          <w:szCs w:val="20"/>
        </w:rPr>
        <w:t>S</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487"/>
        <w:gridCol w:w="96"/>
        <w:gridCol w:w="36"/>
        <w:gridCol w:w="6854"/>
        <w:gridCol w:w="36"/>
        <w:gridCol w:w="91"/>
        <w:gridCol w:w="209"/>
        <w:gridCol w:w="90"/>
        <w:gridCol w:w="104"/>
        <w:gridCol w:w="103"/>
        <w:gridCol w:w="103"/>
      </w:tblGrid>
      <w:tr w:rsidR="00000000">
        <w:trPr>
          <w:gridAfter w:val="3"/>
          <w:divId w:val="268860012"/>
          <w:jc w:val="center"/>
        </w:trPr>
        <w:tc>
          <w:tcPr>
            <w:tcW w:w="50" w:type="pct"/>
            <w:vAlign w:val="center"/>
            <w:hideMark/>
          </w:tcPr>
          <w:p w:rsidR="00000000" w:rsidRDefault="00775A8F">
            <w:pPr>
              <w:jc w:val="center"/>
              <w:rPr>
                <w:rFonts w:eastAsia="Times New Roman"/>
              </w:rPr>
            </w:pPr>
          </w:p>
        </w:tc>
        <w:tc>
          <w:tcPr>
            <w:tcW w:w="25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3"/>
          <w:divId w:val="26886001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color w:val="000000"/>
                <w:sz w:val="18"/>
                <w:szCs w:val="18"/>
              </w:rPr>
              <w:t>Pag</w:t>
            </w:r>
            <w:r>
              <w:rPr>
                <w:rFonts w:eastAsia="Times New Roman"/>
                <w:color w:val="000000"/>
                <w:sz w:val="18"/>
                <w:szCs w:val="18"/>
              </w:rPr>
              <w:t>e</w:t>
            </w:r>
          </w:p>
        </w:tc>
      </w:tr>
      <w:tr w:rsidR="00000000">
        <w:trPr>
          <w:divId w:val="268860012"/>
          <w:jc w:val="center"/>
        </w:trPr>
        <w:tc>
          <w:tcPr>
            <w:tcW w:w="0" w:type="auto"/>
            <w:gridSpan w:val="6"/>
            <w:tcMar>
              <w:top w:w="30" w:type="dxa"/>
              <w:left w:w="20" w:type="dxa"/>
              <w:bottom w:w="30" w:type="dxa"/>
              <w:right w:w="20" w:type="dxa"/>
            </w:tcMar>
            <w:vAlign w:val="center"/>
            <w:hideMark/>
          </w:tcPr>
          <w:p w:rsidR="00000000" w:rsidRDefault="00775A8F">
            <w:pPr>
              <w:divId w:val="204679796"/>
              <w:rPr>
                <w:rFonts w:eastAsia="Times New Roman"/>
              </w:rPr>
            </w:pPr>
            <w:hyperlink w:anchor="i4261c54b478a49e1ad39b1a3e7c75d2d_16" w:history="1">
              <w:r>
                <w:rPr>
                  <w:rStyle w:val="a3"/>
                  <w:rFonts w:eastAsia="Times New Roman"/>
                  <w:b/>
                  <w:bCs/>
                  <w:sz w:val="18"/>
                  <w:szCs w:val="18"/>
                </w:rPr>
                <w:t>PART I - FINANCIAL INFORMATION</w:t>
              </w:r>
            </w:hyperlink>
          </w:p>
        </w:tc>
        <w:tc>
          <w:tcPr>
            <w:tcW w:w="0" w:type="auto"/>
            <w:gridSpan w:val="3"/>
            <w:vAlign w:val="center"/>
            <w:hideMark/>
          </w:tcPr>
          <w:p w:rsidR="00000000" w:rsidRDefault="00775A8F">
            <w:pP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divId w:val="1256741155"/>
              <w:rPr>
                <w:rFonts w:eastAsia="Times New Roman"/>
              </w:rPr>
            </w:pPr>
            <w:hyperlink w:anchor="i4261c54b478a49e1ad39b1a3e7c75d2d_505" w:history="1">
              <w:r>
                <w:rPr>
                  <w:rStyle w:val="a3"/>
                  <w:rFonts w:eastAsia="Times New Roman"/>
                  <w:sz w:val="18"/>
                  <w:szCs w:val="18"/>
                </w:rPr>
                <w:t>Item 1.</w:t>
              </w:r>
            </w:hyperlink>
          </w:p>
        </w:tc>
        <w:tc>
          <w:tcPr>
            <w:tcW w:w="0" w:type="auto"/>
            <w:gridSpan w:val="3"/>
            <w:tcMar>
              <w:top w:w="30" w:type="dxa"/>
              <w:left w:w="20" w:type="dxa"/>
              <w:bottom w:w="30" w:type="dxa"/>
              <w:right w:w="20" w:type="dxa"/>
            </w:tcMar>
            <w:vAlign w:val="center"/>
            <w:hideMark/>
          </w:tcPr>
          <w:p w:rsidR="00000000" w:rsidRDefault="00775A8F">
            <w:pPr>
              <w:divId w:val="1126854981"/>
              <w:rPr>
                <w:rFonts w:eastAsia="Times New Roman"/>
              </w:rPr>
            </w:pPr>
            <w:hyperlink w:anchor="i4261c54b478a49e1ad39b1a3e7c75d2d_19" w:history="1">
              <w:r>
                <w:rPr>
                  <w:rStyle w:val="a3"/>
                  <w:rFonts w:eastAsia="Times New Roman"/>
                  <w:sz w:val="18"/>
                  <w:szCs w:val="18"/>
                </w:rPr>
                <w:t>Consolidated Financial Statements</w:t>
              </w:r>
            </w:hyperlink>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775A8F">
            <w:pPr>
              <w:divId w:val="67271563"/>
              <w:rPr>
                <w:rFonts w:eastAsia="Times New Roman"/>
              </w:rPr>
            </w:pPr>
            <w:hyperlink w:anchor="i4261c54b478a49e1ad39b1a3e7c75d2d_22" w:history="1">
              <w:r>
                <w:rPr>
                  <w:rStyle w:val="a3"/>
                  <w:rFonts w:eastAsia="Times New Roman"/>
                  <w:sz w:val="18"/>
                  <w:szCs w:val="18"/>
                </w:rPr>
                <w:t>Consolidated Balance Sheets, June 30, 2020</w:t>
              </w:r>
            </w:hyperlink>
            <w:hyperlink w:anchor="i4261c54b478a49e1ad39b1a3e7c75d2d_22" w:history="1">
              <w:r>
                <w:rPr>
                  <w:rStyle w:val="a3"/>
                  <w:rFonts w:eastAsia="Times New Roman"/>
                  <w:sz w:val="18"/>
                  <w:szCs w:val="18"/>
                </w:rPr>
                <w:t xml:space="preserve"> </w:t>
              </w:r>
            </w:hyperlink>
            <w:hyperlink w:anchor="i4261c54b478a49e1ad39b1a3e7c75d2d_22" w:history="1">
              <w:r>
                <w:rPr>
                  <w:rStyle w:val="a3"/>
                  <w:rFonts w:eastAsia="Times New Roman"/>
                  <w:sz w:val="18"/>
                  <w:szCs w:val="18"/>
                </w:rPr>
                <w:t>(Unaudited)</w:t>
              </w:r>
            </w:hyperlink>
            <w:hyperlink w:anchor="i4261c54b478a49e1ad39b1a3e7c75d2d_22" w:history="1">
              <w:r>
                <w:rPr>
                  <w:rStyle w:val="a3"/>
                  <w:rFonts w:eastAsia="Times New Roman"/>
                  <w:sz w:val="18"/>
                  <w:szCs w:val="18"/>
                </w:rPr>
                <w:t xml:space="preserve"> </w:t>
              </w:r>
            </w:hyperlink>
            <w:hyperlink w:anchor="i4261c54b478a49e1ad39b1a3e7c75d2d_22" w:history="1">
              <w:r>
                <w:rPr>
                  <w:rStyle w:val="a3"/>
                  <w:rFonts w:eastAsia="Times New Roman"/>
                  <w:sz w:val="18"/>
                  <w:szCs w:val="18"/>
                </w:rPr>
                <w:t>and December 31, 2019</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22" w:history="1">
              <w:r>
                <w:rPr>
                  <w:rStyle w:val="a3"/>
                  <w:rFonts w:eastAsia="Times New Roman"/>
                  <w:sz w:val="18"/>
                  <w:szCs w:val="18"/>
                </w:rPr>
                <w:t>3</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divId w:val="504637985"/>
              <w:rPr>
                <w:rFonts w:eastAsia="Times New Roman"/>
              </w:rPr>
            </w:pPr>
            <w:hyperlink w:anchor="i4261c54b478a49e1ad39b1a3e7c75d2d_28" w:history="1">
              <w:r>
                <w:rPr>
                  <w:rStyle w:val="a3"/>
                  <w:rFonts w:eastAsia="Times New Roman"/>
                  <w:sz w:val="18"/>
                  <w:szCs w:val="18"/>
                </w:rPr>
                <w:t>Consolidated Statements of Income (Loss), Three and Six Months Ended June 30, 2020 and 2019 (Unaudited)</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28" w:history="1">
              <w:r>
                <w:rPr>
                  <w:rStyle w:val="a3"/>
                  <w:rFonts w:eastAsia="Times New Roman"/>
                  <w:sz w:val="18"/>
                  <w:szCs w:val="18"/>
                </w:rPr>
                <w:t>4</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divId w:val="1149786120"/>
              <w:rPr>
                <w:rFonts w:eastAsia="Times New Roman"/>
              </w:rPr>
            </w:pPr>
            <w:hyperlink w:anchor="i4261c54b478a49e1ad39b1a3e7c75d2d_31" w:history="1">
              <w:r>
                <w:rPr>
                  <w:rStyle w:val="a3"/>
                  <w:rFonts w:eastAsia="Times New Roman"/>
                  <w:sz w:val="18"/>
                  <w:szCs w:val="18"/>
                </w:rPr>
                <w:t>Consolidated Statements of Comprehensive Income (Loss), Three and Six Months Ended June 30, 2020 and 2019 (Unaudited)</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31" w:history="1">
              <w:r>
                <w:rPr>
                  <w:rStyle w:val="a3"/>
                  <w:rFonts w:eastAsia="Times New Roman"/>
                  <w:sz w:val="18"/>
                  <w:szCs w:val="18"/>
                </w:rPr>
                <w:t>5</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divId w:val="1421222936"/>
              <w:rPr>
                <w:rFonts w:eastAsia="Times New Roman"/>
              </w:rPr>
            </w:pPr>
            <w:hyperlink w:anchor="i4261c54b478a49e1ad39b1a3e7c75d2d_34" w:history="1">
              <w:r>
                <w:rPr>
                  <w:rStyle w:val="a3"/>
                  <w:rFonts w:eastAsia="Times New Roman"/>
                  <w:sz w:val="18"/>
                  <w:szCs w:val="18"/>
                </w:rPr>
                <w:t>Consolidated Statements of Equity, Three and Six Months Ended June 30, 2020 and 2019 (Unaudited)</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6" w:history="1">
              <w:r>
                <w:rPr>
                  <w:rStyle w:val="a3"/>
                  <w:rFonts w:eastAsia="Times New Roman"/>
                  <w:sz w:val="18"/>
                  <w:szCs w:val="18"/>
                </w:rPr>
                <w:t>6</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divId w:val="1250696079"/>
              <w:rPr>
                <w:rFonts w:eastAsia="Times New Roman"/>
              </w:rPr>
            </w:pPr>
            <w:hyperlink w:anchor="i4261c54b478a49e1ad39b1a3e7c75d2d_49" w:history="1">
              <w:r>
                <w:rPr>
                  <w:rStyle w:val="a3"/>
                  <w:rFonts w:eastAsia="Times New Roman"/>
                  <w:sz w:val="18"/>
                  <w:szCs w:val="18"/>
                </w:rPr>
                <w:t>Consolidated Statements of Cash Flows, Six Months Ended June 30, 2020 and 2019 (Unaudited</w:t>
              </w:r>
            </w:hyperlink>
            <w:r>
              <w:rPr>
                <w:rFonts w:eastAsia="Times New Roman"/>
                <w:color w:val="000000"/>
                <w:sz w:val="20"/>
                <w:szCs w:val="20"/>
              </w:rPr>
              <w:t>)</w:t>
            </w:r>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9" w:history="1">
              <w:r>
                <w:rPr>
                  <w:rStyle w:val="a3"/>
                  <w:rFonts w:eastAsia="Times New Roman"/>
                  <w:sz w:val="18"/>
                  <w:szCs w:val="18"/>
                </w:rPr>
                <w:t>8</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775A8F">
            <w:pPr>
              <w:divId w:val="1445004571"/>
              <w:rPr>
                <w:rFonts w:eastAsia="Times New Roman"/>
              </w:rPr>
            </w:pPr>
            <w:hyperlink w:anchor="i4261c54b478a49e1ad39b1a3e7c75d2d_55" w:history="1">
              <w:r>
                <w:rPr>
                  <w:rStyle w:val="a3"/>
                  <w:rFonts w:eastAsia="Times New Roman"/>
                  <w:sz w:val="18"/>
                  <w:szCs w:val="18"/>
                </w:rPr>
                <w:t>Notes to Consolidated Financial Statements (Unaudited):</w:t>
              </w:r>
            </w:hyperlink>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divId w:val="1770928867"/>
              <w:rPr>
                <w:rFonts w:eastAsia="Times New Roman"/>
              </w:rPr>
            </w:pPr>
            <w:hyperlink w:anchor="i4261c54b478a49e1ad39b1a3e7c75d2d_58" w:history="1">
              <w:r>
                <w:rPr>
                  <w:rStyle w:val="a3"/>
                  <w:rFonts w:eastAsia="Times New Roman"/>
                  <w:sz w:val="18"/>
                  <w:szCs w:val="18"/>
                </w:rPr>
                <w:t>Note 1 - Organization</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58" w:history="1">
              <w:r>
                <w:rPr>
                  <w:rStyle w:val="a3"/>
                  <w:rFonts w:eastAsia="Times New Roman"/>
                  <w:sz w:val="18"/>
                  <w:szCs w:val="18"/>
                  <w:u w:val="none"/>
                </w:rPr>
                <w:t>10</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divId w:val="526262065"/>
              <w:rPr>
                <w:rFonts w:eastAsia="Times New Roman"/>
              </w:rPr>
            </w:pPr>
            <w:hyperlink w:anchor="i4261c54b478a49e1ad39b1a3e7c75d2d_61" w:history="1">
              <w:r>
                <w:rPr>
                  <w:rStyle w:val="a3"/>
                  <w:rFonts w:eastAsia="Times New Roman"/>
                  <w:sz w:val="18"/>
                  <w:szCs w:val="18"/>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61" w:history="1">
              <w:r>
                <w:rPr>
                  <w:rStyle w:val="a3"/>
                  <w:rFonts w:eastAsia="Times New Roman"/>
                  <w:sz w:val="18"/>
                  <w:szCs w:val="18"/>
                  <w:u w:val="none"/>
                </w:rPr>
                <w:t>10</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921374104"/>
              <w:rPr>
                <w:rFonts w:eastAsia="Times New Roman"/>
              </w:rPr>
            </w:pPr>
            <w:hyperlink w:anchor="i4261c54b478a49e1ad39b1a3e7c75d2d_103" w:history="1">
              <w:r>
                <w:rPr>
                  <w:rStyle w:val="a3"/>
                  <w:rFonts w:eastAsia="Times New Roman"/>
                  <w:sz w:val="18"/>
                  <w:szCs w:val="18"/>
                </w:rPr>
                <w:t>Note 3 - Investments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06" w:history="1">
              <w:r>
                <w:rPr>
                  <w:rStyle w:val="a3"/>
                  <w:rFonts w:eastAsia="Times New Roman"/>
                  <w:sz w:val="18"/>
                  <w:szCs w:val="18"/>
                  <w:u w:val="none"/>
                </w:rPr>
                <w:t>18</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2108575566"/>
              <w:rPr>
                <w:rFonts w:eastAsia="Times New Roman"/>
              </w:rPr>
            </w:pPr>
            <w:hyperlink w:anchor="i4261c54b478a49e1ad39b1a3e7c75d2d_109" w:history="1">
              <w:r>
                <w:rPr>
                  <w:rStyle w:val="a3"/>
                  <w:rFonts w:eastAsia="Times New Roman"/>
                  <w:sz w:val="18"/>
                  <w:szCs w:val="18"/>
                </w:rPr>
                <w:t>Note 4 - Derivatives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09" w:history="1">
              <w:r>
                <w:rPr>
                  <w:rStyle w:val="a3"/>
                  <w:rFonts w:eastAsia="Times New Roman"/>
                  <w:sz w:val="18"/>
                  <w:szCs w:val="18"/>
                  <w:u w:val="none"/>
                </w:rPr>
                <w:t>29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218060780"/>
              <w:rPr>
                <w:rFonts w:eastAsia="Times New Roman"/>
              </w:rPr>
            </w:pPr>
            <w:hyperlink w:anchor="i4261c54b478a49e1ad39b1a3e7c75d2d_112" w:history="1">
              <w:r>
                <w:rPr>
                  <w:rStyle w:val="a3"/>
                  <w:rFonts w:eastAsia="Times New Roman"/>
                  <w:sz w:val="18"/>
                  <w:szCs w:val="18"/>
                </w:rPr>
                <w:t>Note 5 - Goodwill</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12" w:history="1">
              <w:r>
                <w:rPr>
                  <w:rStyle w:val="a3"/>
                  <w:rFonts w:eastAsia="Times New Roman"/>
                  <w:sz w:val="18"/>
                  <w:szCs w:val="18"/>
                  <w:u w:val="none"/>
                </w:rPr>
                <w:t>34</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325667187"/>
              <w:rPr>
                <w:rFonts w:eastAsia="Times New Roman"/>
              </w:rPr>
            </w:pPr>
            <w:hyperlink w:anchor="i4261c54b478a49e1ad39b1a3e7c75d2d_127" w:history="1">
              <w:r>
                <w:rPr>
                  <w:rStyle w:val="a3"/>
                  <w:rFonts w:eastAsia="Times New Roman"/>
                  <w:sz w:val="18"/>
                  <w:szCs w:val="18"/>
                </w:rPr>
                <w:t>Note 6 - Closed Block</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27" w:history="1">
              <w:r>
                <w:rPr>
                  <w:rStyle w:val="a3"/>
                  <w:rFonts w:eastAsia="Times New Roman"/>
                  <w:sz w:val="18"/>
                  <w:szCs w:val="18"/>
                  <w:u w:val="none"/>
                </w:rPr>
                <w:t>34</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1574117786"/>
              <w:rPr>
                <w:rFonts w:eastAsia="Times New Roman"/>
              </w:rPr>
            </w:pPr>
            <w:hyperlink w:anchor="i4261c54b478a49e1ad39b1a3e7c75d2d_133" w:history="1">
              <w:r>
                <w:rPr>
                  <w:rStyle w:val="a3"/>
                  <w:rFonts w:eastAsia="Times New Roman"/>
                  <w:sz w:val="18"/>
                  <w:szCs w:val="18"/>
                </w:rPr>
                <w:t>Note 7 - Insurance Liabilities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33" w:history="1">
              <w:r>
                <w:rPr>
                  <w:rStyle w:val="a3"/>
                  <w:rFonts w:eastAsia="Times New Roman"/>
                  <w:sz w:val="18"/>
                  <w:szCs w:val="18"/>
                  <w:u w:val="none"/>
                </w:rPr>
                <w:t>35</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891966830"/>
              <w:rPr>
                <w:rFonts w:eastAsia="Times New Roman"/>
              </w:rPr>
            </w:pPr>
            <w:hyperlink w:anchor="i4261c54b478a49e1ad39b1a3e7c75d2d_139" w:history="1">
              <w:r>
                <w:rPr>
                  <w:rStyle w:val="a3"/>
                  <w:rFonts w:eastAsia="Times New Roman"/>
                  <w:sz w:val="18"/>
                  <w:szCs w:val="18"/>
                </w:rPr>
                <w:t>Note 8 - Fair Value Disclosures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39" w:history="1">
              <w:r>
                <w:rPr>
                  <w:rStyle w:val="a3"/>
                  <w:rFonts w:eastAsia="Times New Roman"/>
                  <w:sz w:val="18"/>
                  <w:szCs w:val="18"/>
                  <w:u w:val="none"/>
                </w:rPr>
                <w:t>39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108474849"/>
              <w:rPr>
                <w:rFonts w:eastAsia="Times New Roman"/>
              </w:rPr>
            </w:pPr>
            <w:hyperlink w:anchor="i4261c54b478a49e1ad39b1a3e7c75d2d_616" w:history="1">
              <w:r>
                <w:rPr>
                  <w:rStyle w:val="a3"/>
                  <w:rFonts w:eastAsia="Times New Roman"/>
                  <w:sz w:val="18"/>
                  <w:szCs w:val="18"/>
                </w:rPr>
                <w:t>Note 9 - Employee Benefit Plans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45" w:history="1">
              <w:r>
                <w:rPr>
                  <w:rStyle w:val="a3"/>
                  <w:rFonts w:eastAsia="Times New Roman"/>
                  <w:sz w:val="18"/>
                  <w:szCs w:val="18"/>
                  <w:u w:val="none"/>
                </w:rPr>
                <w:t>53</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564528444"/>
              <w:rPr>
                <w:rFonts w:eastAsia="Times New Roman"/>
              </w:rPr>
            </w:pPr>
            <w:hyperlink w:anchor="i4261c54b478a49e1ad39b1a3e7c75d2d_622" w:history="1">
              <w:r>
                <w:rPr>
                  <w:rStyle w:val="a3"/>
                  <w:rFonts w:eastAsia="Times New Roman"/>
                  <w:sz w:val="18"/>
                  <w:szCs w:val="18"/>
                </w:rPr>
                <w:t>Note 10 - Income Taxes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48" w:history="1">
              <w:r>
                <w:rPr>
                  <w:rStyle w:val="a3"/>
                  <w:rFonts w:eastAsia="Times New Roman"/>
                  <w:sz w:val="18"/>
                  <w:szCs w:val="18"/>
                  <w:u w:val="none"/>
                </w:rPr>
                <w:t>53</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1588925910"/>
              <w:rPr>
                <w:rFonts w:eastAsia="Times New Roman"/>
              </w:rPr>
            </w:pPr>
            <w:hyperlink w:anchor="i4261c54b478a49e1ad39b1a3e7c75d2d_613" w:history="1">
              <w:r>
                <w:rPr>
                  <w:rStyle w:val="a3"/>
                  <w:rFonts w:eastAsia="Times New Roman"/>
                  <w:sz w:val="18"/>
                  <w:szCs w:val="18"/>
                </w:rPr>
                <w:t>Note 11 - Related Party Transactions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51" w:history="1">
              <w:r>
                <w:rPr>
                  <w:rStyle w:val="a3"/>
                  <w:rFonts w:eastAsia="Times New Roman"/>
                  <w:sz w:val="18"/>
                  <w:szCs w:val="18"/>
                  <w:u w:val="none"/>
                </w:rPr>
                <w:t>54</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1154227163"/>
              <w:rPr>
                <w:rFonts w:eastAsia="Times New Roman"/>
              </w:rPr>
            </w:pPr>
            <w:hyperlink w:anchor="i4261c54b478a49e1ad39b1a3e7c75d2d_454" w:history="1">
              <w:r>
                <w:rPr>
                  <w:rStyle w:val="a3"/>
                  <w:rFonts w:eastAsia="Times New Roman"/>
                  <w:sz w:val="18"/>
                  <w:szCs w:val="18"/>
                </w:rPr>
                <w:t>Note 12 - Equity</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54" w:history="1">
              <w:r>
                <w:rPr>
                  <w:rStyle w:val="a3"/>
                  <w:rFonts w:eastAsia="Times New Roman"/>
                  <w:sz w:val="18"/>
                  <w:szCs w:val="18"/>
                  <w:u w:val="none"/>
                </w:rPr>
                <w:t>54</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800149481"/>
              <w:rPr>
                <w:rFonts w:eastAsia="Times New Roman"/>
              </w:rPr>
            </w:pPr>
            <w:hyperlink w:anchor="i4261c54b478a49e1ad39b1a3e7c75d2d_160" w:history="1">
              <w:r>
                <w:rPr>
                  <w:rStyle w:val="a3"/>
                  <w:rFonts w:eastAsia="Times New Roman"/>
                  <w:sz w:val="18"/>
                  <w:szCs w:val="18"/>
                </w:rPr>
                <w:t>Note 13 - Redeemable Noncontrolling Interest</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60" w:history="1">
              <w:r>
                <w:rPr>
                  <w:rStyle w:val="a3"/>
                  <w:rFonts w:eastAsia="Times New Roman"/>
                  <w:sz w:val="18"/>
                  <w:szCs w:val="18"/>
                  <w:u w:val="none"/>
                </w:rPr>
                <w:t>55</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876969474"/>
              <w:rPr>
                <w:rFonts w:eastAsia="Times New Roman"/>
              </w:rPr>
            </w:pPr>
            <w:hyperlink w:anchor="i4261c54b478a49e1ad39b1a3e7c75d2d_163" w:history="1">
              <w:r>
                <w:rPr>
                  <w:rStyle w:val="a3"/>
                  <w:rFonts w:eastAsia="Times New Roman"/>
                  <w:sz w:val="18"/>
                  <w:szCs w:val="18"/>
                </w:rPr>
                <w:t>Note 14 - Commitments and Contingent Liabilities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63" w:history="1">
              <w:r>
                <w:rPr>
                  <w:rStyle w:val="a3"/>
                  <w:rFonts w:eastAsia="Times New Roman"/>
                  <w:sz w:val="18"/>
                  <w:szCs w:val="18"/>
                  <w:u w:val="none"/>
                </w:rPr>
                <w:t>56</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1167548952"/>
              <w:rPr>
                <w:rFonts w:eastAsia="Times New Roman"/>
              </w:rPr>
            </w:pPr>
            <w:hyperlink w:anchor="i4261c54b478a49e1ad39b1a3e7c75d2d_172" w:history="1">
              <w:r>
                <w:rPr>
                  <w:rStyle w:val="a3"/>
                  <w:rFonts w:eastAsia="Times New Roman"/>
                  <w:sz w:val="18"/>
                  <w:szCs w:val="18"/>
                </w:rPr>
                <w:t>Note 15 - Business Segment Information</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72" w:history="1">
              <w:r>
                <w:rPr>
                  <w:rStyle w:val="a3"/>
                  <w:rFonts w:eastAsia="Times New Roman"/>
                  <w:sz w:val="18"/>
                  <w:szCs w:val="18"/>
                  <w:u w:val="none"/>
                </w:rPr>
                <w:t>59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1299844938"/>
              <w:rPr>
                <w:rFonts w:eastAsia="Times New Roman"/>
              </w:rPr>
            </w:pPr>
            <w:hyperlink w:anchor="i4261c54b478a49e1ad39b1a3e7c75d2d_178" w:history="1">
              <w:r>
                <w:rPr>
                  <w:rStyle w:val="a3"/>
                  <w:rFonts w:eastAsia="Times New Roman"/>
                  <w:sz w:val="18"/>
                  <w:szCs w:val="18"/>
                </w:rPr>
                <w:t>Note 16 - Earnings Per Common Share</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78" w:history="1">
              <w:r>
                <w:rPr>
                  <w:rStyle w:val="a3"/>
                  <w:rFonts w:eastAsia="Times New Roman"/>
                  <w:sz w:val="18"/>
                  <w:szCs w:val="18"/>
                  <w:u w:val="none"/>
                </w:rPr>
                <w:t>61</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divId w:val="553156531"/>
              <w:rPr>
                <w:rFonts w:eastAsia="Times New Roman"/>
              </w:rPr>
            </w:pPr>
            <w:hyperlink w:anchor="i4261c54b478a49e1ad39b1a3e7c75d2d_184" w:history="1">
              <w:r>
                <w:rPr>
                  <w:rStyle w:val="a3"/>
                  <w:rFonts w:eastAsia="Times New Roman"/>
                  <w:sz w:val="18"/>
                  <w:szCs w:val="18"/>
                </w:rPr>
                <w:t>Note 17 - Subsequent Events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184" w:history="1">
              <w:r>
                <w:rPr>
                  <w:rStyle w:val="a3"/>
                  <w:rFonts w:eastAsia="Times New Roman"/>
                  <w:sz w:val="18"/>
                  <w:szCs w:val="18"/>
                  <w:u w:val="none"/>
                </w:rPr>
                <w:t>62</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divId w:val="401298267"/>
              <w:rPr>
                <w:rFonts w:eastAsia="Times New Roman"/>
              </w:rPr>
            </w:pPr>
            <w:hyperlink w:anchor="i4261c54b478a49e1ad39b1a3e7c75d2d_190" w:history="1">
              <w:r>
                <w:rPr>
                  <w:rStyle w:val="a3"/>
                  <w:rFonts w:eastAsia="Times New Roman"/>
                  <w:sz w:val="18"/>
                  <w:szCs w:val="18"/>
                </w:rPr>
                <w:t>Item 2.</w:t>
              </w:r>
            </w:hyperlink>
          </w:p>
        </w:tc>
        <w:tc>
          <w:tcPr>
            <w:tcW w:w="0" w:type="auto"/>
            <w:gridSpan w:val="3"/>
            <w:tcMar>
              <w:top w:w="30" w:type="dxa"/>
              <w:left w:w="20" w:type="dxa"/>
              <w:bottom w:w="30" w:type="dxa"/>
              <w:right w:w="20" w:type="dxa"/>
            </w:tcMar>
            <w:vAlign w:val="center"/>
            <w:hideMark/>
          </w:tcPr>
          <w:p w:rsidR="00000000" w:rsidRDefault="00775A8F">
            <w:pPr>
              <w:divId w:val="1898320060"/>
              <w:rPr>
                <w:rFonts w:eastAsia="Times New Roman"/>
              </w:rPr>
            </w:pPr>
            <w:hyperlink w:anchor="i4261c54b478a49e1ad39b1a3e7c75d2d_190" w:history="1">
              <w:r>
                <w:rPr>
                  <w:rStyle w:val="a3"/>
                  <w:rFonts w:eastAsia="Times New Roman"/>
                  <w:sz w:val="18"/>
                  <w:szCs w:val="18"/>
                </w:rPr>
                <w:t>Management’</w:t>
              </w:r>
              <w:r>
                <w:rPr>
                  <w:rStyle w:val="a3"/>
                  <w:rFonts w:eastAsia="Times New Roman"/>
                  <w:sz w:val="18"/>
                  <w:szCs w:val="18"/>
                </w:rPr>
                <w: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190" w:history="1">
              <w:r>
                <w:rPr>
                  <w:rStyle w:val="a3"/>
                  <w:rFonts w:eastAsia="Times New Roman"/>
                  <w:sz w:val="18"/>
                  <w:szCs w:val="18"/>
                </w:rPr>
                <w:t>63</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divId w:val="231624952"/>
              <w:rPr>
                <w:rFonts w:eastAsia="Times New Roman"/>
              </w:rPr>
            </w:pPr>
            <w:hyperlink w:anchor="i4261c54b478a49e1ad39b1a3e7c75d2d_439" w:history="1">
              <w:r>
                <w:rPr>
                  <w:rStyle w:val="a3"/>
                  <w:rFonts w:eastAsia="Times New Roman"/>
                  <w:sz w:val="18"/>
                  <w:szCs w:val="18"/>
                </w:rPr>
                <w:t>Item 3.</w:t>
              </w:r>
            </w:hyperlink>
          </w:p>
        </w:tc>
        <w:tc>
          <w:tcPr>
            <w:tcW w:w="0" w:type="auto"/>
            <w:gridSpan w:val="3"/>
            <w:tcMar>
              <w:top w:w="30" w:type="dxa"/>
              <w:left w:w="20" w:type="dxa"/>
              <w:bottom w:w="30" w:type="dxa"/>
              <w:right w:w="20" w:type="dxa"/>
            </w:tcMar>
            <w:vAlign w:val="center"/>
            <w:hideMark/>
          </w:tcPr>
          <w:p w:rsidR="00000000" w:rsidRDefault="00775A8F">
            <w:pPr>
              <w:divId w:val="1824851026"/>
              <w:rPr>
                <w:rFonts w:eastAsia="Times New Roman"/>
              </w:rPr>
            </w:pPr>
            <w:hyperlink w:anchor="i4261c54b478a49e1ad39b1a3e7c75d2d_568" w:history="1">
              <w:r>
                <w:rPr>
                  <w:rStyle w:val="a3"/>
                  <w:rFonts w:eastAsia="Times New Roman"/>
                  <w:sz w:val="18"/>
                  <w:szCs w:val="18"/>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39" w:history="1">
              <w:r>
                <w:rPr>
                  <w:rStyle w:val="a3"/>
                  <w:rFonts w:eastAsia="Times New Roman"/>
                  <w:sz w:val="18"/>
                  <w:szCs w:val="18"/>
                </w:rPr>
                <w:t>106</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divId w:val="1173177889"/>
              <w:rPr>
                <w:rFonts w:eastAsia="Times New Roman"/>
              </w:rPr>
            </w:pPr>
            <w:hyperlink w:anchor="i4261c54b478a49e1ad39b1a3e7c75d2d_442" w:history="1">
              <w:r>
                <w:rPr>
                  <w:rStyle w:val="a3"/>
                  <w:rFonts w:eastAsia="Times New Roman"/>
                  <w:sz w:val="18"/>
                  <w:szCs w:val="18"/>
                </w:rPr>
                <w:t>Item 4.</w:t>
              </w:r>
            </w:hyperlink>
          </w:p>
        </w:tc>
        <w:tc>
          <w:tcPr>
            <w:tcW w:w="0" w:type="auto"/>
            <w:gridSpan w:val="3"/>
            <w:tcMar>
              <w:top w:w="30" w:type="dxa"/>
              <w:left w:w="20" w:type="dxa"/>
              <w:bottom w:w="30" w:type="dxa"/>
              <w:right w:w="20" w:type="dxa"/>
            </w:tcMar>
            <w:vAlign w:val="center"/>
            <w:hideMark/>
          </w:tcPr>
          <w:p w:rsidR="00000000" w:rsidRDefault="00775A8F">
            <w:pPr>
              <w:divId w:val="1995523691"/>
              <w:rPr>
                <w:rFonts w:eastAsia="Times New Roman"/>
              </w:rPr>
            </w:pPr>
            <w:hyperlink w:anchor="i4261c54b478a49e1ad39b1a3e7c75d2d_442" w:history="1">
              <w:r>
                <w:rPr>
                  <w:rStyle w:val="a3"/>
                  <w:rFonts w:eastAsia="Times New Roman"/>
                  <w:sz w:val="18"/>
                  <w:szCs w:val="18"/>
                </w:rPr>
                <w:t>Controls and Procedures</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42" w:history="1">
              <w:r>
                <w:rPr>
                  <w:rStyle w:val="a3"/>
                  <w:rFonts w:eastAsia="Times New Roman"/>
                  <w:sz w:val="18"/>
                  <w:szCs w:val="18"/>
                </w:rPr>
                <w:t>106</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trHeight w:val="280"/>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6"/>
            <w:tcMar>
              <w:top w:w="30" w:type="dxa"/>
              <w:left w:w="20" w:type="dxa"/>
              <w:bottom w:w="30" w:type="dxa"/>
              <w:right w:w="20" w:type="dxa"/>
            </w:tcMar>
            <w:vAlign w:val="center"/>
            <w:hideMark/>
          </w:tcPr>
          <w:p w:rsidR="00000000" w:rsidRDefault="00775A8F">
            <w:pPr>
              <w:divId w:val="159542486"/>
              <w:rPr>
                <w:rFonts w:eastAsia="Times New Roman"/>
              </w:rPr>
            </w:pPr>
            <w:hyperlink w:anchor="i4261c54b478a49e1ad39b1a3e7c75d2d_460" w:history="1">
              <w:r>
                <w:rPr>
                  <w:rStyle w:val="a3"/>
                  <w:rFonts w:eastAsia="Times New Roman"/>
                  <w:b/>
                  <w:bCs/>
                  <w:sz w:val="18"/>
                  <w:szCs w:val="18"/>
                </w:rPr>
                <w:t>PART II - OTHER INFORMATION</w:t>
              </w:r>
            </w:hyperlink>
          </w:p>
        </w:tc>
        <w:tc>
          <w:tcPr>
            <w:tcW w:w="0" w:type="auto"/>
            <w:gridSpan w:val="3"/>
            <w:vAlign w:val="center"/>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Item 1</w:t>
            </w:r>
            <w:r>
              <w:rPr>
                <w:rFonts w:eastAsia="Times New Roman"/>
                <w:color w:val="000000"/>
                <w:sz w:val="18"/>
                <w:szCs w:val="18"/>
              </w:rPr>
              <w:t>.</w:t>
            </w:r>
          </w:p>
        </w:tc>
        <w:tc>
          <w:tcPr>
            <w:tcW w:w="0" w:type="auto"/>
            <w:gridSpan w:val="3"/>
            <w:tcMar>
              <w:top w:w="30" w:type="dxa"/>
              <w:left w:w="20" w:type="dxa"/>
              <w:bottom w:w="30" w:type="dxa"/>
              <w:right w:w="20" w:type="dxa"/>
            </w:tcMar>
            <w:vAlign w:val="center"/>
            <w:hideMark/>
          </w:tcPr>
          <w:p w:rsidR="00000000" w:rsidRDefault="00775A8F">
            <w:pPr>
              <w:divId w:val="1833253035"/>
              <w:rPr>
                <w:rFonts w:eastAsia="Times New Roman"/>
              </w:rPr>
            </w:pPr>
            <w:hyperlink w:anchor="i4261c54b478a49e1ad39b1a3e7c75d2d_463" w:history="1">
              <w:r>
                <w:rPr>
                  <w:rStyle w:val="a3"/>
                  <w:rFonts w:eastAsia="Times New Roman"/>
                  <w:sz w:val="18"/>
                  <w:szCs w:val="18"/>
                </w:rPr>
                <w:t>Legal Proceedings</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63" w:history="1">
              <w:r>
                <w:rPr>
                  <w:rStyle w:val="a3"/>
                  <w:rFonts w:eastAsia="Times New Roman"/>
                  <w:sz w:val="18"/>
                  <w:szCs w:val="18"/>
                </w:rPr>
                <w:t>108</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Item 1A</w:t>
            </w:r>
            <w:r>
              <w:rPr>
                <w:rFonts w:eastAsia="Times New Roman"/>
                <w:color w:val="000000"/>
                <w:sz w:val="18"/>
                <w:szCs w:val="18"/>
              </w:rPr>
              <w:t>.</w:t>
            </w:r>
          </w:p>
        </w:tc>
        <w:tc>
          <w:tcPr>
            <w:tcW w:w="0" w:type="auto"/>
            <w:gridSpan w:val="3"/>
            <w:tcMar>
              <w:top w:w="30" w:type="dxa"/>
              <w:left w:w="20" w:type="dxa"/>
              <w:bottom w:w="30" w:type="dxa"/>
              <w:right w:w="20" w:type="dxa"/>
            </w:tcMar>
            <w:vAlign w:val="center"/>
            <w:hideMark/>
          </w:tcPr>
          <w:p w:rsidR="00000000" w:rsidRDefault="00775A8F">
            <w:pPr>
              <w:divId w:val="207842591"/>
              <w:rPr>
                <w:rFonts w:eastAsia="Times New Roman"/>
              </w:rPr>
            </w:pPr>
            <w:hyperlink w:anchor="i4261c54b478a49e1ad39b1a3e7c75d2d_550" w:history="1">
              <w:r>
                <w:rPr>
                  <w:rStyle w:val="a3"/>
                  <w:rFonts w:eastAsia="Times New Roman"/>
                  <w:sz w:val="18"/>
                  <w:szCs w:val="18"/>
                </w:rPr>
                <w:t>Risk Factors</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66" w:history="1">
              <w:r>
                <w:rPr>
                  <w:rStyle w:val="a3"/>
                  <w:rFonts w:eastAsia="Times New Roman"/>
                  <w:sz w:val="18"/>
                  <w:szCs w:val="18"/>
                </w:rPr>
                <w:t>108</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8"/>
                <w:szCs w:val="18"/>
              </w:rPr>
              <w:t>Item 2</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775A8F">
            <w:pPr>
              <w:divId w:val="1802267435"/>
              <w:rPr>
                <w:rFonts w:eastAsia="Times New Roman"/>
              </w:rPr>
            </w:pPr>
            <w:hyperlink w:anchor="i4261c54b478a49e1ad39b1a3e7c75d2d_469" w:history="1">
              <w:r>
                <w:rPr>
                  <w:rStyle w:val="a3"/>
                  <w:rFonts w:eastAsia="Times New Roman"/>
                  <w:sz w:val="18"/>
                  <w:szCs w:val="18"/>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469" w:history="1">
              <w:r>
                <w:rPr>
                  <w:rStyle w:val="a3"/>
                  <w:rFonts w:eastAsia="Times New Roman"/>
                  <w:sz w:val="18"/>
                  <w:szCs w:val="18"/>
                </w:rPr>
                <w:t>109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8"/>
                <w:szCs w:val="18"/>
              </w:rPr>
              <w:t>Item 3</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775A8F">
            <w:pPr>
              <w:divId w:val="1764378690"/>
              <w:rPr>
                <w:rFonts w:eastAsia="Times New Roman"/>
              </w:rPr>
            </w:pPr>
            <w:hyperlink w:anchor="i4261c54b478a49e1ad39b1a3e7c75d2d_472" w:history="1">
              <w:r>
                <w:rPr>
                  <w:rStyle w:val="a3"/>
                  <w:rFonts w:eastAsia="Times New Roman"/>
                  <w:sz w:val="18"/>
                  <w:szCs w:val="18"/>
                </w:rPr>
                <w:t>Defaults Upon Senior Securities</w:t>
              </w:r>
            </w:hyperlink>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hyperlink w:anchor="i4261c54b478a49e1ad39b1a3e7c75d2d_472" w:history="1">
              <w:r>
                <w:rPr>
                  <w:rStyle w:val="a3"/>
                  <w:rFonts w:eastAsia="Times New Roman"/>
                  <w:sz w:val="18"/>
                  <w:szCs w:val="18"/>
                </w:rPr>
                <w:t>109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Item 4</w:t>
            </w:r>
            <w:r>
              <w:rPr>
                <w:rFonts w:eastAsia="Times New Roman"/>
                <w:color w:val="000000"/>
                <w:sz w:val="18"/>
                <w:szCs w:val="18"/>
              </w:rPr>
              <w:t>.</w:t>
            </w:r>
          </w:p>
        </w:tc>
        <w:tc>
          <w:tcPr>
            <w:tcW w:w="0" w:type="auto"/>
            <w:gridSpan w:val="3"/>
            <w:tcMar>
              <w:top w:w="30" w:type="dxa"/>
              <w:left w:w="20" w:type="dxa"/>
              <w:bottom w:w="30" w:type="dxa"/>
              <w:right w:w="20" w:type="dxa"/>
            </w:tcMar>
            <w:vAlign w:val="center"/>
            <w:hideMark/>
          </w:tcPr>
          <w:p w:rsidR="00000000" w:rsidRDefault="00775A8F">
            <w:pPr>
              <w:divId w:val="629014560"/>
              <w:rPr>
                <w:rFonts w:eastAsia="Times New Roman"/>
              </w:rPr>
            </w:pPr>
            <w:hyperlink w:anchor="i4261c54b478a49e1ad39b1a3e7c75d2d_475" w:history="1">
              <w:r>
                <w:rPr>
                  <w:rStyle w:val="a3"/>
                  <w:rFonts w:eastAsia="Times New Roman"/>
                  <w:sz w:val="18"/>
                  <w:szCs w:val="18"/>
                </w:rPr>
                <w:t>Mine Safety Disclosure</w:t>
              </w:r>
              <w:r>
                <w:rPr>
                  <w:rStyle w:val="a3"/>
                  <w:rFonts w:eastAsia="Times New Roman"/>
                  <w:sz w:val="18"/>
                  <w:szCs w:val="18"/>
                </w:rPr>
                <w:t>s</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75" w:history="1">
              <w:r>
                <w:rPr>
                  <w:rStyle w:val="a3"/>
                  <w:rFonts w:eastAsia="Times New Roman"/>
                  <w:sz w:val="18"/>
                  <w:szCs w:val="18"/>
                </w:rPr>
                <w:t>109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Item 5</w:t>
            </w:r>
            <w:r>
              <w:rPr>
                <w:rFonts w:eastAsia="Times New Roman"/>
                <w:color w:val="000000"/>
                <w:sz w:val="18"/>
                <w:szCs w:val="18"/>
              </w:rPr>
              <w:t>.</w:t>
            </w:r>
          </w:p>
        </w:tc>
        <w:tc>
          <w:tcPr>
            <w:tcW w:w="0" w:type="auto"/>
            <w:gridSpan w:val="3"/>
            <w:tcMar>
              <w:top w:w="30" w:type="dxa"/>
              <w:left w:w="20" w:type="dxa"/>
              <w:bottom w:w="30" w:type="dxa"/>
              <w:right w:w="20" w:type="dxa"/>
            </w:tcMar>
            <w:vAlign w:val="center"/>
            <w:hideMark/>
          </w:tcPr>
          <w:p w:rsidR="00000000" w:rsidRDefault="00775A8F">
            <w:pPr>
              <w:divId w:val="1227492846"/>
              <w:rPr>
                <w:rFonts w:eastAsia="Times New Roman"/>
              </w:rPr>
            </w:pPr>
            <w:hyperlink w:anchor="i4261c54b478a49e1ad39b1a3e7c75d2d_577" w:history="1">
              <w:r>
                <w:rPr>
                  <w:rStyle w:val="a3"/>
                  <w:rFonts w:eastAsia="Times New Roman"/>
                  <w:sz w:val="18"/>
                  <w:szCs w:val="18"/>
                </w:rPr>
                <w:t>Other Information</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78" w:history="1">
              <w:r>
                <w:rPr>
                  <w:rStyle w:val="a3"/>
                  <w:rFonts w:eastAsia="Times New Roman"/>
                  <w:sz w:val="18"/>
                  <w:szCs w:val="18"/>
                </w:rPr>
                <w:t>109</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Item 6</w:t>
            </w:r>
            <w:r>
              <w:rPr>
                <w:rFonts w:eastAsia="Times New Roman"/>
                <w:color w:val="000000"/>
                <w:sz w:val="18"/>
                <w:szCs w:val="18"/>
              </w:rPr>
              <w:t>.</w:t>
            </w:r>
          </w:p>
        </w:tc>
        <w:tc>
          <w:tcPr>
            <w:tcW w:w="0" w:type="auto"/>
            <w:gridSpan w:val="3"/>
            <w:tcMar>
              <w:top w:w="30" w:type="dxa"/>
              <w:left w:w="20" w:type="dxa"/>
              <w:bottom w:w="30" w:type="dxa"/>
              <w:right w:w="20" w:type="dxa"/>
            </w:tcMar>
            <w:vAlign w:val="center"/>
            <w:hideMark/>
          </w:tcPr>
          <w:p w:rsidR="00000000" w:rsidRDefault="00775A8F">
            <w:pPr>
              <w:divId w:val="2009748483"/>
              <w:rPr>
                <w:rFonts w:eastAsia="Times New Roman"/>
              </w:rPr>
            </w:pPr>
            <w:hyperlink w:anchor="i4261c54b478a49e1ad39b1a3e7c75d2d_481" w:history="1">
              <w:r>
                <w:rPr>
                  <w:rStyle w:val="a3"/>
                  <w:rFonts w:eastAsia="Times New Roman"/>
                  <w:sz w:val="18"/>
                  <w:szCs w:val="18"/>
                </w:rPr>
                <w:t>Exhibits</w:t>
              </w:r>
            </w:hyperlink>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81" w:history="1">
              <w:r>
                <w:rPr>
                  <w:rStyle w:val="a3"/>
                  <w:rFonts w:eastAsia="Times New Roman"/>
                  <w:sz w:val="18"/>
                  <w:szCs w:val="18"/>
                </w:rPr>
                <w:t>110</w:t>
              </w:r>
            </w:hyperlink>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trHeight w:val="280"/>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68860012"/>
          <w:jc w:val="center"/>
        </w:trPr>
        <w:tc>
          <w:tcPr>
            <w:tcW w:w="0" w:type="auto"/>
            <w:gridSpan w:val="6"/>
            <w:tcMar>
              <w:top w:w="30" w:type="dxa"/>
              <w:left w:w="20" w:type="dxa"/>
              <w:bottom w:w="30" w:type="dxa"/>
              <w:right w:w="20" w:type="dxa"/>
            </w:tcMar>
            <w:vAlign w:val="center"/>
            <w:hideMark/>
          </w:tcPr>
          <w:p w:rsidR="00000000" w:rsidRDefault="00775A8F">
            <w:pPr>
              <w:divId w:val="388191310"/>
              <w:rPr>
                <w:rFonts w:eastAsia="Times New Roman"/>
              </w:rPr>
            </w:pPr>
            <w:hyperlink w:anchor="i4261c54b478a49e1ad39b1a3e7c75d2d_880" w:history="1">
              <w:r>
                <w:rPr>
                  <w:rStyle w:val="a3"/>
                  <w:rFonts w:eastAsia="Times New Roman"/>
                  <w:sz w:val="18"/>
                  <w:szCs w:val="18"/>
                </w:rPr>
                <w:t>Signatures</w:t>
              </w:r>
            </w:hyperlink>
          </w:p>
        </w:tc>
        <w:tc>
          <w:tcPr>
            <w:tcW w:w="0" w:type="auto"/>
            <w:gridSpan w:val="3"/>
            <w:vAlign w:val="center"/>
            <w:hideMark/>
          </w:tcPr>
          <w:p w:rsidR="00000000" w:rsidRDefault="00775A8F">
            <w:pPr>
              <w:rPr>
                <w:rFonts w:eastAsia="Times New Roman"/>
              </w:rPr>
            </w:pPr>
          </w:p>
        </w:tc>
        <w:tc>
          <w:tcPr>
            <w:tcW w:w="0" w:type="auto"/>
            <w:gridSpan w:val="3"/>
            <w:tcMar>
              <w:top w:w="30" w:type="dxa"/>
              <w:left w:w="20" w:type="dxa"/>
              <w:bottom w:w="30" w:type="dxa"/>
              <w:right w:w="20" w:type="dxa"/>
            </w:tcMar>
            <w:vAlign w:val="center"/>
            <w:hideMark/>
          </w:tcPr>
          <w:p w:rsidR="00000000" w:rsidRDefault="00775A8F">
            <w:pPr>
              <w:jc w:val="center"/>
              <w:rPr>
                <w:rFonts w:eastAsia="Times New Roman"/>
              </w:rPr>
            </w:pPr>
            <w:hyperlink w:anchor="i4261c54b478a49e1ad39b1a3e7c75d2d_484" w:history="1">
              <w:r>
                <w:rPr>
                  <w:rStyle w:val="a3"/>
                  <w:rFonts w:eastAsia="Times New Roman"/>
                  <w:sz w:val="18"/>
                  <w:szCs w:val="18"/>
                </w:rPr>
                <w:t>110</w:t>
              </w:r>
            </w:hyperlink>
          </w:p>
        </w:tc>
      </w:tr>
    </w:tbl>
    <w:p w:rsidR="00000000" w:rsidRDefault="00775A8F">
      <w:pPr>
        <w:divId w:val="605845283"/>
        <w:rPr>
          <w:rFonts w:eastAsia="Times New Roman"/>
        </w:rPr>
      </w:pPr>
    </w:p>
    <w:p w:rsidR="00000000" w:rsidRDefault="00775A8F">
      <w:pPr>
        <w:divId w:val="824321759"/>
        <w:rPr>
          <w:rFonts w:eastAsia="Times New Roman"/>
        </w:rPr>
      </w:pPr>
    </w:p>
    <w:p w:rsidR="00000000" w:rsidRDefault="00775A8F">
      <w:pPr>
        <w:rPr>
          <w:rFonts w:eastAsia="Times New Roman"/>
        </w:rPr>
      </w:pPr>
      <w:r>
        <w:rPr>
          <w:rFonts w:eastAsia="Times New Roman"/>
        </w:rPr>
        <w:pict>
          <v:rect id="_x0000_i1027" style="width:0;height:1.5pt" o:hralign="center" o:hrstd="t" o:hr="t" fillcolor="#a0a0a0" stroked="f"/>
        </w:pict>
      </w:r>
    </w:p>
    <w:p w:rsidR="00000000" w:rsidRDefault="00775A8F">
      <w:pPr>
        <w:divId w:val="272791520"/>
        <w:rPr>
          <w:rFonts w:eastAsia="Times New Roman"/>
        </w:rPr>
      </w:pPr>
    </w:p>
    <w:p w:rsidR="00000000" w:rsidRDefault="00775A8F">
      <w:pPr>
        <w:jc w:val="center"/>
        <w:divId w:val="1347290133"/>
        <w:rPr>
          <w:rFonts w:eastAsia="Times New Roman"/>
        </w:rPr>
      </w:pPr>
      <w:r>
        <w:rPr>
          <w:rFonts w:eastAsia="Times New Roman"/>
          <w:b/>
          <w:bCs/>
          <w:color w:val="000000"/>
          <w:sz w:val="20"/>
          <w:szCs w:val="20"/>
        </w:rPr>
        <w:t>NOTE REGARDING FORWARD-LOOKING STATEMENTS AND INFORMATION</w:t>
      </w:r>
      <w:r>
        <w:rPr>
          <w:rFonts w:eastAsia="Times New Roman"/>
          <w:b/>
          <w:bCs/>
          <w:color w:val="000000"/>
          <w:sz w:val="20"/>
          <w:szCs w:val="20"/>
        </w:rPr>
        <w:t xml:space="preserve"> </w:t>
      </w:r>
    </w:p>
    <w:p w:rsidR="00000000" w:rsidRDefault="00775A8F">
      <w:pPr>
        <w:ind w:firstLine="360"/>
        <w:divId w:val="900947942"/>
        <w:rPr>
          <w:rFonts w:eastAsia="Times New Roman"/>
        </w:rPr>
      </w:pPr>
      <w:r>
        <w:rPr>
          <w:rFonts w:eastAsia="Times New Roman"/>
          <w:color w:val="000000"/>
          <w:sz w:val="20"/>
          <w:szCs w:val="20"/>
        </w:rPr>
        <w:t xml:space="preserve">Certain of the statements included or incorporated by reference in this Quarterly Report on Form 10-Q constitute forward-looking statements within the meaning </w:t>
      </w:r>
      <w:r>
        <w:rPr>
          <w:rFonts w:eastAsia="Times New Roman"/>
          <w:color w:val="000000"/>
          <w:sz w:val="20"/>
          <w:szCs w:val="20"/>
        </w:rPr>
        <w:t>of the Private Securities Litigation Reform Act of 1995. Words such as “expects,” “believes,” “anticipates,” “intends,” “seeks,” “aims,” “plans,” “assumes,” “estimates,” “projects,” “should,” “would,” “could,” “may,” “will,” “shall” or variations of such w</w:t>
      </w:r>
      <w:r>
        <w:rPr>
          <w:rFonts w:eastAsia="Times New Roman"/>
          <w:color w:val="000000"/>
          <w:sz w:val="20"/>
          <w:szCs w:val="20"/>
        </w:rPr>
        <w:t xml:space="preserve">ords are generally part of forward-looking statements. Forward-looking statements are made based on management’s current expectations and beliefs concerning future developments and their potential effects upon Equitable Holdings, Inc. (“Holdings”) and its </w:t>
      </w:r>
      <w:r>
        <w:rPr>
          <w:rFonts w:eastAsia="Times New Roman"/>
          <w:color w:val="000000"/>
          <w:sz w:val="20"/>
          <w:szCs w:val="20"/>
        </w:rPr>
        <w:t>consolidated subsidiaries. “We,” “us” and “our” refer to Holdings and its consolidated subsidiaries, unless the context refers only to Holdings as a corporate entity. There can be no assurance that future developments affecting Holdings will be those antic</w:t>
      </w:r>
      <w:r>
        <w:rPr>
          <w:rFonts w:eastAsia="Times New Roman"/>
          <w:color w:val="000000"/>
          <w:sz w:val="20"/>
          <w:szCs w:val="20"/>
        </w:rPr>
        <w:t>ipated by management. Forward-looking statements include, without limitation, all matters that are not historical facts.</w:t>
      </w:r>
      <w:r>
        <w:rPr>
          <w:rFonts w:eastAsia="Times New Roman"/>
          <w:color w:val="000000"/>
          <w:sz w:val="20"/>
          <w:szCs w:val="20"/>
        </w:rPr>
        <w:t xml:space="preserve"> </w:t>
      </w:r>
    </w:p>
    <w:p w:rsidR="00000000" w:rsidRDefault="00775A8F">
      <w:pPr>
        <w:ind w:firstLine="360"/>
        <w:divId w:val="479347294"/>
        <w:rPr>
          <w:rFonts w:eastAsia="Times New Roman"/>
        </w:rPr>
      </w:pPr>
      <w:r>
        <w:rPr>
          <w:rFonts w:eastAsia="Times New Roman"/>
          <w:color w:val="000000"/>
          <w:sz w:val="20"/>
          <w:szCs w:val="20"/>
        </w:rPr>
        <w:t xml:space="preserve">These forward-looking statements are not a guarantee of future performance and involve risks and uncertainties, and there are certain </w:t>
      </w:r>
      <w:r>
        <w:rPr>
          <w:rFonts w:eastAsia="Times New Roman"/>
          <w:color w:val="000000"/>
          <w:sz w:val="20"/>
          <w:szCs w:val="20"/>
        </w:rPr>
        <w:t>important factors that could cause actual results to differ, possibly materially, from expectations or estimates reflected in such forward-looking statements, including, among others: (i) conditions in the financial markets and economy, including equity ma</w:t>
      </w:r>
      <w:r>
        <w:rPr>
          <w:rFonts w:eastAsia="Times New Roman"/>
          <w:color w:val="000000"/>
          <w:sz w:val="20"/>
          <w:szCs w:val="20"/>
        </w:rPr>
        <w:t>rket declines and volatility, interest rate fluctuations, impacts on our goodwill and changes in liquidity, access to and cost of capital and the impact of COVID-19 and related economic conditions; (ii) operational factors, including reliance on the paymen</w:t>
      </w:r>
      <w:r>
        <w:rPr>
          <w:rFonts w:eastAsia="Times New Roman"/>
          <w:color w:val="000000"/>
          <w:sz w:val="20"/>
          <w:szCs w:val="20"/>
        </w:rPr>
        <w:t>t of dividends to Holdings by its subsidiaries, remediation of our material weakness, indebtedness, protection of confidential customer information or proprietary business information, information systems failing or being compromised, strong industry compe</w:t>
      </w:r>
      <w:r>
        <w:rPr>
          <w:rFonts w:eastAsia="Times New Roman"/>
          <w:color w:val="000000"/>
          <w:sz w:val="20"/>
          <w:szCs w:val="20"/>
        </w:rPr>
        <w:t>tition and catastrophic events, such as the outbreak of pandemic diseases including COVID-19; (iii) credit, counterparties and investments, including counterparty default on derivative contracts, failure of financial institutions, defaults, errors or omiss</w:t>
      </w:r>
      <w:r>
        <w:rPr>
          <w:rFonts w:eastAsia="Times New Roman"/>
          <w:color w:val="000000"/>
          <w:sz w:val="20"/>
          <w:szCs w:val="20"/>
        </w:rPr>
        <w:t>ions by third parties and affiliates and gross unrealized losses on fixed maturity and equity securities; (iv) our reinsurance and hedging programs; (v) our products, structure and product distribution, including variable annuity guaranteed benefits featur</w:t>
      </w:r>
      <w:r>
        <w:rPr>
          <w:rFonts w:eastAsia="Times New Roman"/>
          <w:color w:val="000000"/>
          <w:sz w:val="20"/>
          <w:szCs w:val="20"/>
        </w:rPr>
        <w:t>es within certain of our products, complex regulation and administration of our products, variations in statutory capital requirements, financial strength and claims-paying ratings and key product distribution relationships; (vi) estimates, assumptions and</w:t>
      </w:r>
      <w:r>
        <w:rPr>
          <w:rFonts w:eastAsia="Times New Roman"/>
          <w:color w:val="000000"/>
          <w:sz w:val="20"/>
          <w:szCs w:val="20"/>
        </w:rPr>
        <w:t xml:space="preserve"> valuations, including risk management policies and procedures, potential inadequacy of reserves, actual mortality, longevity, morbidity and lapse experience differing from pricing expectations or reserves, amortization of deferred acquisition costs and fi</w:t>
      </w:r>
      <w:r>
        <w:rPr>
          <w:rFonts w:eastAsia="Times New Roman"/>
          <w:color w:val="000000"/>
          <w:sz w:val="20"/>
          <w:szCs w:val="20"/>
        </w:rPr>
        <w:t xml:space="preserve">nancial models; (vii) our Investment Management and Research segment, including fluctuations in assets under management, the industry-wide shift from actively-managed investment services to passive services and potential termination of investment advisory </w:t>
      </w:r>
      <w:r>
        <w:rPr>
          <w:rFonts w:eastAsia="Times New Roman"/>
          <w:color w:val="000000"/>
          <w:sz w:val="20"/>
          <w:szCs w:val="20"/>
        </w:rPr>
        <w:t>agreements; (viii) legal and regulatory risks, including federal and state legislation affecting financial institutions, insurance regulation and tax reform; (ix) risks related to separation from, and continuing relationship with, AXA, including costs asso</w:t>
      </w:r>
      <w:r>
        <w:rPr>
          <w:rFonts w:eastAsia="Times New Roman"/>
          <w:color w:val="000000"/>
          <w:sz w:val="20"/>
          <w:szCs w:val="20"/>
        </w:rPr>
        <w:t>ciated with separation and rebranding; and (x) risks related to our common stock and future offerings, including the market price for our common stock being volatile and potential stock price declines due to future sales of shares by existing stockholders.</w:t>
      </w:r>
      <w:r>
        <w:rPr>
          <w:rFonts w:eastAsia="Times New Roman"/>
          <w:color w:val="000000"/>
          <w:sz w:val="20"/>
          <w:szCs w:val="20"/>
        </w:rPr>
        <w:t xml:space="preserve"> </w:t>
      </w:r>
    </w:p>
    <w:p w:rsidR="00000000" w:rsidRDefault="00775A8F">
      <w:pPr>
        <w:ind w:firstLine="360"/>
        <w:divId w:val="712534997"/>
        <w:rPr>
          <w:rFonts w:eastAsia="Times New Roman"/>
        </w:rPr>
      </w:pPr>
      <w:r>
        <w:rPr>
          <w:rFonts w:eastAsia="Times New Roman"/>
          <w:color w:val="000000"/>
          <w:sz w:val="20"/>
          <w:szCs w:val="20"/>
        </w:rPr>
        <w:t>Forward-looking statements should be read in conjunction with the other cautionary statements, risks, uncertainties and other factors identified in Holdings’ Annual Report on Form 10-K for the year ended December 31, 2019, as amended or supplemented in o</w:t>
      </w:r>
      <w:r>
        <w:rPr>
          <w:rFonts w:eastAsia="Times New Roman"/>
          <w:color w:val="000000"/>
          <w:sz w:val="20"/>
          <w:szCs w:val="20"/>
        </w:rPr>
        <w:t>ur subsequently filed Quarterly Reports on Form 10-Q, including in the section entitled “Risk Factors,” and elsewhere in this Quarterly Report on Form 10-Q. Further, any forward-looking statement speaks only as of the date on which it is made, and we under</w:t>
      </w:r>
      <w:r>
        <w:rPr>
          <w:rFonts w:eastAsia="Times New Roman"/>
          <w:color w:val="000000"/>
          <w:sz w:val="20"/>
          <w:szCs w:val="20"/>
        </w:rPr>
        <w:t>take no obligation to update or revise any forward-looking statement to reflect events or circumstances after the date on which the statement is made or to reflect the occurrence of unanticipated events, except as otherwise may be required by law</w:t>
      </w:r>
      <w:r>
        <w:rPr>
          <w:rFonts w:eastAsia="Times New Roman"/>
          <w:color w:val="000000"/>
          <w:sz w:val="20"/>
          <w:szCs w:val="20"/>
        </w:rPr>
        <w:t>.</w:t>
      </w:r>
    </w:p>
    <w:p w:rsidR="00000000" w:rsidRDefault="00775A8F">
      <w:pPr>
        <w:jc w:val="center"/>
        <w:divId w:val="1869445947"/>
        <w:rPr>
          <w:rFonts w:eastAsia="Times New Roman"/>
        </w:rPr>
      </w:pPr>
      <w:r>
        <w:rPr>
          <w:rFonts w:eastAsia="Times New Roman"/>
          <w:color w:val="000000"/>
          <w:sz w:val="20"/>
          <w:szCs w:val="20"/>
        </w:rPr>
        <w:t>2</w:t>
      </w:r>
    </w:p>
    <w:p w:rsidR="00000000" w:rsidRDefault="00775A8F">
      <w:pPr>
        <w:rPr>
          <w:rFonts w:eastAsia="Times New Roman"/>
        </w:rPr>
      </w:pPr>
      <w:r>
        <w:rPr>
          <w:rFonts w:eastAsia="Times New Roman"/>
        </w:rPr>
        <w:pict>
          <v:rect id="_x0000_i1028" style="width:0;height:1.5pt" o:hralign="center" o:hrstd="t" o:hr="t" fillcolor="#a0a0a0" stroked="f"/>
        </w:pict>
      </w:r>
    </w:p>
    <w:p w:rsidR="00000000" w:rsidRDefault="00775A8F">
      <w:pPr>
        <w:divId w:val="1429079362"/>
        <w:rPr>
          <w:rFonts w:eastAsia="Times New Roman"/>
        </w:rPr>
      </w:pPr>
    </w:p>
    <w:p w:rsidR="00000000" w:rsidRDefault="00775A8F">
      <w:pPr>
        <w:divId w:val="1979335559"/>
        <w:rPr>
          <w:rFonts w:eastAsia="Times New Roman"/>
        </w:rPr>
      </w:pPr>
      <w:r>
        <w:rPr>
          <w:rFonts w:eastAsia="Times New Roman"/>
          <w:b/>
          <w:bCs/>
          <w:color w:val="000000"/>
          <w:sz w:val="20"/>
          <w:szCs w:val="20"/>
        </w:rPr>
        <w:t>Part I FINANCIAL INFORMATION</w:t>
      </w:r>
      <w:r>
        <w:rPr>
          <w:rFonts w:eastAsia="Times New Roman"/>
          <w:b/>
          <w:bCs/>
          <w:color w:val="000000"/>
          <w:sz w:val="20"/>
          <w:szCs w:val="20"/>
        </w:rPr>
        <w:t xml:space="preserve"> </w:t>
      </w:r>
    </w:p>
    <w:p w:rsidR="00000000" w:rsidRDefault="00775A8F">
      <w:pPr>
        <w:divId w:val="859508760"/>
        <w:rPr>
          <w:rFonts w:eastAsia="Times New Roman"/>
        </w:rPr>
      </w:pPr>
      <w:r>
        <w:rPr>
          <w:rFonts w:eastAsia="Times New Roman"/>
          <w:b/>
          <w:bCs/>
          <w:color w:val="000000"/>
          <w:sz w:val="20"/>
          <w:szCs w:val="20"/>
        </w:rPr>
        <w:t>Item 1. Consolidated Financial Statements</w:t>
      </w:r>
      <w:r>
        <w:rPr>
          <w:rFonts w:eastAsia="Times New Roman"/>
          <w:b/>
          <w:b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0"/>
        <w:gridCol w:w="5495"/>
        <w:gridCol w:w="50"/>
        <w:gridCol w:w="135"/>
        <w:gridCol w:w="931"/>
        <w:gridCol w:w="85"/>
        <w:gridCol w:w="36"/>
        <w:gridCol w:w="36"/>
        <w:gridCol w:w="36"/>
        <w:gridCol w:w="135"/>
        <w:gridCol w:w="908"/>
        <w:gridCol w:w="85"/>
        <w:gridCol w:w="36"/>
        <w:gridCol w:w="36"/>
        <w:gridCol w:w="36"/>
        <w:gridCol w:w="36"/>
        <w:gridCol w:w="36"/>
        <w:gridCol w:w="36"/>
        <w:gridCol w:w="36"/>
        <w:gridCol w:w="36"/>
        <w:gridCol w:w="36"/>
      </w:tblGrid>
      <w:tr w:rsidR="00000000">
        <w:trPr>
          <w:gridAfter w:val="9"/>
          <w:divId w:val="1502349919"/>
        </w:trPr>
        <w:tc>
          <w:tcPr>
            <w:tcW w:w="50" w:type="pct"/>
            <w:vAlign w:val="center"/>
            <w:hideMark/>
          </w:tcPr>
          <w:p w:rsidR="00000000" w:rsidRDefault="00775A8F">
            <w:pPr>
              <w:rPr>
                <w:rFonts w:eastAsia="Times New Roman"/>
              </w:rPr>
            </w:pPr>
          </w:p>
        </w:tc>
        <w:tc>
          <w:tcPr>
            <w:tcW w:w="345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502349919"/>
        </w:trPr>
        <w:tc>
          <w:tcPr>
            <w:tcW w:w="0" w:type="auto"/>
            <w:gridSpan w:val="12"/>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02349919"/>
        </w:trPr>
        <w:tc>
          <w:tcPr>
            <w:tcW w:w="0" w:type="auto"/>
            <w:gridSpan w:val="12"/>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20"/>
                <w:szCs w:val="20"/>
              </w:rPr>
              <w:t>Consolidated Balance Sheet</w:t>
            </w:r>
            <w:r>
              <w:rPr>
                <w:rFonts w:eastAsia="Times New Roman"/>
                <w:b/>
                <w:bCs/>
                <w:color w:val="000000"/>
                <w:sz w:val="20"/>
                <w:szCs w:val="20"/>
              </w:rPr>
              <w:t>s</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02349919"/>
        </w:trPr>
        <w:tc>
          <w:tcPr>
            <w:tcW w:w="0" w:type="auto"/>
            <w:gridSpan w:val="12"/>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20"/>
                <w:szCs w:val="20"/>
              </w:rPr>
              <w:t>June </w:t>
            </w:r>
            <w:r>
              <w:rPr>
                <w:rFonts w:eastAsia="Times New Roman"/>
                <w:b/>
                <w:bCs/>
                <w:color w:val="000000"/>
                <w:sz w:val="20"/>
                <w:szCs w:val="20"/>
              </w:rPr>
              <w:t>30, 2020 (Unaudited) and December 31, 201</w:t>
            </w:r>
            <w:r>
              <w:rPr>
                <w:rFonts w:eastAsia="Times New Roman"/>
                <w:b/>
                <w:bCs/>
                <w:color w:val="000000"/>
                <w:sz w:val="20"/>
                <w:szCs w:val="20"/>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02349919"/>
          <w:trHeight w:val="6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tcMar>
              <w:top w:w="15" w:type="dxa"/>
              <w:left w:w="20" w:type="dxa"/>
              <w:bottom w:w="15" w:type="dxa"/>
              <w:right w:w="20" w:type="dxa"/>
            </w:tcMar>
            <w:vAlign w:val="bottom"/>
            <w:hideMark/>
          </w:tcPr>
          <w:p w:rsidR="00000000" w:rsidRDefault="00775A8F">
            <w:pPr>
              <w:divId w:val="2086487852"/>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 except share data</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Fixed maturities available-for-sale, at fair value (amortized cost of $67,515 and $62,937) (allowance for credit losses of $13 at June 30, 2020</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76,243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66,343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Mortgage loans on real estate (net of allowance for credit losses of $66 at June 30, 2020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12,523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Policy loan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equity investments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1,342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Trading securities, at fair valu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6,616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invested assets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investment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102,693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93,340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Cash and cash equivalents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Cash and securities segregated, at fair valu</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Broker-dealer related receivable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Goodwill and other intangible assets,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4,756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Amounts due from reinsurers (allowance for credit losses of $6 at June 30, 2020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4,665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GMIB reinsurance contract asset, at fair valu</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Other assets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Assets held-for-sal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Separate Accounts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118,915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126,910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254,110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249,870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Policyholders’ account balance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59,272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58,879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Future policy benefits and other policyholders'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41,476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34,587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Broker-dealer related payable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Customer related payable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Amounts due to reinsurer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1,399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Short-term and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Current and 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Other liabilities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3,666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Liabilities held-for-sal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Separate Accounts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118,915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126,910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234,889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234,379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Redeemable noncontrolling interest (1) (2</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Commitments and contingent liabilities (Note 14</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lastRenderedPageBreak/>
              <w:t>EQUIT</w:t>
            </w:r>
            <w:r>
              <w:rPr>
                <w:rFonts w:eastAsia="Times New Roman"/>
                <w:b/>
                <w:bCs/>
                <w:color w:val="000000"/>
                <w:sz w:val="20"/>
                <w:szCs w:val="20"/>
              </w:rPr>
              <w:t>Y</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Equity attributable to Holdings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Preferred stock and additional paid-in capital, $1 par value, 32 million shares authorized, issued and outstanding; $25,000 liquidation preferenc</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Common stock, $0.01 par value, 2,000,000,000 shares authorized; 552,896,328 and 552,896,328 shares issued, respectively; 449,436,843 and 463,711,392 shares outstanding,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1,938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Treasury stock, at cost, 103,459,485 and 89,184,936 shares, respectivel</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12,995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11,827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Accumulated 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3,928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Total equity attributable to Holding</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17,594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13,535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Noncontrolling interes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1,540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Total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19,134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15,126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0234991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Total Liabilities, Redeemable Noncontrolling Interest and Equit</w:t>
            </w:r>
            <w:r>
              <w:rPr>
                <w:rFonts w:eastAsia="Times New Roman"/>
                <w:b/>
                <w:bCs/>
                <w:color w:val="000000"/>
                <w:sz w:val="20"/>
                <w:szCs w:val="20"/>
              </w:rPr>
              <w:t>y</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254,110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249,870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894267133"/>
        <w:rPr>
          <w:rFonts w:eastAsia="Times New Roman"/>
        </w:rPr>
      </w:pPr>
      <w:r>
        <w:rPr>
          <w:rFonts w:eastAsia="Times New Roman"/>
          <w:color w:val="000000"/>
          <w:sz w:val="18"/>
          <w:szCs w:val="18"/>
        </w:rPr>
        <w:t>___________</w:t>
      </w:r>
      <w:r>
        <w:rPr>
          <w:rFonts w:eastAsia="Times New Roman"/>
          <w:color w:val="000000"/>
          <w:sz w:val="18"/>
          <w:szCs w:val="18"/>
        </w:rPr>
        <w:t>_</w:t>
      </w:r>
    </w:p>
    <w:p w:rsidR="00000000" w:rsidRDefault="00775A8F">
      <w:pPr>
        <w:ind w:hanging="360"/>
        <w:divId w:val="1829469089"/>
        <w:rPr>
          <w:rFonts w:eastAsia="Times New Roman"/>
        </w:rPr>
      </w:pPr>
      <w:r>
        <w:rPr>
          <w:rFonts w:eastAsia="Times New Roman"/>
          <w:color w:val="000000"/>
          <w:sz w:val="18"/>
          <w:szCs w:val="18"/>
        </w:rPr>
        <w:t>(1) </w:t>
      </w:r>
      <w:r>
        <w:rPr>
          <w:rFonts w:eastAsia="Times New Roman"/>
          <w:color w:val="000000"/>
          <w:sz w:val="18"/>
          <w:szCs w:val="18"/>
        </w:rPr>
        <w:t>See Note 2 for details of balances with variable interest entities</w:t>
      </w:r>
      <w:r>
        <w:rPr>
          <w:rFonts w:eastAsia="Times New Roman"/>
          <w:color w:val="000000"/>
          <w:sz w:val="18"/>
          <w:szCs w:val="18"/>
        </w:rPr>
        <w:t>.</w:t>
      </w:r>
    </w:p>
    <w:p w:rsidR="00000000" w:rsidRDefault="00775A8F">
      <w:pPr>
        <w:ind w:hanging="450"/>
        <w:divId w:val="77094233"/>
        <w:rPr>
          <w:rFonts w:eastAsia="Times New Roman"/>
        </w:rPr>
      </w:pPr>
      <w:r>
        <w:rPr>
          <w:rFonts w:eastAsia="Times New Roman"/>
          <w:color w:val="000000"/>
          <w:sz w:val="18"/>
          <w:szCs w:val="18"/>
        </w:rPr>
        <w:t>(2) See Note 13 for details of Redeemable noncontrolling interest</w:t>
      </w:r>
      <w:r>
        <w:rPr>
          <w:rFonts w:eastAsia="Times New Roman"/>
          <w:color w:val="000000"/>
          <w:sz w:val="18"/>
          <w:szCs w:val="18"/>
        </w:rPr>
        <w:t>.</w:t>
      </w:r>
    </w:p>
    <w:p w:rsidR="00000000" w:rsidRDefault="00775A8F">
      <w:pPr>
        <w:jc w:val="center"/>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w:t>
      </w:r>
    </w:p>
    <w:p w:rsidR="00000000" w:rsidRDefault="00775A8F">
      <w:pPr>
        <w:jc w:val="center"/>
        <w:divId w:val="918946454"/>
        <w:rPr>
          <w:rFonts w:eastAsia="Times New Roman"/>
        </w:rPr>
      </w:pPr>
      <w:r>
        <w:rPr>
          <w:rFonts w:eastAsia="Times New Roman"/>
          <w:color w:val="000000"/>
          <w:sz w:val="20"/>
          <w:szCs w:val="20"/>
        </w:rPr>
        <w:t>3</w:t>
      </w:r>
    </w:p>
    <w:p w:rsidR="00000000" w:rsidRDefault="00775A8F">
      <w:pPr>
        <w:rPr>
          <w:rFonts w:eastAsia="Times New Roman"/>
        </w:rPr>
      </w:pPr>
      <w:r>
        <w:rPr>
          <w:rFonts w:eastAsia="Times New Roman"/>
        </w:rPr>
        <w:pict>
          <v:rect id="_x0000_i1029" style="width:0;height:1.5pt" o:hralign="center" o:hrstd="t" o:hr="t" fillcolor="#a0a0a0" stroked="f"/>
        </w:pict>
      </w:r>
    </w:p>
    <w:p w:rsidR="00000000" w:rsidRDefault="00775A8F">
      <w:pPr>
        <w:divId w:val="1147471709"/>
        <w:rPr>
          <w:rFonts w:eastAsia="Times New Roman"/>
        </w:rPr>
      </w:pPr>
    </w:p>
    <w:p w:rsidR="00000000" w:rsidRDefault="00775A8F">
      <w:pPr>
        <w:jc w:val="center"/>
        <w:divId w:val="257949711"/>
        <w:rPr>
          <w:rFonts w:eastAsia="Times New Roman"/>
        </w:rPr>
      </w:pPr>
      <w:r>
        <w:rPr>
          <w:rFonts w:eastAsia="Times New Roman"/>
          <w:b/>
          <w:bCs/>
          <w:color w:val="000000"/>
          <w:sz w:val="20"/>
          <w:szCs w:val="20"/>
        </w:rPr>
        <w:t xml:space="preserve">EQUITABLE HOLDINGS, </w:t>
      </w:r>
      <w:r>
        <w:rPr>
          <w:rFonts w:eastAsia="Times New Roman"/>
          <w:b/>
          <w:bCs/>
          <w:color w:val="000000"/>
          <w:sz w:val="20"/>
          <w:szCs w:val="20"/>
        </w:rPr>
        <w:t>INC</w:t>
      </w:r>
      <w:r>
        <w:rPr>
          <w:rFonts w:eastAsia="Times New Roman"/>
          <w:b/>
          <w:bCs/>
          <w:color w:val="000000"/>
          <w:sz w:val="20"/>
          <w:szCs w:val="20"/>
        </w:rPr>
        <w:t>.</w:t>
      </w:r>
    </w:p>
    <w:p w:rsidR="00000000" w:rsidRDefault="00775A8F">
      <w:pPr>
        <w:jc w:val="center"/>
        <w:divId w:val="257949711"/>
        <w:rPr>
          <w:rFonts w:eastAsia="Times New Roman"/>
        </w:rPr>
      </w:pPr>
      <w:r>
        <w:rPr>
          <w:rFonts w:eastAsia="Times New Roman"/>
          <w:b/>
          <w:bCs/>
          <w:color w:val="000000"/>
          <w:sz w:val="20"/>
          <w:szCs w:val="20"/>
        </w:rPr>
        <w:t>Consolidated Statements of Income (Loss</w:t>
      </w:r>
      <w:r>
        <w:rPr>
          <w:rFonts w:eastAsia="Times New Roman"/>
          <w:b/>
          <w:bCs/>
          <w:color w:val="000000"/>
          <w:sz w:val="20"/>
          <w:szCs w:val="20"/>
        </w:rPr>
        <w:t>)</w:t>
      </w:r>
    </w:p>
    <w:p w:rsidR="00000000" w:rsidRDefault="00775A8F">
      <w:pPr>
        <w:jc w:val="center"/>
        <w:divId w:val="257949711"/>
        <w:rPr>
          <w:rFonts w:eastAsia="Times New Roman"/>
        </w:rPr>
      </w:pPr>
      <w:r>
        <w:rPr>
          <w:rFonts w:eastAsia="Times New Roman"/>
          <w:b/>
          <w:bCs/>
          <w:color w:val="000000"/>
          <w:sz w:val="20"/>
          <w:szCs w:val="20"/>
        </w:rPr>
        <w:t>For the Three and Six Months Ended June 30, 2020 and 2019 (Unaudited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96"/>
        <w:gridCol w:w="37"/>
        <w:gridCol w:w="136"/>
        <w:gridCol w:w="767"/>
        <w:gridCol w:w="92"/>
        <w:gridCol w:w="36"/>
        <w:gridCol w:w="36"/>
        <w:gridCol w:w="36"/>
        <w:gridCol w:w="135"/>
        <w:gridCol w:w="461"/>
        <w:gridCol w:w="85"/>
        <w:gridCol w:w="36"/>
        <w:gridCol w:w="36"/>
        <w:gridCol w:w="36"/>
        <w:gridCol w:w="135"/>
        <w:gridCol w:w="787"/>
        <w:gridCol w:w="85"/>
        <w:gridCol w:w="36"/>
        <w:gridCol w:w="36"/>
        <w:gridCol w:w="36"/>
        <w:gridCol w:w="135"/>
        <w:gridCol w:w="788"/>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646319619"/>
          <w:jc w:val="center"/>
        </w:trPr>
        <w:tc>
          <w:tcPr>
            <w:tcW w:w="50" w:type="pct"/>
            <w:vAlign w:val="center"/>
            <w:hideMark/>
          </w:tcPr>
          <w:p w:rsidR="00000000" w:rsidRDefault="00775A8F">
            <w:pPr>
              <w:jc w:val="center"/>
              <w:rPr>
                <w:rFonts w:eastAsia="Times New Roman"/>
              </w:rPr>
            </w:pPr>
          </w:p>
        </w:tc>
        <w:tc>
          <w:tcPr>
            <w:tcW w:w="23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0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646319619"/>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646319619"/>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 except per share data</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46319619"/>
          <w:jc w:val="center"/>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 charges and fee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Premium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(6,033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3,368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gains (losses), net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Credit losses on AFS debt securities and loan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Other investment gains (losses),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495" w:type="dxa"/>
              <w:bottom w:w="30" w:type="dxa"/>
              <w:right w:w="20" w:type="dxa"/>
            </w:tcMar>
            <w:hideMark/>
          </w:tcPr>
          <w:p w:rsidR="00000000" w:rsidRDefault="00775A8F">
            <w:pPr>
              <w:rPr>
                <w:rFonts w:eastAsia="Times New Roman"/>
              </w:rPr>
            </w:pPr>
            <w:r>
              <w:rPr>
                <w:rFonts w:eastAsia="Times New Roman"/>
                <w:color w:val="000000"/>
                <w:sz w:val="20"/>
                <w:szCs w:val="20"/>
              </w:rPr>
              <w:t>Total investment gains (losses), ne</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and service fee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1,052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2,188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Other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(2,530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10,063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trHeight w:val="240"/>
          <w:jc w:val="center"/>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BENEFITS AND OTHER DEDUCTION</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Policyholders’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lastRenderedPageBreak/>
              <w:t>Interest credited to policyholders’ account balance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Compensation and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995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Commissions and distribution-related payment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Amortization of 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1,431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benefits and other deduction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8,195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Income (loss)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(5,019</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1,868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(3,942</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Less: Net income (loss) attributable to the noncontrolling interes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 attributable to Holding</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(4,028</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Less: Preferred stock dividend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 available to Holdings’ common shareholder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(4,038</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1,359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trHeight w:val="24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EARNINGS PER COMMON SHARE</w:t>
            </w:r>
            <w:r>
              <w:rPr>
                <w:rFonts w:eastAsia="Times New Roman"/>
                <w:b/>
                <w:bCs/>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 applicable to Holdings’ common shareholders per common share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2.97</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(0.82</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Weighted average common shares outstanding (in millions)</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3"/>
            <w:shd w:val="clear" w:color="auto" w:fill="CCEEFF"/>
            <w:tcMar>
              <w:top w:w="30" w:type="dxa"/>
              <w:left w:w="480" w:type="dxa"/>
              <w:bottom w:w="30" w:type="dxa"/>
              <w:right w:w="20" w:type="dxa"/>
            </w:tcMar>
            <w:vAlign w:val="center"/>
            <w:hideMark/>
          </w:tcPr>
          <w:p w:rsidR="00000000" w:rsidRDefault="00775A8F">
            <w:pPr>
              <w:rPr>
                <w:rFonts w:eastAsia="Times New Roman"/>
              </w:rPr>
            </w:pPr>
            <w:r>
              <w:rPr>
                <w:rFonts w:eastAsia="Times New Roman"/>
                <w:b/>
                <w:bCs/>
                <w:color w:val="000000"/>
                <w:sz w:val="20"/>
                <w:szCs w:val="20"/>
              </w:rPr>
              <w:t>450.</w:t>
            </w:r>
            <w:r>
              <w:rPr>
                <w:rFonts w:eastAsia="Times New Roman"/>
                <w:b/>
                <w:bCs/>
                <w:color w:val="000000"/>
                <w:sz w:val="20"/>
                <w:szCs w:val="20"/>
              </w:rPr>
              <w:t>4</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319619"/>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450.4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457.1</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504.5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rPr>
          <w:rFonts w:eastAsia="Times New Roman"/>
        </w:rPr>
      </w:pPr>
    </w:p>
    <w:p w:rsidR="00000000" w:rsidRDefault="00775A8F">
      <w:pPr>
        <w:jc w:val="center"/>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w:t>
      </w:r>
    </w:p>
    <w:p w:rsidR="00000000" w:rsidRDefault="00775A8F">
      <w:pPr>
        <w:jc w:val="center"/>
        <w:divId w:val="350379121"/>
        <w:rPr>
          <w:rFonts w:eastAsia="Times New Roman"/>
        </w:rPr>
      </w:pPr>
      <w:r>
        <w:rPr>
          <w:rFonts w:eastAsia="Times New Roman"/>
          <w:color w:val="000000"/>
          <w:sz w:val="20"/>
          <w:szCs w:val="20"/>
        </w:rPr>
        <w:t>4</w:t>
      </w:r>
    </w:p>
    <w:p w:rsidR="00000000" w:rsidRDefault="00775A8F">
      <w:pPr>
        <w:rPr>
          <w:rFonts w:eastAsia="Times New Roman"/>
        </w:rPr>
      </w:pPr>
      <w:r>
        <w:rPr>
          <w:rFonts w:eastAsia="Times New Roman"/>
        </w:rPr>
        <w:pict>
          <v:rect id="_x0000_i1030" style="width:0;height:1.5pt" o:hralign="center" o:hrstd="t" o:hr="t" fillcolor="#a0a0a0" stroked="f"/>
        </w:pict>
      </w:r>
    </w:p>
    <w:p w:rsidR="00000000" w:rsidRDefault="00775A8F">
      <w:pPr>
        <w:divId w:val="633484676"/>
        <w:rPr>
          <w:rFonts w:eastAsia="Times New Roman"/>
        </w:rPr>
      </w:pPr>
    </w:p>
    <w:p w:rsidR="00000000" w:rsidRDefault="00775A8F">
      <w:pPr>
        <w:jc w:val="center"/>
        <w:divId w:val="766119243"/>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766119243"/>
        <w:rPr>
          <w:rFonts w:eastAsia="Times New Roman"/>
        </w:rPr>
      </w:pPr>
      <w:r>
        <w:rPr>
          <w:rFonts w:eastAsia="Times New Roman"/>
          <w:b/>
          <w:bCs/>
          <w:color w:val="000000"/>
          <w:sz w:val="20"/>
          <w:szCs w:val="20"/>
        </w:rPr>
        <w:t>Consolidated Statements of Comprehensive Income (Loss</w:t>
      </w:r>
      <w:r>
        <w:rPr>
          <w:rFonts w:eastAsia="Times New Roman"/>
          <w:b/>
          <w:bCs/>
          <w:color w:val="000000"/>
          <w:sz w:val="20"/>
          <w:szCs w:val="20"/>
        </w:rPr>
        <w:t>)</w:t>
      </w:r>
    </w:p>
    <w:p w:rsidR="00000000" w:rsidRDefault="00775A8F">
      <w:pPr>
        <w:jc w:val="center"/>
        <w:divId w:val="766119243"/>
        <w:rPr>
          <w:rFonts w:eastAsia="Times New Roman"/>
        </w:rPr>
      </w:pPr>
      <w:r>
        <w:rPr>
          <w:rFonts w:eastAsia="Times New Roman"/>
          <w:b/>
          <w:bCs/>
          <w:color w:val="000000"/>
          <w:sz w:val="20"/>
          <w:szCs w:val="20"/>
        </w:rPr>
        <w:t>For the Three and Six Months Ended June 30, 2020 and 2019 (Unaudited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165"/>
        <w:gridCol w:w="36"/>
        <w:gridCol w:w="135"/>
        <w:gridCol w:w="599"/>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8187752"/>
        </w:trPr>
        <w:tc>
          <w:tcPr>
            <w:tcW w:w="50" w:type="pct"/>
            <w:vAlign w:val="center"/>
            <w:hideMark/>
          </w:tcPr>
          <w:p w:rsidR="00000000" w:rsidRDefault="00775A8F">
            <w:pPr>
              <w:jc w:val="center"/>
              <w:rPr>
                <w:rFonts w:eastAsia="Times New Roman"/>
              </w:rPr>
            </w:pPr>
          </w:p>
        </w:tc>
        <w:tc>
          <w:tcPr>
            <w:tcW w:w="28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4"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2818775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2818775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8187752"/>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COMPREHENSIVE INCOME (LOSS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(3,942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Other comprehensive income (loss) net of income taxes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Change in unrealized gains (losses), net of reclassification adjustmen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Changes in defined benefit plan related items not yet recognized in periodic benefit cost, net of reclassification adjustmen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Foreign currency translation adjustmen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other comprehensive income (loss), net of income taxe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1,642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3,083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Comprehensive income (loss</w:t>
            </w: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(2,300</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4,588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1,991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Less: Comprehensive income (loss) attributable to the noncontrolling interes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81877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Comprehensive income (loss) attributable to Holding</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(2,389</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1,752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4,470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w:t>
      </w:r>
    </w:p>
    <w:p w:rsidR="00000000" w:rsidRDefault="00775A8F">
      <w:pPr>
        <w:jc w:val="center"/>
        <w:divId w:val="1574855698"/>
        <w:rPr>
          <w:rFonts w:eastAsia="Times New Roman"/>
        </w:rPr>
      </w:pPr>
      <w:r>
        <w:rPr>
          <w:rFonts w:eastAsia="Times New Roman"/>
          <w:color w:val="000000"/>
          <w:sz w:val="20"/>
          <w:szCs w:val="20"/>
        </w:rPr>
        <w:t>5</w:t>
      </w:r>
    </w:p>
    <w:p w:rsidR="00000000" w:rsidRDefault="00775A8F">
      <w:pPr>
        <w:rPr>
          <w:rFonts w:eastAsia="Times New Roman"/>
        </w:rPr>
      </w:pPr>
      <w:r>
        <w:rPr>
          <w:rFonts w:eastAsia="Times New Roman"/>
        </w:rPr>
        <w:pict>
          <v:rect id="_x0000_i1031" style="width:0;height:1.5pt" o:hralign="center" o:hrstd="t" o:hr="t" fillcolor="#a0a0a0" stroked="f"/>
        </w:pict>
      </w:r>
    </w:p>
    <w:p w:rsidR="00000000" w:rsidRDefault="00775A8F">
      <w:pPr>
        <w:divId w:val="1150445904"/>
        <w:rPr>
          <w:rFonts w:eastAsia="Times New Roman"/>
        </w:rPr>
      </w:pPr>
    </w:p>
    <w:p w:rsidR="00000000" w:rsidRDefault="00775A8F">
      <w:pPr>
        <w:jc w:val="center"/>
        <w:divId w:val="936402490"/>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936402490"/>
        <w:rPr>
          <w:rFonts w:eastAsia="Times New Roman"/>
        </w:rPr>
      </w:pPr>
      <w:r>
        <w:rPr>
          <w:rFonts w:eastAsia="Times New Roman"/>
          <w:b/>
          <w:bCs/>
          <w:color w:val="000000"/>
          <w:sz w:val="20"/>
          <w:szCs w:val="20"/>
        </w:rPr>
        <w:t>Consolidated Statements of Equit</w:t>
      </w:r>
      <w:r>
        <w:rPr>
          <w:rFonts w:eastAsia="Times New Roman"/>
          <w:b/>
          <w:bCs/>
          <w:color w:val="000000"/>
          <w:sz w:val="20"/>
          <w:szCs w:val="20"/>
        </w:rPr>
        <w:t>y</w:t>
      </w:r>
    </w:p>
    <w:p w:rsidR="00000000" w:rsidRDefault="00775A8F">
      <w:pPr>
        <w:jc w:val="center"/>
        <w:divId w:val="936402490"/>
        <w:rPr>
          <w:rFonts w:eastAsia="Times New Roman"/>
        </w:rPr>
      </w:pPr>
      <w:r>
        <w:rPr>
          <w:rFonts w:eastAsia="Times New Roman"/>
          <w:b/>
          <w:bCs/>
          <w:color w:val="000000"/>
          <w:sz w:val="20"/>
          <w:szCs w:val="20"/>
        </w:rPr>
        <w:t>For the Three and Six Months Ended June 30, 2020 and 2019 (Unaudited</w:t>
      </w:r>
      <w:r>
        <w:rPr>
          <w:rFonts w:eastAsia="Times New Roman"/>
          <w:b/>
          <w:bCs/>
          <w:color w:val="000000"/>
          <w:sz w:val="20"/>
          <w:szCs w:val="20"/>
        </w:rPr>
        <w:t>)</w:t>
      </w:r>
    </w:p>
    <w:p w:rsidR="00000000" w:rsidRDefault="00775A8F">
      <w:pPr>
        <w:jc w:val="center"/>
        <w:rPr>
          <w:rFonts w:eastAsia="Times New Roman"/>
        </w:rPr>
      </w:pPr>
    </w:p>
    <w:p w:rsidR="00000000" w:rsidRDefault="00775A8F">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98"/>
        <w:gridCol w:w="763"/>
        <w:gridCol w:w="46"/>
        <w:gridCol w:w="106"/>
        <w:gridCol w:w="503"/>
        <w:gridCol w:w="53"/>
        <w:gridCol w:w="34"/>
        <w:gridCol w:w="36"/>
        <w:gridCol w:w="36"/>
        <w:gridCol w:w="36"/>
        <w:gridCol w:w="2"/>
        <w:gridCol w:w="104"/>
        <w:gridCol w:w="40"/>
        <w:gridCol w:w="388"/>
        <w:gridCol w:w="82"/>
        <w:gridCol w:w="6"/>
        <w:gridCol w:w="30"/>
        <w:gridCol w:w="36"/>
        <w:gridCol w:w="36"/>
        <w:gridCol w:w="42"/>
        <w:gridCol w:w="64"/>
        <w:gridCol w:w="80"/>
        <w:gridCol w:w="144"/>
        <w:gridCol w:w="144"/>
        <w:gridCol w:w="144"/>
        <w:gridCol w:w="3"/>
        <w:gridCol w:w="81"/>
        <w:gridCol w:w="36"/>
        <w:gridCol w:w="36"/>
        <w:gridCol w:w="36"/>
        <w:gridCol w:w="105"/>
        <w:gridCol w:w="131"/>
        <w:gridCol w:w="144"/>
        <w:gridCol w:w="144"/>
        <w:gridCol w:w="5"/>
        <w:gridCol w:w="70"/>
        <w:gridCol w:w="36"/>
        <w:gridCol w:w="33"/>
        <w:gridCol w:w="3"/>
        <w:gridCol w:w="36"/>
        <w:gridCol w:w="105"/>
        <w:gridCol w:w="144"/>
        <w:gridCol w:w="291"/>
        <w:gridCol w:w="70"/>
        <w:gridCol w:w="36"/>
        <w:gridCol w:w="36"/>
        <w:gridCol w:w="36"/>
        <w:gridCol w:w="55"/>
        <w:gridCol w:w="51"/>
        <w:gridCol w:w="93"/>
        <w:gridCol w:w="144"/>
        <w:gridCol w:w="144"/>
        <w:gridCol w:w="144"/>
        <w:gridCol w:w="144"/>
        <w:gridCol w:w="140"/>
        <w:gridCol w:w="82"/>
        <w:gridCol w:w="36"/>
        <w:gridCol w:w="36"/>
        <w:gridCol w:w="36"/>
        <w:gridCol w:w="98"/>
        <w:gridCol w:w="7"/>
        <w:gridCol w:w="137"/>
        <w:gridCol w:w="144"/>
        <w:gridCol w:w="144"/>
        <w:gridCol w:w="10"/>
        <w:gridCol w:w="70"/>
        <w:gridCol w:w="36"/>
        <w:gridCol w:w="28"/>
        <w:gridCol w:w="8"/>
        <w:gridCol w:w="36"/>
        <w:gridCol w:w="100"/>
        <w:gridCol w:w="6"/>
        <w:gridCol w:w="470"/>
        <w:gridCol w:w="75"/>
        <w:gridCol w:w="69"/>
        <w:gridCol w:w="5"/>
        <w:gridCol w:w="36"/>
        <w:gridCol w:w="36"/>
        <w:gridCol w:w="36"/>
        <w:gridCol w:w="31"/>
        <w:gridCol w:w="74"/>
        <w:gridCol w:w="70"/>
        <w:gridCol w:w="144"/>
        <w:gridCol w:w="144"/>
        <w:gridCol w:w="77"/>
        <w:gridCol w:w="70"/>
        <w:gridCol w:w="36"/>
        <w:gridCol w:w="36"/>
        <w:gridCol w:w="36"/>
        <w:gridCol w:w="36"/>
        <w:gridCol w:w="36"/>
        <w:gridCol w:w="36"/>
        <w:gridCol w:w="36"/>
        <w:gridCol w:w="36"/>
        <w:gridCol w:w="36"/>
        <w:gridCol w:w="346"/>
        <w:gridCol w:w="144"/>
        <w:gridCol w:w="144"/>
        <w:gridCol w:w="144"/>
        <w:gridCol w:w="144"/>
        <w:gridCol w:w="144"/>
        <w:gridCol w:w="451"/>
        <w:gridCol w:w="144"/>
        <w:gridCol w:w="144"/>
        <w:gridCol w:w="144"/>
        <w:gridCol w:w="144"/>
        <w:gridCol w:w="144"/>
        <w:gridCol w:w="609"/>
        <w:gridCol w:w="144"/>
        <w:gridCol w:w="144"/>
        <w:gridCol w:w="144"/>
        <w:gridCol w:w="144"/>
        <w:gridCol w:w="144"/>
        <w:gridCol w:w="478"/>
        <w:gridCol w:w="144"/>
      </w:tblGrid>
      <w:tr w:rsidR="00000000">
        <w:trPr>
          <w:gridAfter w:val="29"/>
          <w:divId w:val="1440294132"/>
          <w:jc w:val="center"/>
        </w:trPr>
        <w:tc>
          <w:tcPr>
            <w:tcW w:w="50" w:type="pct"/>
            <w:vAlign w:val="center"/>
            <w:hideMark/>
          </w:tcPr>
          <w:p w:rsidR="00000000" w:rsidRDefault="00775A8F">
            <w:pPr>
              <w:jc w:val="center"/>
              <w:rPr>
                <w:rFonts w:eastAsia="Times New Roman"/>
              </w:rPr>
            </w:pPr>
          </w:p>
        </w:tc>
        <w:tc>
          <w:tcPr>
            <w:tcW w:w="886"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87"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58"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gridSpan w:val="2"/>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316" w:type="pct"/>
            <w:gridSpan w:val="5"/>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58" w:type="pct"/>
            <w:gridSpan w:val="4"/>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87"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492" w:type="pct"/>
            <w:gridSpan w:val="6"/>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72" w:type="pct"/>
            <w:gridSpan w:val="4"/>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367" w:type="pct"/>
            <w:gridSpan w:val="2"/>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88" w:type="pct"/>
            <w:gridSpan w:val="4"/>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76"/>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Three Months Ended June 30</w:t>
            </w:r>
            <w:r>
              <w:rPr>
                <w:rFonts w:eastAsia="Times New Roman"/>
                <w:b/>
                <w:bCs/>
                <w:color w:val="000000"/>
                <w:sz w:val="14"/>
                <w:szCs w:val="14"/>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6"/>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Equity Attributable to Holding</w:t>
            </w:r>
            <w:r>
              <w:rPr>
                <w:rFonts w:eastAsia="Times New Roman"/>
                <w:b/>
                <w:bCs/>
                <w:color w:val="000000"/>
                <w:sz w:val="14"/>
                <w:szCs w:val="14"/>
              </w:rPr>
              <w:t>s</w:t>
            </w:r>
          </w:p>
        </w:tc>
        <w:tc>
          <w:tcPr>
            <w:tcW w:w="0" w:type="auto"/>
            <w:gridSpan w:val="4"/>
            <w:vAlign w:val="center"/>
            <w:hideMark/>
          </w:tcPr>
          <w:p w:rsidR="00000000" w:rsidRDefault="00775A8F">
            <w:pPr>
              <w:jc w:val="center"/>
              <w:rPr>
                <w:rFonts w:eastAsia="Times New Roman"/>
              </w:rPr>
            </w:pPr>
          </w:p>
        </w:tc>
        <w:tc>
          <w:tcPr>
            <w:tcW w:w="0" w:type="auto"/>
            <w:gridSpan w:val="6"/>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Preferred Stock and Additional Paid-In Capita</w:t>
            </w:r>
            <w:r>
              <w:rPr>
                <w:rFonts w:eastAsia="Times New Roman"/>
                <w:b/>
                <w:bCs/>
                <w:color w:val="000000"/>
                <w:sz w:val="14"/>
                <w:szCs w:val="14"/>
              </w:rPr>
              <w:t>l</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Additional Paid-in Capita</w:t>
            </w:r>
            <w:r>
              <w:rPr>
                <w:rFonts w:eastAsia="Times New Roman"/>
                <w:b/>
                <w:bCs/>
                <w:color w:val="000000"/>
                <w:sz w:val="14"/>
                <w:szCs w:val="14"/>
              </w:rPr>
              <w:t>l</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Treasury Stoc</w:t>
            </w:r>
            <w:r>
              <w:rPr>
                <w:rFonts w:eastAsia="Times New Roman"/>
                <w:b/>
                <w:bCs/>
                <w:color w:val="000000"/>
                <w:sz w:val="14"/>
                <w:szCs w:val="14"/>
              </w:rPr>
              <w:t>k</w:t>
            </w: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Retained Earning</w:t>
            </w:r>
            <w:r>
              <w:rPr>
                <w:rFonts w:eastAsia="Times New Roman"/>
                <w:b/>
                <w:bCs/>
                <w:color w:val="000000"/>
                <w:sz w:val="14"/>
                <w:szCs w:val="14"/>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Accumulated Other Comprehensive Income (Loss</w:t>
            </w:r>
            <w:r>
              <w:rPr>
                <w:rFonts w:eastAsia="Times New Roman"/>
                <w:b/>
                <w:bCs/>
                <w:color w:val="000000"/>
                <w:sz w:val="14"/>
                <w:szCs w:val="14"/>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Total Holdings Equit</w:t>
            </w:r>
            <w:r>
              <w:rPr>
                <w:rFonts w:eastAsia="Times New Roman"/>
                <w:b/>
                <w:bCs/>
                <w:color w:val="000000"/>
                <w:sz w:val="14"/>
                <w:szCs w:val="14"/>
              </w:rPr>
              <w:t>y</w:t>
            </w:r>
          </w:p>
        </w:tc>
        <w:tc>
          <w:tcPr>
            <w:tcW w:w="0" w:type="auto"/>
            <w:gridSpan w:val="4"/>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6"/>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Non-controlling Interes</w:t>
            </w:r>
            <w:r>
              <w:rPr>
                <w:rFonts w:eastAsia="Times New Roman"/>
                <w:b/>
                <w:bCs/>
                <w:color w:val="000000"/>
                <w:sz w:val="14"/>
                <w:szCs w:val="14"/>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Total Equit</w:t>
            </w:r>
            <w:r>
              <w:rPr>
                <w:rFonts w:eastAsia="Times New Roman"/>
                <w:b/>
                <w:bCs/>
                <w:color w:val="000000"/>
                <w:sz w:val="14"/>
                <w:szCs w:val="14"/>
              </w:rPr>
              <w:t>y</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76"/>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(in millions</w:t>
            </w:r>
            <w:r>
              <w:rPr>
                <w:rFonts w:eastAsia="Times New Roman"/>
                <w:b/>
                <w:bCs/>
                <w:color w:val="000000"/>
                <w:sz w:val="14"/>
                <w:szCs w:val="14"/>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4"/>
                <w:szCs w:val="14"/>
              </w:rPr>
              <w:t>April 1, 202</w:t>
            </w:r>
            <w:r>
              <w:rPr>
                <w:rFonts w:eastAsia="Times New Roman"/>
                <w:b/>
                <w:bCs/>
                <w:color w:val="000000"/>
                <w:sz w:val="14"/>
                <w:szCs w:val="14"/>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775</w:t>
            </w:r>
            <w:r>
              <w:rPr>
                <w:rFonts w:eastAsia="Times New Roman"/>
                <w:b/>
                <w:bCs/>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5</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5"/>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1,930</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(2,025</w:t>
            </w:r>
            <w:r>
              <w:rPr>
                <w:rFonts w:eastAsia="Times New Roman"/>
                <w:b/>
                <w:bCs/>
                <w:color w:val="000000"/>
                <w:sz w:val="14"/>
                <w:szCs w:val="14"/>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17,112</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6"/>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2,289</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20,086</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1,554</w:t>
            </w:r>
            <w:r>
              <w:rPr>
                <w:rFonts w:eastAsia="Times New Roman"/>
                <w:b/>
                <w:bCs/>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21,640</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4"/>
                <w:szCs w:val="14"/>
              </w:rPr>
              <w:t>Stock compensatio</w:t>
            </w:r>
            <w:r>
              <w:rPr>
                <w:rFonts w:eastAsia="Times New Roman"/>
                <w:color w:val="000000"/>
                <w:sz w:val="14"/>
                <w:szCs w:val="14"/>
              </w:rPr>
              <w:t>n</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17</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Purchase of treasury stoc</w:t>
            </w:r>
            <w:r>
              <w:rPr>
                <w:rFonts w:eastAsia="Times New Roman"/>
                <w:color w:val="000000"/>
                <w:sz w:val="14"/>
                <w:szCs w:val="14"/>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(24</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(24</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(24</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Reissuance of treasury stoc</w:t>
            </w:r>
            <w:r>
              <w:rPr>
                <w:rFonts w:eastAsia="Times New Roman"/>
                <w:color w:val="000000"/>
                <w:sz w:val="14"/>
                <w:szCs w:val="14"/>
              </w:rPr>
              <w:t>k</w:t>
            </w:r>
          </w:p>
        </w:tc>
        <w:tc>
          <w:tcPr>
            <w:tcW w:w="0" w:type="auto"/>
            <w:gridSpan w:val="4"/>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9"/>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vAlign w:val="center"/>
            <w:hideMark/>
          </w:tcPr>
          <w:p w:rsidR="00000000" w:rsidRDefault="00775A8F">
            <w:pPr>
              <w:jc w:val="right"/>
              <w:rPr>
                <w:rFonts w:eastAsia="Times New Roman"/>
              </w:rPr>
            </w:pPr>
          </w:p>
        </w:tc>
        <w:tc>
          <w:tcPr>
            <w:tcW w:w="0" w:type="auto"/>
            <w:gridSpan w:val="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Repurchase of AB Holding unit</w:t>
            </w:r>
            <w:r>
              <w:rPr>
                <w:rFonts w:eastAsia="Times New Roman"/>
                <w:color w:val="000000"/>
                <w:sz w:val="14"/>
                <w:szCs w:val="14"/>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(37</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(37</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(11</w:t>
            </w:r>
            <w:r>
              <w:rPr>
                <w:rFonts w:eastAsia="Times New Roman"/>
                <w:b/>
                <w:bCs/>
                <w:color w:val="000000"/>
                <w:sz w:val="14"/>
                <w:szCs w:val="14"/>
              </w:rPr>
              <w:t>)</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(48</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Dividends paid to noncontrolling interes</w:t>
            </w:r>
            <w:r>
              <w:rPr>
                <w:rFonts w:eastAsia="Times New Roman"/>
                <w:color w:val="000000"/>
                <w:sz w:val="14"/>
                <w:szCs w:val="14"/>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(69</w:t>
            </w:r>
            <w:r>
              <w:rPr>
                <w:rFonts w:eastAsia="Times New Roman"/>
                <w:b/>
                <w:bCs/>
                <w:color w:val="000000"/>
                <w:sz w:val="14"/>
                <w:szCs w:val="14"/>
              </w:rPr>
              <w:t>)</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(69</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Stockholder dividends (cash dividends declared per common share of $0.17</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1440294132"/>
          <w:jc w:val="center"/>
        </w:trPr>
        <w:tc>
          <w:tcPr>
            <w:tcW w:w="0" w:type="auto"/>
            <w:gridSpan w:val="4"/>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Dividends on preferred stoc</w:t>
            </w:r>
            <w:r>
              <w:rPr>
                <w:rFonts w:eastAsia="Times New Roman"/>
                <w:color w:val="000000"/>
                <w:sz w:val="14"/>
                <w:szCs w:val="14"/>
              </w:rPr>
              <w:t>k</w:t>
            </w:r>
          </w:p>
        </w:tc>
        <w:tc>
          <w:tcPr>
            <w:tcW w:w="0" w:type="auto"/>
            <w:gridSpan w:val="4"/>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8"/>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6"/>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9"/>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Net income (loss</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(4,028</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(4,028</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61</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(3,967</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Other comprehensive income (loss</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1,639</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1,639</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1,642</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14"/>
                <w:szCs w:val="14"/>
              </w:rPr>
              <w:t>Othe</w:t>
            </w:r>
            <w:r>
              <w:rPr>
                <w:rFonts w:eastAsia="Times New Roman"/>
                <w:color w:val="000000"/>
                <w:sz w:val="14"/>
                <w:szCs w:val="14"/>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1440294132"/>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4"/>
                <w:szCs w:val="14"/>
              </w:rPr>
              <w:t>June 30, 202</w:t>
            </w:r>
            <w:r>
              <w:rPr>
                <w:rFonts w:eastAsia="Times New Roman"/>
                <w:b/>
                <w:bCs/>
                <w:color w:val="000000"/>
                <w:sz w:val="14"/>
                <w:szCs w:val="14"/>
              </w:rPr>
              <w:t>0</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775</w:t>
            </w:r>
            <w:r>
              <w:rPr>
                <w:rFonts w:eastAsia="Times New Roman"/>
                <w:b/>
                <w:bCs/>
                <w:color w:val="000000"/>
                <w:sz w:val="14"/>
                <w:szCs w:val="14"/>
              </w:rPr>
              <w:t> </w:t>
            </w:r>
          </w:p>
        </w:tc>
        <w:tc>
          <w:tcPr>
            <w:tcW w:w="0" w:type="auto"/>
            <w:gridSpan w:val="2"/>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5</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5"/>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1,938</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(2,047</w:t>
            </w: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12,995</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6"/>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3,928</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17,594</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1,540</w:t>
            </w:r>
            <w:r>
              <w:rPr>
                <w:rFonts w:eastAsia="Times New Roman"/>
                <w:b/>
                <w:bCs/>
                <w:color w:val="000000"/>
                <w:sz w:val="14"/>
                <w:szCs w:val="14"/>
              </w:rPr>
              <w:t> </w:t>
            </w:r>
          </w:p>
        </w:tc>
        <w:tc>
          <w:tcPr>
            <w:tcW w:w="0" w:type="auto"/>
            <w:gridSpan w:val="2"/>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19,134</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center"/>
        </w:trPr>
        <w:tc>
          <w:tcPr>
            <w:tcW w:w="50" w:type="pct"/>
            <w:gridSpan w:val="2"/>
            <w:vAlign w:val="center"/>
            <w:hideMark/>
          </w:tcPr>
          <w:p w:rsidR="00000000" w:rsidRDefault="00775A8F">
            <w:pPr>
              <w:jc w:val="center"/>
              <w:rPr>
                <w:rFonts w:eastAsia="Times New Roman"/>
              </w:rPr>
            </w:pPr>
          </w:p>
        </w:tc>
        <w:tc>
          <w:tcPr>
            <w:tcW w:w="886" w:type="pct"/>
            <w:gridSpan w:val="5"/>
            <w:vAlign w:val="center"/>
            <w:hideMark/>
          </w:tcPr>
          <w:p w:rsidR="00000000" w:rsidRDefault="00775A8F">
            <w:pPr>
              <w:rPr>
                <w:rFonts w:eastAsia="Times New Roman"/>
                <w:sz w:val="20"/>
                <w:szCs w:val="20"/>
              </w:rPr>
            </w:pPr>
          </w:p>
        </w:tc>
        <w:tc>
          <w:tcPr>
            <w:tcW w:w="50" w:type="pct"/>
            <w:gridSpan w:val="5"/>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87" w:type="pct"/>
            <w:gridSpan w:val="3"/>
            <w:vAlign w:val="center"/>
            <w:hideMark/>
          </w:tcPr>
          <w:p w:rsidR="00000000" w:rsidRDefault="00775A8F">
            <w:pPr>
              <w:rPr>
                <w:rFonts w:eastAsia="Times New Roman"/>
                <w:sz w:val="20"/>
                <w:szCs w:val="20"/>
              </w:rPr>
            </w:pPr>
          </w:p>
        </w:tc>
        <w:tc>
          <w:tcPr>
            <w:tcW w:w="50" w:type="pct"/>
            <w:gridSpan w:val="4"/>
            <w:vAlign w:val="center"/>
            <w:hideMark/>
          </w:tcPr>
          <w:p w:rsidR="00000000" w:rsidRDefault="00775A8F">
            <w:pPr>
              <w:rPr>
                <w:rFonts w:eastAsia="Times New Roman"/>
                <w:sz w:val="20"/>
                <w:szCs w:val="20"/>
              </w:rPr>
            </w:pPr>
          </w:p>
        </w:tc>
        <w:tc>
          <w:tcPr>
            <w:tcW w:w="5" w:type="pct"/>
            <w:gridSpan w:val="2"/>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58" w:type="pct"/>
            <w:gridSpan w:val="7"/>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gridSpan w:val="4"/>
            <w:vAlign w:val="center"/>
            <w:hideMark/>
          </w:tcPr>
          <w:p w:rsidR="00000000" w:rsidRDefault="00775A8F">
            <w:pPr>
              <w:rPr>
                <w:rFonts w:eastAsia="Times New Roman"/>
                <w:sz w:val="20"/>
                <w:szCs w:val="20"/>
              </w:rPr>
            </w:pPr>
          </w:p>
        </w:tc>
        <w:tc>
          <w:tcPr>
            <w:tcW w:w="5" w:type="pct"/>
            <w:gridSpan w:val="3"/>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16" w:type="pct"/>
            <w:gridSpan w:val="6"/>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58" w:type="pct"/>
            <w:gridSpan w:val="6"/>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gridSpan w:val="4"/>
            <w:vAlign w:val="center"/>
            <w:hideMark/>
          </w:tcPr>
          <w:p w:rsidR="00000000" w:rsidRDefault="00775A8F">
            <w:pPr>
              <w:rPr>
                <w:rFonts w:eastAsia="Times New Roman"/>
                <w:sz w:val="20"/>
                <w:szCs w:val="20"/>
              </w:rPr>
            </w:pPr>
          </w:p>
        </w:tc>
        <w:tc>
          <w:tcPr>
            <w:tcW w:w="50" w:type="pct"/>
            <w:gridSpan w:val="3"/>
            <w:vAlign w:val="center"/>
            <w:hideMark/>
          </w:tcPr>
          <w:p w:rsidR="00000000" w:rsidRDefault="00775A8F">
            <w:pPr>
              <w:rPr>
                <w:rFonts w:eastAsia="Times New Roman"/>
                <w:sz w:val="20"/>
                <w:szCs w:val="20"/>
              </w:rPr>
            </w:pPr>
          </w:p>
        </w:tc>
        <w:tc>
          <w:tcPr>
            <w:tcW w:w="287" w:type="pct"/>
            <w:gridSpan w:val="2"/>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gridSpan w:val="5"/>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2" w:type="pct"/>
            <w:gridSpan w:val="1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6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8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jc w:val="center"/>
        </w:trPr>
        <w:tc>
          <w:tcPr>
            <w:tcW w:w="0" w:type="auto"/>
            <w:gridSpan w:val="12"/>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April 1, 201</w:t>
            </w:r>
            <w:r>
              <w:rPr>
                <w:rFonts w:eastAsia="Times New Roman"/>
                <w:color w:val="000000"/>
                <w:sz w:val="14"/>
                <w:szCs w:val="14"/>
              </w:rPr>
              <w:t>9</w:t>
            </w: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3"/>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7"/>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1,881</w:t>
            </w:r>
            <w:r>
              <w:rPr>
                <w:rFonts w:eastAsia="Times New Roman"/>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(1,234</w:t>
            </w:r>
            <w:r>
              <w:rPr>
                <w:rFonts w:eastAsia="Times New Roman"/>
                <w:color w:val="000000"/>
                <w:sz w:val="14"/>
                <w:szCs w:val="14"/>
              </w:rPr>
              <w:t>)</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13,004</w:t>
            </w:r>
            <w:r>
              <w:rPr>
                <w:rFonts w:eastAsia="Times New Roman"/>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1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(513</w:t>
            </w:r>
            <w:r>
              <w:rPr>
                <w:rFonts w:eastAsia="Times New Roman"/>
                <w:color w:val="000000"/>
                <w:sz w:val="14"/>
                <w:szCs w:val="14"/>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13,143</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1,539</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14,682</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Stock compensatio</w:t>
            </w:r>
            <w:r>
              <w:rPr>
                <w:rFonts w:eastAsia="Times New Roman"/>
                <w:color w:val="000000"/>
                <w:sz w:val="14"/>
                <w:szCs w:val="14"/>
              </w:rPr>
              <w:t>n</w:t>
            </w: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28</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30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33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vAlign w:val="center"/>
            <w:hideMark/>
          </w:tcPr>
          <w:p w:rsidR="00000000" w:rsidRDefault="00775A8F">
            <w:pPr>
              <w:jc w:val="right"/>
              <w:rPr>
                <w:rFonts w:eastAsia="Times New Roman"/>
              </w:rPr>
            </w:pPr>
          </w:p>
        </w:tc>
        <w:tc>
          <w:tcPr>
            <w:tcW w:w="0" w:type="auto"/>
            <w:gridSpan w:val="9"/>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1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jc w:val="center"/>
        </w:trPr>
        <w:tc>
          <w:tcPr>
            <w:tcW w:w="0" w:type="auto"/>
            <w:gridSpan w:val="12"/>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1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jc w:val="center"/>
        </w:trPr>
        <w:tc>
          <w:tcPr>
            <w:tcW w:w="0" w:type="auto"/>
            <w:gridSpan w:val="12"/>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Retirement of common stoc</w:t>
            </w:r>
            <w:r>
              <w:rPr>
                <w:rFonts w:eastAsia="Times New Roman"/>
                <w:color w:val="000000"/>
                <w:sz w:val="14"/>
                <w:szCs w:val="14"/>
              </w:rPr>
              <w:t>k</w:t>
            </w:r>
          </w:p>
        </w:tc>
        <w:tc>
          <w:tcPr>
            <w:tcW w:w="0" w:type="auto"/>
            <w:gridSpan w:val="9"/>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4"/>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w:t>
            </w:r>
            <w:r>
              <w:rPr>
                <w:rFonts w:eastAsia="Times New Roman"/>
                <w:color w:val="000000"/>
                <w:sz w:val="14"/>
                <w:szCs w:val="14"/>
              </w:rPr>
              <w:t>)</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vAlign w:val="center"/>
            <w:hideMark/>
          </w:tcPr>
          <w:p w:rsidR="00000000" w:rsidRDefault="00775A8F">
            <w:pPr>
              <w:jc w:val="right"/>
              <w:rPr>
                <w:rFonts w:eastAsia="Times New Roman"/>
              </w:rPr>
            </w:pPr>
          </w:p>
        </w:tc>
        <w:tc>
          <w:tcPr>
            <w:tcW w:w="0" w:type="auto"/>
            <w:gridSpan w:val="9"/>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1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jc w:val="center"/>
        </w:trPr>
        <w:tc>
          <w:tcPr>
            <w:tcW w:w="0" w:type="auto"/>
            <w:gridSpan w:val="12"/>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Dividends paid to noncontrolling interes</w:t>
            </w:r>
            <w:r>
              <w:rPr>
                <w:rFonts w:eastAsia="Times New Roman"/>
                <w:color w:val="000000"/>
                <w:sz w:val="14"/>
                <w:szCs w:val="14"/>
              </w:rPr>
              <w:t>t</w:t>
            </w: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Stockholder dividends (cash dividends declared per common share of $0.15</w:t>
            </w:r>
            <w:r>
              <w:rPr>
                <w:rFonts w:eastAsia="Times New Roman"/>
                <w:color w:val="000000"/>
                <w:sz w:val="14"/>
                <w:szCs w:val="14"/>
              </w:rPr>
              <w:t>)</w:t>
            </w: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(73</w:t>
            </w:r>
            <w:r>
              <w:rPr>
                <w:rFonts w:eastAsia="Times New Roman"/>
                <w:color w:val="000000"/>
                <w:sz w:val="14"/>
                <w:szCs w:val="14"/>
              </w:rPr>
              <w:t>)</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(73</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(73</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vAlign w:val="center"/>
            <w:hideMark/>
          </w:tcPr>
          <w:p w:rsidR="00000000" w:rsidRDefault="00775A8F">
            <w:pPr>
              <w:jc w:val="right"/>
              <w:rPr>
                <w:rFonts w:eastAsia="Times New Roman"/>
              </w:rPr>
            </w:pPr>
          </w:p>
        </w:tc>
        <w:tc>
          <w:tcPr>
            <w:tcW w:w="0" w:type="auto"/>
            <w:gridSpan w:val="9"/>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1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jc w:val="center"/>
        </w:trPr>
        <w:tc>
          <w:tcPr>
            <w:tcW w:w="0" w:type="auto"/>
            <w:gridSpan w:val="12"/>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14"/>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jc w:val="center"/>
        </w:trPr>
        <w:tc>
          <w:tcPr>
            <w:tcW w:w="0" w:type="auto"/>
            <w:gridSpan w:val="12"/>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Net income (loss</w:t>
            </w:r>
            <w:r>
              <w:rPr>
                <w:rFonts w:eastAsia="Times New Roman"/>
                <w:color w:val="000000"/>
                <w:sz w:val="14"/>
                <w:szCs w:val="14"/>
              </w:rPr>
              <w:t>)</w:t>
            </w: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363</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363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60</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423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Other comprehensive income (loss</w:t>
            </w:r>
            <w:r>
              <w:rPr>
                <w:rFonts w:eastAsia="Times New Roman"/>
                <w:color w:val="000000"/>
                <w:sz w:val="14"/>
                <w:szCs w:val="14"/>
              </w:rPr>
              <w:t>)</w:t>
            </w: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1,389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1,389</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1,388</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2"/>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Othe</w:t>
            </w:r>
            <w:r>
              <w:rPr>
                <w:rFonts w:eastAsia="Times New Roman"/>
                <w:color w:val="000000"/>
                <w:sz w:val="14"/>
                <w:szCs w:val="14"/>
              </w:rPr>
              <w:t>r</w:t>
            </w: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8"/>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(8</w:t>
            </w:r>
            <w:r>
              <w:rPr>
                <w:rFonts w:eastAsia="Times New Roman"/>
                <w:color w:val="000000"/>
                <w:sz w:val="14"/>
                <w:szCs w:val="14"/>
              </w:rPr>
              <w:t>)</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775A8F">
        <w:trPr>
          <w:jc w:val="center"/>
        </w:trPr>
        <w:tc>
          <w:tcPr>
            <w:tcW w:w="0" w:type="auto"/>
            <w:gridSpan w:val="12"/>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June 30, 201</w:t>
            </w:r>
            <w:r>
              <w:rPr>
                <w:rFonts w:eastAsia="Times New Roman"/>
                <w:color w:val="000000"/>
                <w:sz w:val="14"/>
                <w:szCs w:val="14"/>
              </w:rPr>
              <w:t>9</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1,901</w:t>
            </w:r>
            <w:r>
              <w:rPr>
                <w:rFonts w:eastAsia="Times New Roman"/>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(1,232</w:t>
            </w: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13,293</w:t>
            </w:r>
            <w:r>
              <w:rPr>
                <w:rFonts w:eastAsia="Times New Roman"/>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12"/>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876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14,843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1,545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16,388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bl>
    <w:p w:rsidR="00000000" w:rsidRDefault="00775A8F">
      <w:pPr>
        <w:jc w:val="center"/>
        <w:rPr>
          <w:rFonts w:eastAsia="Times New Roman"/>
        </w:rPr>
      </w:pPr>
    </w:p>
    <w:p w:rsidR="00000000" w:rsidRDefault="00775A8F">
      <w:pPr>
        <w:jc w:val="center"/>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w:t>
      </w:r>
    </w:p>
    <w:p w:rsidR="00000000" w:rsidRDefault="00775A8F">
      <w:pPr>
        <w:jc w:val="center"/>
        <w:divId w:val="261960099"/>
        <w:rPr>
          <w:rFonts w:eastAsia="Times New Roman"/>
        </w:rPr>
      </w:pPr>
      <w:r>
        <w:rPr>
          <w:rFonts w:eastAsia="Times New Roman"/>
          <w:color w:val="000000"/>
          <w:sz w:val="20"/>
          <w:szCs w:val="20"/>
        </w:rPr>
        <w:t>6</w:t>
      </w:r>
    </w:p>
    <w:p w:rsidR="00000000" w:rsidRDefault="00775A8F">
      <w:pPr>
        <w:rPr>
          <w:rFonts w:eastAsia="Times New Roman"/>
        </w:rPr>
      </w:pPr>
      <w:r>
        <w:rPr>
          <w:rFonts w:eastAsia="Times New Roman"/>
        </w:rPr>
        <w:pict>
          <v:rect id="_x0000_i1032" style="width:0;height:1.5pt" o:hralign="center" o:hrstd="t" o:hr="t" fillcolor="#a0a0a0" stroked="f"/>
        </w:pict>
      </w:r>
    </w:p>
    <w:p w:rsidR="00000000" w:rsidRDefault="00775A8F">
      <w:pPr>
        <w:divId w:val="115419223"/>
        <w:rPr>
          <w:rFonts w:eastAsia="Times New Roman"/>
        </w:rPr>
      </w:pPr>
    </w:p>
    <w:p w:rsidR="00000000" w:rsidRDefault="00775A8F">
      <w:pPr>
        <w:jc w:val="center"/>
        <w:divId w:val="77105042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771050426"/>
        <w:rPr>
          <w:rFonts w:eastAsia="Times New Roman"/>
        </w:rPr>
      </w:pPr>
      <w:r>
        <w:rPr>
          <w:rFonts w:eastAsia="Times New Roman"/>
          <w:b/>
          <w:bCs/>
          <w:color w:val="000000"/>
          <w:sz w:val="20"/>
          <w:szCs w:val="20"/>
        </w:rPr>
        <w:t>Consolidated Statements of Equit</w:t>
      </w:r>
      <w:r>
        <w:rPr>
          <w:rFonts w:eastAsia="Times New Roman"/>
          <w:b/>
          <w:bCs/>
          <w:color w:val="000000"/>
          <w:sz w:val="20"/>
          <w:szCs w:val="20"/>
        </w:rPr>
        <w:t>y</w:t>
      </w:r>
    </w:p>
    <w:p w:rsidR="00000000" w:rsidRDefault="00775A8F">
      <w:pPr>
        <w:jc w:val="center"/>
        <w:divId w:val="771050426"/>
        <w:rPr>
          <w:rFonts w:eastAsia="Times New Roman"/>
        </w:rPr>
      </w:pPr>
      <w:r>
        <w:rPr>
          <w:rFonts w:eastAsia="Times New Roman"/>
          <w:b/>
          <w:bCs/>
          <w:color w:val="000000"/>
          <w:sz w:val="20"/>
          <w:szCs w:val="20"/>
        </w:rPr>
        <w:t>For the Three and Six Months Ended June 30, 2020 and 2019 (Unaudited</w:t>
      </w:r>
      <w:r>
        <w:rPr>
          <w:rFonts w:eastAsia="Times New Roman"/>
          <w:b/>
          <w:bCs/>
          <w:color w:val="000000"/>
          <w:sz w:val="20"/>
          <w:szCs w:val="20"/>
        </w:rPr>
        <w:t>)</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103"/>
        <w:gridCol w:w="740"/>
        <w:gridCol w:w="40"/>
        <w:gridCol w:w="106"/>
        <w:gridCol w:w="501"/>
        <w:gridCol w:w="88"/>
        <w:gridCol w:w="36"/>
        <w:gridCol w:w="36"/>
        <w:gridCol w:w="36"/>
        <w:gridCol w:w="106"/>
        <w:gridCol w:w="319"/>
        <w:gridCol w:w="95"/>
        <w:gridCol w:w="49"/>
        <w:gridCol w:w="40"/>
        <w:gridCol w:w="36"/>
        <w:gridCol w:w="36"/>
        <w:gridCol w:w="32"/>
        <w:gridCol w:w="4"/>
        <w:gridCol w:w="106"/>
        <w:gridCol w:w="355"/>
        <w:gridCol w:w="142"/>
        <w:gridCol w:w="2"/>
        <w:gridCol w:w="88"/>
        <w:gridCol w:w="36"/>
        <w:gridCol w:w="20"/>
        <w:gridCol w:w="16"/>
        <w:gridCol w:w="36"/>
        <w:gridCol w:w="92"/>
        <w:gridCol w:w="13"/>
        <w:gridCol w:w="131"/>
        <w:gridCol w:w="144"/>
        <w:gridCol w:w="149"/>
        <w:gridCol w:w="70"/>
        <w:gridCol w:w="36"/>
        <w:gridCol w:w="36"/>
        <w:gridCol w:w="36"/>
        <w:gridCol w:w="53"/>
        <w:gridCol w:w="52"/>
        <w:gridCol w:w="92"/>
        <w:gridCol w:w="144"/>
        <w:gridCol w:w="144"/>
        <w:gridCol w:w="55"/>
        <w:gridCol w:w="70"/>
        <w:gridCol w:w="19"/>
        <w:gridCol w:w="17"/>
        <w:gridCol w:w="36"/>
        <w:gridCol w:w="36"/>
        <w:gridCol w:w="55"/>
        <w:gridCol w:w="51"/>
        <w:gridCol w:w="403"/>
        <w:gridCol w:w="144"/>
        <w:gridCol w:w="144"/>
        <w:gridCol w:w="96"/>
        <w:gridCol w:w="48"/>
        <w:gridCol w:w="45"/>
        <w:gridCol w:w="36"/>
        <w:gridCol w:w="36"/>
        <w:gridCol w:w="27"/>
        <w:gridCol w:w="9"/>
        <w:gridCol w:w="105"/>
        <w:gridCol w:w="30"/>
        <w:gridCol w:w="380"/>
        <w:gridCol w:w="25"/>
        <w:gridCol w:w="70"/>
        <w:gridCol w:w="36"/>
        <w:gridCol w:w="13"/>
        <w:gridCol w:w="23"/>
        <w:gridCol w:w="36"/>
        <w:gridCol w:w="85"/>
        <w:gridCol w:w="21"/>
        <w:gridCol w:w="123"/>
        <w:gridCol w:w="144"/>
        <w:gridCol w:w="144"/>
        <w:gridCol w:w="102"/>
        <w:gridCol w:w="90"/>
        <w:gridCol w:w="36"/>
        <w:gridCol w:w="36"/>
        <w:gridCol w:w="36"/>
        <w:gridCol w:w="80"/>
        <w:gridCol w:w="25"/>
        <w:gridCol w:w="119"/>
        <w:gridCol w:w="144"/>
        <w:gridCol w:w="144"/>
        <w:gridCol w:w="28"/>
        <w:gridCol w:w="70"/>
        <w:gridCol w:w="36"/>
        <w:gridCol w:w="10"/>
        <w:gridCol w:w="26"/>
        <w:gridCol w:w="36"/>
        <w:gridCol w:w="36"/>
        <w:gridCol w:w="36"/>
        <w:gridCol w:w="10"/>
        <w:gridCol w:w="26"/>
        <w:gridCol w:w="36"/>
        <w:gridCol w:w="36"/>
        <w:gridCol w:w="36"/>
        <w:gridCol w:w="562"/>
        <w:gridCol w:w="144"/>
        <w:gridCol w:w="144"/>
        <w:gridCol w:w="144"/>
        <w:gridCol w:w="144"/>
        <w:gridCol w:w="144"/>
        <w:gridCol w:w="454"/>
        <w:gridCol w:w="144"/>
        <w:gridCol w:w="144"/>
        <w:gridCol w:w="144"/>
        <w:gridCol w:w="144"/>
        <w:gridCol w:w="144"/>
        <w:gridCol w:w="465"/>
        <w:gridCol w:w="144"/>
        <w:gridCol w:w="144"/>
        <w:gridCol w:w="144"/>
        <w:gridCol w:w="144"/>
        <w:gridCol w:w="144"/>
        <w:gridCol w:w="405"/>
        <w:gridCol w:w="144"/>
      </w:tblGrid>
      <w:tr w:rsidR="00000000">
        <w:trPr>
          <w:gridAfter w:val="31"/>
          <w:divId w:val="688797646"/>
          <w:jc w:val="center"/>
        </w:trPr>
        <w:tc>
          <w:tcPr>
            <w:tcW w:w="50" w:type="pct"/>
            <w:vAlign w:val="center"/>
            <w:hideMark/>
          </w:tcPr>
          <w:p w:rsidR="00000000" w:rsidRDefault="00775A8F">
            <w:pPr>
              <w:jc w:val="center"/>
              <w:rPr>
                <w:rFonts w:eastAsia="Times New Roman"/>
              </w:rPr>
            </w:pPr>
          </w:p>
        </w:tc>
        <w:tc>
          <w:tcPr>
            <w:tcW w:w="1220"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8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31" w:type="pct"/>
            <w:gridSpan w:val="2"/>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6" w:type="pct"/>
            <w:gridSpan w:val="2"/>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31" w:type="pct"/>
            <w:gridSpan w:val="3"/>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31" w:type="pct"/>
            <w:gridSpan w:val="4"/>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gridSpan w:val="2"/>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423" w:type="pct"/>
            <w:gridSpan w:val="4"/>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6" w:type="pct"/>
            <w:gridSpan w:val="3"/>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83" w:type="pct"/>
            <w:gridSpan w:val="4"/>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246" w:type="pct"/>
            <w:gridSpan w:val="4"/>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31"/>
          <w:divId w:val="688797646"/>
          <w:trHeight w:val="240"/>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7"/>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8"/>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7"/>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7"/>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gridAfter w:val="20"/>
          <w:divId w:val="688797646"/>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76"/>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Six Months Ended June 30</w:t>
            </w:r>
            <w:r>
              <w:rPr>
                <w:rFonts w:eastAsia="Times New Roman"/>
                <w:b/>
                <w:bCs/>
                <w:color w:val="000000"/>
                <w:sz w:val="14"/>
                <w:szCs w:val="14"/>
              </w:rPr>
              <w:t>,</w:t>
            </w:r>
          </w:p>
        </w:tc>
        <w:tc>
          <w:tcPr>
            <w:tcW w:w="0" w:type="auto"/>
            <w:gridSpan w:val="4"/>
            <w:vAlign w:val="center"/>
            <w:hideMark/>
          </w:tcPr>
          <w:p w:rsidR="00000000" w:rsidRDefault="00775A8F">
            <w:pPr>
              <w:jc w:val="center"/>
              <w:rPr>
                <w:rFonts w:eastAsia="Times New Roman"/>
              </w:rPr>
            </w:pPr>
          </w:p>
        </w:tc>
        <w:tc>
          <w:tcPr>
            <w:tcW w:w="0" w:type="auto"/>
            <w:gridSpan w:val="4"/>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688797646"/>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Equity Attributable to Holding</w:t>
            </w:r>
            <w:r>
              <w:rPr>
                <w:rFonts w:eastAsia="Times New Roman"/>
                <w:b/>
                <w:bCs/>
                <w:color w:val="000000"/>
                <w:sz w:val="14"/>
                <w:szCs w:val="14"/>
              </w:rPr>
              <w:t>s</w:t>
            </w:r>
          </w:p>
        </w:tc>
        <w:tc>
          <w:tcPr>
            <w:tcW w:w="0" w:type="auto"/>
            <w:gridSpan w:val="4"/>
            <w:vAlign w:val="center"/>
            <w:hideMark/>
          </w:tcPr>
          <w:p w:rsidR="00000000" w:rsidRDefault="00775A8F">
            <w:pPr>
              <w:jc w:val="center"/>
              <w:rPr>
                <w:rFonts w:eastAsia="Times New Roman"/>
              </w:rPr>
            </w:pPr>
          </w:p>
        </w:tc>
        <w:tc>
          <w:tcPr>
            <w:tcW w:w="0" w:type="auto"/>
            <w:gridSpan w:val="7"/>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688797646"/>
          <w:jc w:val="center"/>
        </w:trPr>
        <w:tc>
          <w:tcPr>
            <w:tcW w:w="0" w:type="auto"/>
            <w:gridSpan w:val="4"/>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Preferred Stock and Additional Paid-In Capita</w:t>
            </w:r>
            <w:r>
              <w:rPr>
                <w:rFonts w:eastAsia="Times New Roman"/>
                <w:b/>
                <w:bCs/>
                <w:color w:val="000000"/>
                <w:sz w:val="14"/>
                <w:szCs w:val="14"/>
              </w:rPr>
              <w:t>l</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Common Stoc</w:t>
            </w:r>
            <w:r>
              <w:rPr>
                <w:rFonts w:eastAsia="Times New Roman"/>
                <w:b/>
                <w:bCs/>
                <w:color w:val="000000"/>
                <w:sz w:val="14"/>
                <w:szCs w:val="14"/>
              </w:rPr>
              <w:t>k</w:t>
            </w: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Additional Paid-in Capita</w:t>
            </w:r>
            <w:r>
              <w:rPr>
                <w:rFonts w:eastAsia="Times New Roman"/>
                <w:b/>
                <w:bCs/>
                <w:color w:val="000000"/>
                <w:sz w:val="14"/>
                <w:szCs w:val="14"/>
              </w:rPr>
              <w:t>l</w:t>
            </w: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Treasury Stoc</w:t>
            </w:r>
            <w:r>
              <w:rPr>
                <w:rFonts w:eastAsia="Times New Roman"/>
                <w:b/>
                <w:bCs/>
                <w:color w:val="000000"/>
                <w:sz w:val="14"/>
                <w:szCs w:val="14"/>
              </w:rPr>
              <w:t>k</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Retained Earning</w:t>
            </w:r>
            <w:r>
              <w:rPr>
                <w:rFonts w:eastAsia="Times New Roman"/>
                <w:b/>
                <w:bCs/>
                <w:color w:val="000000"/>
                <w:sz w:val="14"/>
                <w:szCs w:val="14"/>
              </w:rPr>
              <w:t>s</w:t>
            </w: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Accumulated Other Comprehensive Income (Loss</w:t>
            </w:r>
            <w:r>
              <w:rPr>
                <w:rFonts w:eastAsia="Times New Roman"/>
                <w:b/>
                <w:bCs/>
                <w:color w:val="000000"/>
                <w:sz w:val="14"/>
                <w:szCs w:val="14"/>
              </w:rPr>
              <w:t>)</w:t>
            </w:r>
          </w:p>
        </w:tc>
        <w:tc>
          <w:tcPr>
            <w:tcW w:w="0" w:type="auto"/>
            <w:gridSpan w:val="4"/>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Total Holdings Equit</w:t>
            </w:r>
            <w:r>
              <w:rPr>
                <w:rFonts w:eastAsia="Times New Roman"/>
                <w:b/>
                <w:bCs/>
                <w:color w:val="000000"/>
                <w:sz w:val="14"/>
                <w:szCs w:val="14"/>
              </w:rPr>
              <w:t>y</w:t>
            </w:r>
          </w:p>
        </w:tc>
        <w:tc>
          <w:tcPr>
            <w:tcW w:w="0" w:type="auto"/>
            <w:gridSpan w:val="4"/>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Non-controlling Interes</w:t>
            </w:r>
            <w:r>
              <w:rPr>
                <w:rFonts w:eastAsia="Times New Roman"/>
                <w:b/>
                <w:bCs/>
                <w:color w:val="000000"/>
                <w:sz w:val="14"/>
                <w:szCs w:val="14"/>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7"/>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Total Equit</w:t>
            </w:r>
            <w:r>
              <w:rPr>
                <w:rFonts w:eastAsia="Times New Roman"/>
                <w:b/>
                <w:bCs/>
                <w:color w:val="000000"/>
                <w:sz w:val="14"/>
                <w:szCs w:val="14"/>
              </w:rPr>
              <w:t>y</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688797646"/>
          <w:jc w:val="center"/>
        </w:trPr>
        <w:tc>
          <w:tcPr>
            <w:tcW w:w="0" w:type="auto"/>
            <w:gridSpan w:val="4"/>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82"/>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(in millions</w:t>
            </w:r>
            <w:r>
              <w:rPr>
                <w:rFonts w:eastAsia="Times New Roman"/>
                <w:b/>
                <w:bCs/>
                <w:color w:val="000000"/>
                <w:sz w:val="14"/>
                <w:szCs w:val="14"/>
              </w:rPr>
              <w:t>)</w:t>
            </w:r>
          </w:p>
        </w:tc>
        <w:tc>
          <w:tcPr>
            <w:tcW w:w="0" w:type="auto"/>
            <w:gridSpan w:val="4"/>
            <w:vAlign w:val="center"/>
            <w:hideMark/>
          </w:tcPr>
          <w:p w:rsidR="00000000" w:rsidRDefault="00775A8F">
            <w:pPr>
              <w:jc w:val="center"/>
              <w:rPr>
                <w:rFonts w:eastAsia="Times New Roman"/>
              </w:rPr>
            </w:pPr>
          </w:p>
        </w:tc>
        <w:tc>
          <w:tcPr>
            <w:tcW w:w="0" w:type="auto"/>
            <w:gridSpan w:val="4"/>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688797646"/>
          <w:jc w:val="center"/>
        </w:trPr>
        <w:tc>
          <w:tcPr>
            <w:tcW w:w="0" w:type="auto"/>
            <w:gridSpan w:val="4"/>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4"/>
                <w:szCs w:val="14"/>
              </w:rPr>
              <w:t>January 1, 202</w:t>
            </w:r>
            <w:r>
              <w:rPr>
                <w:rFonts w:eastAsia="Times New Roman"/>
                <w:b/>
                <w:bCs/>
                <w:color w:val="000000"/>
                <w:sz w:val="14"/>
                <w:szCs w:val="14"/>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775</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5</w:t>
            </w:r>
            <w:r>
              <w:rPr>
                <w:rFonts w:eastAsia="Times New Roman"/>
                <w:b/>
                <w:bCs/>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1,920</w:t>
            </w:r>
            <w:r>
              <w:rPr>
                <w:rFonts w:eastAsia="Times New Roman"/>
                <w:b/>
                <w:bCs/>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3"/>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(1,832</w:t>
            </w:r>
            <w:r>
              <w:rPr>
                <w:rFonts w:eastAsia="Times New Roman"/>
                <w:b/>
                <w:bCs/>
                <w:color w:val="000000"/>
                <w:sz w:val="14"/>
                <w:szCs w:val="14"/>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11,827</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840</w:t>
            </w:r>
            <w:r>
              <w:rPr>
                <w:rFonts w:eastAsia="Times New Roman"/>
                <w:b/>
                <w:bCs/>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3"/>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13,535</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1,591</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15,126</w:t>
            </w:r>
            <w:r>
              <w:rPr>
                <w:rFonts w:eastAsia="Times New Roman"/>
                <w:b/>
                <w:bCs/>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Cumulative effect of adoption of ASU 2016-03, CEC</w:t>
            </w:r>
            <w:r>
              <w:rPr>
                <w:rFonts w:eastAsia="Times New Roman"/>
                <w:color w:val="000000"/>
                <w:sz w:val="14"/>
                <w:szCs w:val="14"/>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Stock compensatio</w:t>
            </w:r>
            <w:r>
              <w:rPr>
                <w:rFonts w:eastAsia="Times New Roman"/>
                <w:color w:val="000000"/>
                <w:sz w:val="14"/>
                <w:szCs w:val="14"/>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29</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44</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5</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49</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Purchase of treasury stoc</w:t>
            </w:r>
            <w:r>
              <w:rPr>
                <w:rFonts w:eastAsia="Times New Roman"/>
                <w:color w:val="000000"/>
                <w:sz w:val="14"/>
                <w:szCs w:val="14"/>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(230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(230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(230</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Reissuance of treasury stoc</w:t>
            </w:r>
            <w:r>
              <w:rPr>
                <w:rFonts w:eastAsia="Times New Roman"/>
                <w:color w:val="000000"/>
                <w:sz w:val="14"/>
                <w:szCs w:val="14"/>
              </w:rPr>
              <w:t>k</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688797646"/>
          <w:jc w:val="center"/>
        </w:trPr>
        <w:tc>
          <w:tcPr>
            <w:tcW w:w="0" w:type="auto"/>
            <w:gridSpan w:val="4"/>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Repurchase of AB Holding unit</w:t>
            </w:r>
            <w:r>
              <w:rPr>
                <w:rFonts w:eastAsia="Times New Roman"/>
                <w:color w:val="000000"/>
                <w:sz w:val="14"/>
                <w:szCs w:val="14"/>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(31</w:t>
            </w:r>
            <w:r>
              <w:rPr>
                <w:rFonts w:eastAsia="Times New Roman"/>
                <w:b/>
                <w:bCs/>
                <w:color w:val="000000"/>
                <w:sz w:val="14"/>
                <w:szCs w:val="14"/>
              </w:rPr>
              <w:t>)</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(31</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(17</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(48</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Dividends paid to noncontrolling interes</w:t>
            </w:r>
            <w:r>
              <w:rPr>
                <w:rFonts w:eastAsia="Times New Roman"/>
                <w:color w:val="000000"/>
                <w:sz w:val="14"/>
                <w:szCs w:val="14"/>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(162</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(162</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Dividends on common stock (cash dividends declared per common share of $0.32</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(146</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(146</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(146</w:t>
            </w:r>
            <w:r>
              <w:rPr>
                <w:rFonts w:eastAsia="Times New Roman"/>
                <w:b/>
                <w:bCs/>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Dividends on preferred stoc</w:t>
            </w:r>
            <w:r>
              <w:rPr>
                <w:rFonts w:eastAsia="Times New Roman"/>
                <w:color w:val="000000"/>
                <w:sz w:val="14"/>
                <w:szCs w:val="14"/>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(23</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(23</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(23</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20"/>
          <w:divId w:val="688797646"/>
          <w:jc w:val="center"/>
        </w:trPr>
        <w:tc>
          <w:tcPr>
            <w:tcW w:w="0" w:type="auto"/>
            <w:gridSpan w:val="4"/>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4"/>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Net income (loss</w:t>
            </w:r>
            <w:r>
              <w:rPr>
                <w:rFonts w:eastAsia="Times New Roman"/>
                <w:color w:val="000000"/>
                <w:sz w:val="14"/>
                <w:szCs w:val="14"/>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1,382</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1,382</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128</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1,510</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Other comprehensive income (loss</w:t>
            </w:r>
            <w:r>
              <w:rPr>
                <w:rFonts w:eastAsia="Times New Roman"/>
                <w:color w:val="000000"/>
                <w:sz w:val="14"/>
                <w:szCs w:val="14"/>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3,088</w:t>
            </w:r>
            <w:r>
              <w:rPr>
                <w:rFonts w:eastAsia="Times New Roman"/>
                <w:b/>
                <w:bCs/>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3,088</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(5</w:t>
            </w:r>
            <w:r>
              <w:rPr>
                <w:rFonts w:eastAsia="Times New Roman"/>
                <w:b/>
                <w:bCs/>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3,083</w:t>
            </w:r>
            <w:r>
              <w:rPr>
                <w:rFonts w:eastAsia="Times New Roman"/>
                <w:b/>
                <w:bCs/>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Othe</w:t>
            </w:r>
            <w:r>
              <w:rPr>
                <w:rFonts w:eastAsia="Times New Roman"/>
                <w:color w:val="000000"/>
                <w:sz w:val="14"/>
                <w:szCs w:val="14"/>
              </w:rPr>
              <w:t>r</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w:t>
            </w:r>
            <w:r>
              <w:rPr>
                <w:rFonts w:eastAsia="Times New Roman"/>
                <w:b/>
                <w:bCs/>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gridAfter w:val="20"/>
          <w:divId w:val="688797646"/>
          <w:jc w:val="center"/>
        </w:trPr>
        <w:tc>
          <w:tcPr>
            <w:tcW w:w="0" w:type="auto"/>
            <w:gridSpan w:val="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4"/>
                <w:szCs w:val="14"/>
              </w:rPr>
              <w:t>June 30, 202</w:t>
            </w:r>
            <w:r>
              <w:rPr>
                <w:rFonts w:eastAsia="Times New Roman"/>
                <w:b/>
                <w:bCs/>
                <w:color w:val="000000"/>
                <w:sz w:val="14"/>
                <w:szCs w:val="14"/>
              </w:rPr>
              <w:t>0</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775</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5</w:t>
            </w:r>
            <w:r>
              <w:rPr>
                <w:rFonts w:eastAsia="Times New Roman"/>
                <w:b/>
                <w:bCs/>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1,938</w:t>
            </w:r>
            <w:r>
              <w:rPr>
                <w:rFonts w:eastAsia="Times New Roman"/>
                <w:b/>
                <w:bCs/>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(2,047</w:t>
            </w: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12,995</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3,928</w:t>
            </w:r>
            <w:r>
              <w:rPr>
                <w:rFonts w:eastAsia="Times New Roman"/>
                <w:b/>
                <w:bCs/>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17,594</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4"/>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1,540</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14"/>
                <w:szCs w:val="14"/>
              </w:rPr>
              <w:t>19,134</w:t>
            </w:r>
            <w:r>
              <w:rPr>
                <w:rFonts w:eastAsia="Times New Roman"/>
                <w:b/>
                <w:bCs/>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14"/>
                <w:szCs w:val="14"/>
              </w:rPr>
              <w:t> </w:t>
            </w: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center"/>
        </w:trPr>
        <w:tc>
          <w:tcPr>
            <w:tcW w:w="50" w:type="pct"/>
            <w:gridSpan w:val="2"/>
            <w:vAlign w:val="center"/>
            <w:hideMark/>
          </w:tcPr>
          <w:p w:rsidR="00000000" w:rsidRDefault="00775A8F">
            <w:pPr>
              <w:jc w:val="center"/>
              <w:rPr>
                <w:rFonts w:eastAsia="Times New Roman"/>
              </w:rPr>
            </w:pPr>
          </w:p>
        </w:tc>
        <w:tc>
          <w:tcPr>
            <w:tcW w:w="1220" w:type="pct"/>
            <w:gridSpan w:val="10"/>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0" w:type="pct"/>
            <w:gridSpan w:val="4"/>
            <w:vAlign w:val="center"/>
            <w:hideMark/>
          </w:tcPr>
          <w:p w:rsidR="00000000" w:rsidRDefault="00775A8F">
            <w:pPr>
              <w:rPr>
                <w:rFonts w:eastAsia="Times New Roman"/>
                <w:sz w:val="20"/>
                <w:szCs w:val="20"/>
              </w:rPr>
            </w:pPr>
          </w:p>
        </w:tc>
        <w:tc>
          <w:tcPr>
            <w:tcW w:w="283" w:type="pct"/>
            <w:gridSpan w:val="3"/>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gridSpan w:val="3"/>
            <w:vAlign w:val="center"/>
            <w:hideMark/>
          </w:tcPr>
          <w:p w:rsidR="00000000" w:rsidRDefault="00775A8F">
            <w:pPr>
              <w:rPr>
                <w:rFonts w:eastAsia="Times New Roman"/>
                <w:sz w:val="20"/>
                <w:szCs w:val="20"/>
              </w:rPr>
            </w:pPr>
          </w:p>
        </w:tc>
        <w:tc>
          <w:tcPr>
            <w:tcW w:w="26" w:type="pct"/>
            <w:gridSpan w:val="3"/>
            <w:vAlign w:val="center"/>
            <w:hideMark/>
          </w:tcPr>
          <w:p w:rsidR="00000000" w:rsidRDefault="00775A8F">
            <w:pPr>
              <w:rPr>
                <w:rFonts w:eastAsia="Times New Roman"/>
                <w:sz w:val="20"/>
                <w:szCs w:val="20"/>
              </w:rPr>
            </w:pPr>
          </w:p>
        </w:tc>
        <w:tc>
          <w:tcPr>
            <w:tcW w:w="5"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31" w:type="pct"/>
            <w:gridSpan w:val="6"/>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gridSpan w:val="3"/>
            <w:vAlign w:val="center"/>
            <w:hideMark/>
          </w:tcPr>
          <w:p w:rsidR="00000000" w:rsidRDefault="00775A8F">
            <w:pPr>
              <w:rPr>
                <w:rFonts w:eastAsia="Times New Roman"/>
                <w:sz w:val="20"/>
                <w:szCs w:val="20"/>
              </w:rPr>
            </w:pPr>
          </w:p>
        </w:tc>
        <w:tc>
          <w:tcPr>
            <w:tcW w:w="50" w:type="pct"/>
            <w:gridSpan w:val="4"/>
            <w:vAlign w:val="center"/>
            <w:hideMark/>
          </w:tcPr>
          <w:p w:rsidR="00000000" w:rsidRDefault="00775A8F">
            <w:pPr>
              <w:rPr>
                <w:rFonts w:eastAsia="Times New Roman"/>
                <w:sz w:val="20"/>
                <w:szCs w:val="20"/>
              </w:rPr>
            </w:pPr>
          </w:p>
        </w:tc>
        <w:tc>
          <w:tcPr>
            <w:tcW w:w="276" w:type="pct"/>
            <w:gridSpan w:val="2"/>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gridSpan w:val="4"/>
            <w:vAlign w:val="center"/>
            <w:hideMark/>
          </w:tcPr>
          <w:p w:rsidR="00000000" w:rsidRDefault="00775A8F">
            <w:pPr>
              <w:rPr>
                <w:rFonts w:eastAsia="Times New Roman"/>
                <w:sz w:val="20"/>
                <w:szCs w:val="20"/>
              </w:rPr>
            </w:pPr>
          </w:p>
        </w:tc>
        <w:tc>
          <w:tcPr>
            <w:tcW w:w="50" w:type="pct"/>
            <w:gridSpan w:val="3"/>
            <w:vAlign w:val="center"/>
            <w:hideMark/>
          </w:tcPr>
          <w:p w:rsidR="00000000" w:rsidRDefault="00775A8F">
            <w:pPr>
              <w:rPr>
                <w:rFonts w:eastAsia="Times New Roman"/>
                <w:sz w:val="20"/>
                <w:szCs w:val="20"/>
              </w:rPr>
            </w:pPr>
          </w:p>
        </w:tc>
        <w:tc>
          <w:tcPr>
            <w:tcW w:w="231" w:type="pct"/>
            <w:vAlign w:val="center"/>
            <w:hideMark/>
          </w:tcPr>
          <w:p w:rsidR="00000000" w:rsidRDefault="00775A8F">
            <w:pPr>
              <w:rPr>
                <w:rFonts w:eastAsia="Times New Roman"/>
                <w:sz w:val="20"/>
                <w:szCs w:val="20"/>
              </w:rPr>
            </w:pPr>
          </w:p>
        </w:tc>
        <w:tc>
          <w:tcPr>
            <w:tcW w:w="50" w:type="pct"/>
            <w:gridSpan w:val="4"/>
            <w:vAlign w:val="center"/>
            <w:hideMark/>
          </w:tcPr>
          <w:p w:rsidR="00000000" w:rsidRDefault="00775A8F">
            <w:pPr>
              <w:rPr>
                <w:rFonts w:eastAsia="Times New Roman"/>
                <w:sz w:val="20"/>
                <w:szCs w:val="20"/>
              </w:rPr>
            </w:pPr>
          </w:p>
        </w:tc>
        <w:tc>
          <w:tcPr>
            <w:tcW w:w="5" w:type="pct"/>
            <w:gridSpan w:val="3"/>
            <w:vAlign w:val="center"/>
            <w:hideMark/>
          </w:tcPr>
          <w:p w:rsidR="00000000" w:rsidRDefault="00775A8F">
            <w:pPr>
              <w:rPr>
                <w:rFonts w:eastAsia="Times New Roman"/>
                <w:sz w:val="20"/>
                <w:szCs w:val="20"/>
              </w:rPr>
            </w:pPr>
          </w:p>
        </w:tc>
        <w:tc>
          <w:tcPr>
            <w:tcW w:w="26"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31" w:type="pct"/>
            <w:gridSpan w:val="6"/>
            <w:vAlign w:val="center"/>
            <w:hideMark/>
          </w:tcPr>
          <w:p w:rsidR="00000000" w:rsidRDefault="00775A8F">
            <w:pPr>
              <w:rPr>
                <w:rFonts w:eastAsia="Times New Roman"/>
                <w:sz w:val="20"/>
                <w:szCs w:val="20"/>
              </w:rPr>
            </w:pPr>
          </w:p>
        </w:tc>
        <w:tc>
          <w:tcPr>
            <w:tcW w:w="50" w:type="pct"/>
            <w:gridSpan w:val="2"/>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gridSpan w:val="4"/>
            <w:vAlign w:val="center"/>
            <w:hideMark/>
          </w:tcPr>
          <w:p w:rsidR="00000000" w:rsidRDefault="00775A8F">
            <w:pPr>
              <w:rPr>
                <w:rFonts w:eastAsia="Times New Roman"/>
                <w:sz w:val="20"/>
                <w:szCs w:val="20"/>
              </w:rPr>
            </w:pPr>
          </w:p>
        </w:tc>
        <w:tc>
          <w:tcPr>
            <w:tcW w:w="50" w:type="pct"/>
            <w:gridSpan w:val="5"/>
            <w:vAlign w:val="center"/>
            <w:hideMark/>
          </w:tcPr>
          <w:p w:rsidR="00000000" w:rsidRDefault="00775A8F">
            <w:pPr>
              <w:rPr>
                <w:rFonts w:eastAsia="Times New Roman"/>
                <w:sz w:val="20"/>
                <w:szCs w:val="20"/>
              </w:rPr>
            </w:pPr>
          </w:p>
        </w:tc>
        <w:tc>
          <w:tcPr>
            <w:tcW w:w="423" w:type="pct"/>
            <w:gridSpan w:val="5"/>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8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4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jc w:val="center"/>
        </w:trPr>
        <w:tc>
          <w:tcPr>
            <w:tcW w:w="0" w:type="auto"/>
            <w:gridSpan w:val="14"/>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January 1, 201</w:t>
            </w:r>
            <w:r>
              <w:rPr>
                <w:rFonts w:eastAsia="Times New Roman"/>
                <w:color w:val="000000"/>
                <w:sz w:val="14"/>
                <w:szCs w:val="14"/>
              </w:rPr>
              <w:t>9</w:t>
            </w:r>
          </w:p>
        </w:tc>
        <w:tc>
          <w:tcPr>
            <w:tcW w:w="0" w:type="auto"/>
            <w:gridSpan w:val="4"/>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3"/>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2"/>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1,908</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(640</w:t>
            </w:r>
            <w:r>
              <w:rPr>
                <w:rFonts w:eastAsia="Times New Roman"/>
                <w:color w:val="000000"/>
                <w:sz w:val="14"/>
                <w:szCs w:val="14"/>
              </w:rPr>
              <w:t>)</w:t>
            </w:r>
          </w:p>
        </w:tc>
        <w:tc>
          <w:tcPr>
            <w:tcW w:w="0" w:type="auto"/>
            <w:gridSpan w:val="4"/>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13,989</w:t>
            </w:r>
            <w:r>
              <w:rPr>
                <w:rFonts w:eastAsia="Times New Roman"/>
                <w:color w:val="000000"/>
                <w:sz w:val="14"/>
                <w:szCs w:val="14"/>
              </w:rPr>
              <w:t> </w:t>
            </w:r>
          </w:p>
        </w:tc>
        <w:tc>
          <w:tcPr>
            <w:tcW w:w="0" w:type="auto"/>
            <w:gridSpan w:val="2"/>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5"/>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(1,396</w:t>
            </w:r>
            <w:r>
              <w:rPr>
                <w:rFonts w:eastAsia="Times New Roman"/>
                <w:color w:val="000000"/>
                <w:sz w:val="14"/>
                <w:szCs w:val="14"/>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13,866</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1,566</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15,432</w:t>
            </w:r>
            <w:r>
              <w:rPr>
                <w:rFonts w:eastAsia="Times New Roman"/>
                <w:color w:val="000000"/>
                <w:sz w:val="14"/>
                <w:szCs w:val="14"/>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Stock compensatio</w:t>
            </w:r>
            <w:r>
              <w:rPr>
                <w:rFonts w:eastAsia="Times New Roman"/>
                <w:color w:val="000000"/>
                <w:sz w:val="14"/>
                <w:szCs w:val="14"/>
              </w:rPr>
              <w:t>n</w:t>
            </w: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9</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11</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12</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23</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Purchase of treasury stoc</w:t>
            </w:r>
            <w:r>
              <w:rPr>
                <w:rFonts w:eastAsia="Times New Roman"/>
                <w:color w:val="000000"/>
                <w:sz w:val="14"/>
                <w:szCs w:val="14"/>
              </w:rPr>
              <w:t>k</w:t>
            </w: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(594</w:t>
            </w:r>
            <w:r>
              <w:rPr>
                <w:rFonts w:eastAsia="Times New Roman"/>
                <w:color w:val="000000"/>
                <w:sz w:val="14"/>
                <w:szCs w:val="14"/>
              </w:rPr>
              <w:t>)</w:t>
            </w:r>
          </w:p>
        </w:tc>
        <w:tc>
          <w:tcPr>
            <w:tcW w:w="0" w:type="auto"/>
            <w:gridSpan w:val="4"/>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(594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(594</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Retirement of common stoc</w:t>
            </w:r>
            <w:r>
              <w:rPr>
                <w:rFonts w:eastAsia="Times New Roman"/>
                <w:color w:val="000000"/>
                <w:sz w:val="14"/>
                <w:szCs w:val="14"/>
              </w:rPr>
              <w:t>k</w:t>
            </w: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(143</w:t>
            </w:r>
            <w:r>
              <w:rPr>
                <w:rFonts w:eastAsia="Times New Roman"/>
                <w:color w:val="000000"/>
                <w:sz w:val="14"/>
                <w:szCs w:val="14"/>
              </w:rPr>
              <w:t>)</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(143</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Repurchase of AB Holding unit</w:t>
            </w:r>
            <w:r>
              <w:rPr>
                <w:rFonts w:eastAsia="Times New Roman"/>
                <w:color w:val="000000"/>
                <w:sz w:val="14"/>
                <w:szCs w:val="14"/>
              </w:rPr>
              <w:t>s</w:t>
            </w: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Dividends paid to noncontrolling interes</w:t>
            </w:r>
            <w:r>
              <w:rPr>
                <w:rFonts w:eastAsia="Times New Roman"/>
                <w:color w:val="000000"/>
                <w:sz w:val="14"/>
                <w:szCs w:val="14"/>
              </w:rPr>
              <w:t>t</w:t>
            </w: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(124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(124</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Dividends on common stock (cash dividends declared per common share of $0.28</w:t>
            </w:r>
            <w:r>
              <w:rPr>
                <w:rFonts w:eastAsia="Times New Roman"/>
                <w:color w:val="000000"/>
                <w:sz w:val="14"/>
                <w:szCs w:val="14"/>
              </w:rPr>
              <w:t>)</w:t>
            </w: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(141</w:t>
            </w:r>
            <w:r>
              <w:rPr>
                <w:rFonts w:eastAsia="Times New Roman"/>
                <w:color w:val="000000"/>
                <w:sz w:val="14"/>
                <w:szCs w:val="14"/>
              </w:rPr>
              <w:t>)</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(141</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vAlign w:val="center"/>
            <w:hideMark/>
          </w:tcPr>
          <w:p w:rsidR="00000000" w:rsidRDefault="00775A8F">
            <w:pPr>
              <w:jc w:val="right"/>
              <w:rPr>
                <w:rFonts w:eastAsia="Times New Roman"/>
              </w:rPr>
            </w:pPr>
          </w:p>
        </w:tc>
        <w:tc>
          <w:tcPr>
            <w:tcW w:w="0" w:type="auto"/>
            <w:gridSpan w:val="9"/>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5"/>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7"/>
            <w:vAlign w:val="center"/>
            <w:hideMark/>
          </w:tcPr>
          <w:p w:rsidR="00000000" w:rsidRDefault="00775A8F">
            <w:pPr>
              <w:rPr>
                <w:rFonts w:eastAsia="Times New Roman"/>
                <w:sz w:val="20"/>
                <w:szCs w:val="20"/>
              </w:rPr>
            </w:pPr>
          </w:p>
        </w:tc>
        <w:tc>
          <w:tcPr>
            <w:tcW w:w="0" w:type="auto"/>
            <w:gridSpan w:val="8"/>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9"/>
            <w:vAlign w:val="center"/>
            <w:hideMark/>
          </w:tcPr>
          <w:p w:rsidR="00000000" w:rsidRDefault="00775A8F">
            <w:pPr>
              <w:rPr>
                <w:rFonts w:eastAsia="Times New Roman"/>
                <w:sz w:val="20"/>
                <w:szCs w:val="20"/>
              </w:rPr>
            </w:pPr>
          </w:p>
        </w:tc>
        <w:tc>
          <w:tcPr>
            <w:tcW w:w="0" w:type="auto"/>
            <w:gridSpan w:val="6"/>
            <w:vAlign w:val="center"/>
            <w:hideMark/>
          </w:tcPr>
          <w:p w:rsidR="00000000" w:rsidRDefault="00775A8F">
            <w:pPr>
              <w:rPr>
                <w:rFonts w:eastAsia="Times New Roman"/>
                <w:sz w:val="20"/>
                <w:szCs w:val="20"/>
              </w:rPr>
            </w:pPr>
          </w:p>
        </w:tc>
        <w:tc>
          <w:tcPr>
            <w:tcW w:w="0" w:type="auto"/>
            <w:gridSpan w:val="11"/>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jc w:val="center"/>
        </w:trPr>
        <w:tc>
          <w:tcPr>
            <w:tcW w:w="0" w:type="auto"/>
            <w:gridSpan w:val="1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Net income (loss</w:t>
            </w:r>
            <w:r>
              <w:rPr>
                <w:rFonts w:eastAsia="Times New Roman"/>
                <w:color w:val="000000"/>
                <w:sz w:val="14"/>
                <w:szCs w:val="14"/>
              </w:rPr>
              <w:t>)</w:t>
            </w: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(412</w:t>
            </w:r>
            <w:r>
              <w:rPr>
                <w:rFonts w:eastAsia="Times New Roman"/>
                <w:color w:val="000000"/>
                <w:sz w:val="14"/>
                <w:szCs w:val="14"/>
              </w:rPr>
              <w:t>)</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(412</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114</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(298</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Other comprehensive income (loss</w:t>
            </w:r>
            <w:r>
              <w:rPr>
                <w:rFonts w:eastAsia="Times New Roman"/>
                <w:color w:val="000000"/>
                <w:sz w:val="14"/>
                <w:szCs w:val="14"/>
              </w:rPr>
              <w:t>)</w:t>
            </w: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2,272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2,272</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w:t>
            </w:r>
            <w:r>
              <w:rPr>
                <w:rFonts w:eastAsia="Times New Roman"/>
                <w:color w:val="000000"/>
                <w:sz w:val="14"/>
                <w:szCs w:val="14"/>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2,270</w:t>
            </w:r>
            <w:r>
              <w:rPr>
                <w:rFonts w:eastAsia="Times New Roman"/>
                <w:color w:val="000000"/>
                <w:sz w:val="14"/>
                <w:szCs w:val="14"/>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000000">
        <w:trPr>
          <w:jc w:val="center"/>
        </w:trPr>
        <w:tc>
          <w:tcPr>
            <w:tcW w:w="0" w:type="auto"/>
            <w:gridSpan w:val="14"/>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Othe</w:t>
            </w:r>
            <w:r>
              <w:rPr>
                <w:rFonts w:eastAsia="Times New Roman"/>
                <w:color w:val="000000"/>
                <w:sz w:val="14"/>
                <w:szCs w:val="14"/>
              </w:rPr>
              <w:t>r</w:t>
            </w: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6"/>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4"/>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7"/>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10"/>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(16</w:t>
            </w:r>
            <w:r>
              <w:rPr>
                <w:rFonts w:eastAsia="Times New Roman"/>
                <w:color w:val="000000"/>
                <w:sz w:val="14"/>
                <w:szCs w:val="14"/>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r w:rsidR="00775A8F">
        <w:trPr>
          <w:jc w:val="center"/>
        </w:trPr>
        <w:tc>
          <w:tcPr>
            <w:tcW w:w="0" w:type="auto"/>
            <w:gridSpan w:val="14"/>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4"/>
                <w:szCs w:val="14"/>
              </w:rPr>
              <w:t>June 30, 201</w:t>
            </w:r>
            <w:r>
              <w:rPr>
                <w:rFonts w:eastAsia="Times New Roman"/>
                <w:color w:val="000000"/>
                <w:sz w:val="14"/>
                <w:szCs w:val="14"/>
              </w:rPr>
              <w:t>9</w:t>
            </w:r>
          </w:p>
        </w:tc>
        <w:tc>
          <w:tcPr>
            <w:tcW w:w="0" w:type="auto"/>
            <w:gridSpan w:val="4"/>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w:t>
            </w:r>
            <w:r>
              <w:rPr>
                <w:rFonts w:eastAsia="Times New Roman"/>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8"/>
            <w:tcBorders>
              <w:top w:val="single" w:sz="8" w:space="0" w:color="000000"/>
              <w:bottom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5</w:t>
            </w:r>
            <w:r>
              <w:rPr>
                <w:rFonts w:eastAsia="Times New Roman"/>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5"/>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4"/>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1,901</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7"/>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(1,232</w:t>
            </w: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13,293</w:t>
            </w:r>
            <w:r>
              <w:rPr>
                <w:rFonts w:eastAsia="Times New Roman"/>
                <w:color w:val="000000"/>
                <w:sz w:val="14"/>
                <w:szCs w:val="14"/>
              </w:rPr>
              <w:t> </w:t>
            </w:r>
          </w:p>
        </w:tc>
        <w:tc>
          <w:tcPr>
            <w:tcW w:w="0" w:type="auto"/>
            <w:gridSpan w:val="2"/>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6"/>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876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14,843</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1,545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14"/>
                <w:szCs w:val="14"/>
              </w:rPr>
              <w:t>16,388</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14"/>
                <w:szCs w:val="14"/>
              </w:rPr>
              <w:t> </w:t>
            </w:r>
          </w:p>
        </w:tc>
      </w:tr>
    </w:tbl>
    <w:p w:rsidR="00000000" w:rsidRDefault="00775A8F">
      <w:pPr>
        <w:jc w:val="center"/>
        <w:rPr>
          <w:rFonts w:eastAsia="Times New Roman"/>
        </w:rPr>
      </w:pPr>
    </w:p>
    <w:p w:rsidR="00000000" w:rsidRDefault="00775A8F">
      <w:pPr>
        <w:jc w:val="center"/>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w:t>
      </w:r>
    </w:p>
    <w:p w:rsidR="00000000" w:rsidRDefault="00775A8F">
      <w:pPr>
        <w:jc w:val="center"/>
        <w:divId w:val="1929538767"/>
        <w:rPr>
          <w:rFonts w:eastAsia="Times New Roman"/>
        </w:rPr>
      </w:pPr>
      <w:r>
        <w:rPr>
          <w:rFonts w:eastAsia="Times New Roman"/>
          <w:color w:val="000000"/>
          <w:sz w:val="20"/>
          <w:szCs w:val="20"/>
        </w:rPr>
        <w:t>7</w:t>
      </w:r>
    </w:p>
    <w:p w:rsidR="00000000" w:rsidRDefault="00775A8F">
      <w:pPr>
        <w:rPr>
          <w:rFonts w:eastAsia="Times New Roman"/>
        </w:rPr>
      </w:pPr>
      <w:r>
        <w:rPr>
          <w:rFonts w:eastAsia="Times New Roman"/>
        </w:rPr>
        <w:pict>
          <v:rect id="_x0000_i1033" style="width:0;height:1.5pt" o:hralign="center" o:hrstd="t" o:hr="t" fillcolor="#a0a0a0" stroked="f"/>
        </w:pict>
      </w:r>
    </w:p>
    <w:p w:rsidR="00000000" w:rsidRDefault="00775A8F">
      <w:pPr>
        <w:divId w:val="243955405"/>
        <w:rPr>
          <w:rFonts w:eastAsia="Times New Roman"/>
        </w:rPr>
      </w:pPr>
    </w:p>
    <w:p w:rsidR="00000000" w:rsidRDefault="00775A8F">
      <w:pPr>
        <w:jc w:val="center"/>
        <w:divId w:val="1074009305"/>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074009305"/>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775A8F">
      <w:pPr>
        <w:jc w:val="center"/>
        <w:divId w:val="1074009305"/>
        <w:rPr>
          <w:rFonts w:eastAsia="Times New Roman"/>
        </w:rPr>
      </w:pPr>
      <w:r>
        <w:rPr>
          <w:rFonts w:eastAsia="Times New Roman"/>
          <w:b/>
          <w:bCs/>
          <w:color w:val="000000"/>
          <w:sz w:val="20"/>
          <w:szCs w:val="20"/>
        </w:rPr>
        <w:t>For the Six Months Ended June 30, 2020 and 2019 (Unaudited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5731"/>
        <w:gridCol w:w="50"/>
        <w:gridCol w:w="136"/>
        <w:gridCol w:w="829"/>
        <w:gridCol w:w="85"/>
        <w:gridCol w:w="36"/>
        <w:gridCol w:w="36"/>
        <w:gridCol w:w="36"/>
        <w:gridCol w:w="135"/>
        <w:gridCol w:w="809"/>
        <w:gridCol w:w="85"/>
        <w:gridCol w:w="36"/>
        <w:gridCol w:w="36"/>
        <w:gridCol w:w="36"/>
        <w:gridCol w:w="36"/>
        <w:gridCol w:w="36"/>
        <w:gridCol w:w="36"/>
        <w:gridCol w:w="36"/>
        <w:gridCol w:w="36"/>
      </w:tblGrid>
      <w:tr w:rsidR="00000000">
        <w:trPr>
          <w:gridAfter w:val="6"/>
          <w:divId w:val="208420784"/>
        </w:trPr>
        <w:tc>
          <w:tcPr>
            <w:tcW w:w="50" w:type="pct"/>
            <w:vAlign w:val="center"/>
            <w:hideMark/>
          </w:tcPr>
          <w:p w:rsidR="00000000" w:rsidRDefault="00775A8F">
            <w:pPr>
              <w:jc w:val="center"/>
              <w:rPr>
                <w:rFonts w:eastAsia="Times New Roman"/>
              </w:rPr>
            </w:pPr>
          </w:p>
        </w:tc>
        <w:tc>
          <w:tcPr>
            <w:tcW w:w="35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0842078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08420784"/>
        </w:trPr>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Adjustments to reconcile net income (loss) to net cash provided by (used in) operating activities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Interest credited to policyholders’ account balance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Policy charges and fee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(1,872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(3,368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Credit losses on AFS debt securities and loan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Loss on businesses held-for-sal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Realized and unrealized (gains) losses on trading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Non-cash long term incentive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Amortization and depreciatio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Equity (income) loss from limited partnership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135" w:type="dxa"/>
              <w:bottom w:w="30" w:type="dxa"/>
              <w:right w:w="20" w:type="dxa"/>
            </w:tcMar>
            <w:hideMark/>
          </w:tcPr>
          <w:p w:rsidR="00000000" w:rsidRDefault="00775A8F">
            <w:pPr>
              <w:jc w:val="both"/>
              <w:rPr>
                <w:rFonts w:eastAsia="Times New Roman"/>
              </w:rPr>
            </w:pPr>
            <w:r>
              <w:rPr>
                <w:rFonts w:eastAsia="Times New Roman"/>
                <w:color w:val="000000"/>
                <w:sz w:val="20"/>
                <w:szCs w:val="20"/>
              </w:rPr>
              <w:t>Changes in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both"/>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Net broker-dealer and customer related receivables/payable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Reinsurance recoverable</w:t>
            </w:r>
            <w:r>
              <w:rPr>
                <w:rFonts w:eastAsia="Times New Roman"/>
                <w:color w:val="000000"/>
                <w:sz w:val="20"/>
                <w:szCs w:val="20"/>
              </w:rPr>
              <w:br/>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Segregated cash and securities,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(787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Capitalization of 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Future policy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1,828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Current and 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jc w:val="both"/>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135" w:type="dxa"/>
              <w:bottom w:w="30" w:type="dxa"/>
              <w:right w:w="20" w:type="dxa"/>
            </w:tcMar>
            <w:hideMark/>
          </w:tcPr>
          <w:p w:rsidR="00000000" w:rsidRDefault="00775A8F">
            <w:pPr>
              <w:jc w:val="both"/>
              <w:rPr>
                <w:rFonts w:eastAsia="Times New Roman"/>
              </w:rPr>
            </w:pPr>
            <w:r>
              <w:rPr>
                <w:rFonts w:eastAsia="Times New Roman"/>
                <w:color w:val="000000"/>
                <w:sz w:val="20"/>
                <w:szCs w:val="20"/>
              </w:rPr>
              <w:t>Net cash provided by (used in) operating activitie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(548</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Height w:val="24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20" w:type="dxa"/>
              <w:bottom w:w="30" w:type="dxa"/>
              <w:right w:w="20" w:type="dxa"/>
            </w:tcMar>
            <w:hideMark/>
          </w:tcPr>
          <w:p w:rsidR="00000000" w:rsidRDefault="00775A8F">
            <w:pPr>
              <w:jc w:val="both"/>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both"/>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Proceeds from the sale/maturity/prepayment of</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Fixed maturities, available-for-sal</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7,595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Mortgage loans on real estat</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Trading account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Real estate joint venture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Short term 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938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Payment for the purchase/origination of</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Fixed maturities, available-for-sal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(11,832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(12,916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Mortgage loans on real estat</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Trading account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Short term 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(1,598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Proceeds from the sale of busines</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Cash settlements related to derivative instrument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Repayments of loans to affiliate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Investment in capitalized software, leasehold improvements and EDP equipmen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Net cash provided by (used in) investing activitie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1,562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(2,442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Height w:val="24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Policyholders’ account balances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Deposit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Withdrawal</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(2,029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8420784"/>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Transfers (to) from Separate Account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335064214"/>
        <w:rPr>
          <w:rFonts w:eastAsia="Times New Roman"/>
        </w:rPr>
      </w:pPr>
    </w:p>
    <w:p w:rsidR="00000000" w:rsidRDefault="00775A8F">
      <w:pPr>
        <w:jc w:val="center"/>
        <w:divId w:val="1335064214"/>
        <w:rPr>
          <w:rFonts w:eastAsia="Times New Roman"/>
        </w:rPr>
      </w:pPr>
    </w:p>
    <w:p w:rsidR="00000000" w:rsidRDefault="00775A8F">
      <w:pPr>
        <w:jc w:val="center"/>
        <w:divId w:val="1335064214"/>
        <w:rPr>
          <w:rFonts w:eastAsia="Times New Roman"/>
        </w:rPr>
      </w:pPr>
    </w:p>
    <w:p w:rsidR="00000000" w:rsidRDefault="00775A8F">
      <w:pPr>
        <w:jc w:val="center"/>
        <w:divId w:val="1335064214"/>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 xml:space="preserve"> </w:t>
      </w:r>
    </w:p>
    <w:p w:rsidR="00000000" w:rsidRDefault="00775A8F">
      <w:pPr>
        <w:jc w:val="center"/>
        <w:divId w:val="1335064214"/>
        <w:rPr>
          <w:rFonts w:eastAsia="Times New Roman"/>
        </w:rPr>
      </w:pPr>
      <w:r>
        <w:rPr>
          <w:rFonts w:eastAsia="Times New Roman"/>
          <w:color w:val="000000"/>
          <w:sz w:val="20"/>
          <w:szCs w:val="20"/>
        </w:rPr>
        <w:t>8</w:t>
      </w:r>
    </w:p>
    <w:p w:rsidR="00000000" w:rsidRDefault="00775A8F">
      <w:pPr>
        <w:rPr>
          <w:rFonts w:eastAsia="Times New Roman"/>
        </w:rPr>
      </w:pPr>
      <w:r>
        <w:rPr>
          <w:rFonts w:eastAsia="Times New Roman"/>
        </w:rPr>
        <w:pict>
          <v:rect id="_x0000_i1034" style="width:0;height:1.5pt" o:hralign="center" o:hrstd="t" o:hr="t" fillcolor="#a0a0a0" stroked="f"/>
        </w:pict>
      </w:r>
    </w:p>
    <w:p w:rsidR="00000000" w:rsidRDefault="00775A8F">
      <w:pPr>
        <w:divId w:val="745764909"/>
        <w:rPr>
          <w:rFonts w:eastAsia="Times New Roman"/>
        </w:rPr>
      </w:pPr>
    </w:p>
    <w:p w:rsidR="00000000" w:rsidRDefault="00775A8F">
      <w:pPr>
        <w:jc w:val="center"/>
        <w:divId w:val="198693624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986936246"/>
        <w:rPr>
          <w:rFonts w:eastAsia="Times New Roman"/>
        </w:rPr>
      </w:pPr>
      <w:r>
        <w:rPr>
          <w:rFonts w:eastAsia="Times New Roman"/>
          <w:b/>
          <w:bCs/>
          <w:color w:val="000000"/>
          <w:sz w:val="20"/>
          <w:szCs w:val="20"/>
        </w:rPr>
        <w:t>Consolidated Statements of Cash Flow</w:t>
      </w:r>
      <w:r>
        <w:rPr>
          <w:rFonts w:eastAsia="Times New Roman"/>
          <w:b/>
          <w:bCs/>
          <w:color w:val="000000"/>
          <w:sz w:val="20"/>
          <w:szCs w:val="20"/>
        </w:rPr>
        <w:t>s</w:t>
      </w:r>
    </w:p>
    <w:p w:rsidR="00000000" w:rsidRDefault="00775A8F">
      <w:pPr>
        <w:jc w:val="center"/>
        <w:divId w:val="1986936246"/>
        <w:rPr>
          <w:rFonts w:eastAsia="Times New Roman"/>
        </w:rPr>
      </w:pPr>
      <w:r>
        <w:rPr>
          <w:rFonts w:eastAsia="Times New Roman"/>
          <w:b/>
          <w:bCs/>
          <w:color w:val="000000"/>
          <w:sz w:val="20"/>
          <w:szCs w:val="20"/>
        </w:rPr>
        <w:t>For the Six Months Ended June 30, 2020 and 2019 (Unaudited</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0"/>
        <w:gridCol w:w="5731"/>
        <w:gridCol w:w="50"/>
        <w:gridCol w:w="135"/>
        <w:gridCol w:w="830"/>
        <w:gridCol w:w="85"/>
        <w:gridCol w:w="36"/>
        <w:gridCol w:w="36"/>
        <w:gridCol w:w="36"/>
        <w:gridCol w:w="135"/>
        <w:gridCol w:w="809"/>
        <w:gridCol w:w="85"/>
        <w:gridCol w:w="36"/>
        <w:gridCol w:w="36"/>
        <w:gridCol w:w="36"/>
        <w:gridCol w:w="36"/>
        <w:gridCol w:w="36"/>
        <w:gridCol w:w="36"/>
        <w:gridCol w:w="36"/>
        <w:gridCol w:w="36"/>
      </w:tblGrid>
      <w:tr w:rsidR="00000000">
        <w:trPr>
          <w:gridAfter w:val="6"/>
          <w:divId w:val="570165016"/>
        </w:trPr>
        <w:tc>
          <w:tcPr>
            <w:tcW w:w="50" w:type="pct"/>
            <w:vAlign w:val="center"/>
            <w:hideMark/>
          </w:tcPr>
          <w:p w:rsidR="00000000" w:rsidRDefault="00775A8F">
            <w:pPr>
              <w:jc w:val="center"/>
              <w:rPr>
                <w:rFonts w:eastAsia="Times New Roman"/>
              </w:rPr>
            </w:pPr>
          </w:p>
        </w:tc>
        <w:tc>
          <w:tcPr>
            <w:tcW w:w="35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57016501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Change in short-term financing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Change in collateralized pledged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Change in collateralized pledged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(Decrease) increase in overdrafts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Dividends paid on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Dividends paid on 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Purchases of AB Holding Units to fund long-term incentive compensation plan award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Purchase of treasury share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Distribution to noncontrolling interest of consolidated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Increase (decrease) in securities sold under agreement to repurchas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cash provided by (used in) financing activitie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2,891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Height w:val="24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Effect of exchange rate changes on 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Change in cash and cash equivalent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3,894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Cash and cash equivalents, beginning of yea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4,405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Change in cash of businesses held-for-sal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Cash and cash equivalents, end of yea</w:t>
            </w:r>
            <w:r>
              <w:rPr>
                <w:rFonts w:eastAsia="Times New Roman"/>
                <w:color w:val="000000"/>
                <w:sz w:val="20"/>
                <w:szCs w:val="20"/>
              </w:rPr>
              <w:t>r</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8,364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4,734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Height w:val="18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Non-cash transactions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016501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Right-of-use assets obtained in exchange for lease obligation</w:t>
            </w:r>
            <w:r>
              <w:rPr>
                <w:rFonts w:eastAsia="Times New Roman"/>
                <w:color w:val="000000"/>
                <w:sz w:val="20"/>
                <w:szCs w:val="20"/>
              </w:rPr>
              <w:t>s</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901401697"/>
        <w:rPr>
          <w:rFonts w:eastAsia="Times New Roman"/>
        </w:rPr>
      </w:pPr>
    </w:p>
    <w:p w:rsidR="00000000" w:rsidRDefault="00775A8F">
      <w:pPr>
        <w:jc w:val="center"/>
        <w:rPr>
          <w:rFonts w:eastAsia="Times New Roman"/>
        </w:rPr>
      </w:pPr>
    </w:p>
    <w:p w:rsidR="00000000" w:rsidRDefault="00775A8F">
      <w:pPr>
        <w:jc w:val="center"/>
        <w:rPr>
          <w:rFonts w:eastAsia="Times New Roman"/>
        </w:rPr>
      </w:pPr>
    </w:p>
    <w:p w:rsidR="00000000" w:rsidRDefault="00775A8F">
      <w:pPr>
        <w:jc w:val="center"/>
        <w:rPr>
          <w:rFonts w:eastAsia="Times New Roman"/>
        </w:rPr>
      </w:pPr>
    </w:p>
    <w:p w:rsidR="00000000" w:rsidRDefault="00775A8F">
      <w:pPr>
        <w:jc w:val="center"/>
        <w:divId w:val="1103037349"/>
        <w:rPr>
          <w:rFonts w:eastAsia="Times New Roman"/>
        </w:rPr>
      </w:pPr>
    </w:p>
    <w:p w:rsidR="00000000" w:rsidRDefault="00775A8F">
      <w:pPr>
        <w:jc w:val="center"/>
        <w:divId w:val="1103037349"/>
        <w:rPr>
          <w:rFonts w:eastAsia="Times New Roman"/>
        </w:rPr>
      </w:pPr>
    </w:p>
    <w:p w:rsidR="00000000" w:rsidRDefault="00775A8F">
      <w:pPr>
        <w:jc w:val="center"/>
        <w:divId w:val="1103037349"/>
        <w:rPr>
          <w:rFonts w:eastAsia="Times New Roman"/>
        </w:rPr>
      </w:pPr>
    </w:p>
    <w:p w:rsidR="00000000" w:rsidRDefault="00775A8F">
      <w:pPr>
        <w:jc w:val="center"/>
        <w:divId w:val="1103037349"/>
        <w:rPr>
          <w:rFonts w:eastAsia="Times New Roman"/>
        </w:rPr>
      </w:pPr>
      <w:r>
        <w:rPr>
          <w:rFonts w:eastAsia="Times New Roman"/>
          <w:color w:val="000000"/>
          <w:sz w:val="20"/>
          <w:szCs w:val="20"/>
        </w:rPr>
        <w:t>See Notes to Consolidated Financial Statements (Unaudited).</w:t>
      </w:r>
      <w:r>
        <w:rPr>
          <w:rFonts w:eastAsia="Times New Roman"/>
          <w:color w:val="000000"/>
          <w:sz w:val="20"/>
          <w:szCs w:val="20"/>
        </w:rPr>
        <w:t xml:space="preserve"> </w:t>
      </w:r>
    </w:p>
    <w:p w:rsidR="00000000" w:rsidRDefault="00775A8F">
      <w:pPr>
        <w:jc w:val="center"/>
        <w:divId w:val="1103037349"/>
        <w:rPr>
          <w:rFonts w:eastAsia="Times New Roman"/>
        </w:rPr>
      </w:pPr>
      <w:r>
        <w:rPr>
          <w:rFonts w:eastAsia="Times New Roman"/>
          <w:color w:val="000000"/>
          <w:sz w:val="20"/>
          <w:szCs w:val="20"/>
        </w:rPr>
        <w:t>9</w:t>
      </w:r>
    </w:p>
    <w:p w:rsidR="00000000" w:rsidRDefault="00775A8F">
      <w:pPr>
        <w:rPr>
          <w:rFonts w:eastAsia="Times New Roman"/>
        </w:rPr>
      </w:pPr>
      <w:r>
        <w:rPr>
          <w:rFonts w:eastAsia="Times New Roman"/>
        </w:rPr>
        <w:pict>
          <v:rect id="_x0000_i1035" style="width:0;height:1.5pt" o:hralign="center" o:hrstd="t" o:hr="t" fillcolor="#a0a0a0" stroked="f"/>
        </w:pict>
      </w:r>
    </w:p>
    <w:p w:rsidR="00000000" w:rsidRDefault="00775A8F">
      <w:pPr>
        <w:jc w:val="center"/>
        <w:divId w:val="2046783343"/>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2046783343"/>
        <w:rPr>
          <w:rFonts w:eastAsia="Times New Roman"/>
        </w:rPr>
      </w:pPr>
      <w:r>
        <w:rPr>
          <w:rFonts w:eastAsia="Times New Roman"/>
          <w:b/>
          <w:bCs/>
          <w:color w:val="000000"/>
          <w:sz w:val="20"/>
          <w:szCs w:val="20"/>
        </w:rPr>
        <w:t>Notes to Consolidated Financial Statements (Unaudited</w:t>
      </w:r>
      <w:r>
        <w:rPr>
          <w:rFonts w:eastAsia="Times New Roman"/>
          <w:b/>
          <w:bCs/>
          <w:color w:val="000000"/>
          <w:sz w:val="20"/>
          <w:szCs w:val="20"/>
        </w:rPr>
        <w:t>)</w:t>
      </w:r>
    </w:p>
    <w:p w:rsidR="00000000" w:rsidRDefault="00775A8F">
      <w:pPr>
        <w:divId w:val="294725442"/>
        <w:rPr>
          <w:rFonts w:eastAsia="Times New Roman"/>
        </w:rPr>
      </w:pPr>
    </w:p>
    <w:p w:rsidR="00000000" w:rsidRDefault="00775A8F">
      <w:pPr>
        <w:divId w:val="892350001"/>
        <w:rPr>
          <w:rFonts w:eastAsia="Times New Roman"/>
        </w:rPr>
      </w:pPr>
      <w:r>
        <w:rPr>
          <w:rFonts w:eastAsia="Times New Roman"/>
          <w:b/>
          <w:bCs/>
          <w:color w:val="000000"/>
          <w:sz w:val="20"/>
          <w:szCs w:val="20"/>
        </w:rPr>
        <w:t>1) ORGANIZATION</w:t>
      </w:r>
      <w:r>
        <w:rPr>
          <w:rFonts w:eastAsia="Times New Roman"/>
          <w:b/>
          <w:bCs/>
          <w:color w:val="000000"/>
          <w:sz w:val="20"/>
          <w:szCs w:val="20"/>
        </w:rPr>
        <w:t xml:space="preserve"> </w:t>
      </w:r>
    </w:p>
    <w:p w:rsidR="00000000" w:rsidRDefault="00775A8F">
      <w:pPr>
        <w:divId w:val="587467732"/>
        <w:rPr>
          <w:rFonts w:eastAsia="Times New Roman"/>
        </w:rPr>
      </w:pPr>
      <w:r>
        <w:rPr>
          <w:rFonts w:eastAsia="Times New Roman"/>
          <w:color w:val="000000"/>
          <w:sz w:val="20"/>
          <w:szCs w:val="20"/>
        </w:rPr>
        <w:t>Equitable Holdings, Inc. (which removed “AXA” from its name on January 13, 2020, “Holdings” and, with its consolidated su</w:t>
      </w:r>
      <w:r>
        <w:rPr>
          <w:rFonts w:eastAsia="Times New Roman"/>
          <w:color w:val="000000"/>
          <w:sz w:val="20"/>
          <w:szCs w:val="20"/>
        </w:rPr>
        <w:t>bsidiaries, the “Company”) is the holding company for a diversified financial services organization. The Company conducts operations in four segments: Individual Retirement, Group Retirement, Investment Management and Research, and Protection Solutions. Th</w:t>
      </w:r>
      <w:r>
        <w:rPr>
          <w:rFonts w:eastAsia="Times New Roman"/>
          <w:color w:val="000000"/>
          <w:sz w:val="20"/>
          <w:szCs w:val="20"/>
        </w:rPr>
        <w:t>e Company’s management evaluates the performance of each of these segments independently.</w:t>
      </w:r>
      <w:r>
        <w:rPr>
          <w:rFonts w:eastAsia="Times New Roman"/>
          <w:color w:val="000000"/>
          <w:sz w:val="20"/>
          <w:szCs w:val="20"/>
        </w:rPr>
        <w:t xml:space="preserve"> </w:t>
      </w:r>
    </w:p>
    <w:p w:rsidR="00000000" w:rsidRDefault="00775A8F">
      <w:pPr>
        <w:ind w:hanging="360"/>
        <w:jc w:val="both"/>
        <w:divId w:val="1222055933"/>
        <w:rPr>
          <w:rFonts w:eastAsia="Times New Roman"/>
        </w:rPr>
      </w:pPr>
      <w:r>
        <w:rPr>
          <w:rFonts w:eastAsia="Times New Roman"/>
          <w:color w:val="000000"/>
          <w:sz w:val="20"/>
          <w:szCs w:val="20"/>
        </w:rPr>
        <w:t>•</w:t>
      </w:r>
      <w:r>
        <w:rPr>
          <w:rFonts w:eastAsia="Times New Roman"/>
          <w:color w:val="000000"/>
          <w:sz w:val="20"/>
          <w:szCs w:val="20"/>
        </w:rPr>
        <w:t>The Individual Retirement segment offers a diverse suite of variable annuity products which are primarily sold to affluent and high net worth individuals saving for</w:t>
      </w:r>
      <w:r>
        <w:rPr>
          <w:rFonts w:eastAsia="Times New Roman"/>
          <w:color w:val="000000"/>
          <w:sz w:val="20"/>
          <w:szCs w:val="20"/>
        </w:rPr>
        <w:t xml:space="preserve"> retirement or seeking retirement income</w:t>
      </w:r>
      <w:r>
        <w:rPr>
          <w:rFonts w:eastAsia="Times New Roman"/>
          <w:color w:val="000000"/>
          <w:sz w:val="20"/>
          <w:szCs w:val="20"/>
        </w:rPr>
        <w:t>.</w:t>
      </w:r>
    </w:p>
    <w:p w:rsidR="00000000" w:rsidRDefault="00775A8F">
      <w:pPr>
        <w:ind w:hanging="360"/>
        <w:jc w:val="both"/>
        <w:divId w:val="1355112346"/>
        <w:rPr>
          <w:rFonts w:eastAsia="Times New Roman"/>
        </w:rPr>
      </w:pPr>
      <w:r>
        <w:rPr>
          <w:rFonts w:eastAsia="Times New Roman"/>
          <w:color w:val="000000"/>
          <w:sz w:val="20"/>
          <w:szCs w:val="20"/>
        </w:rPr>
        <w:t>•</w:t>
      </w:r>
      <w:r>
        <w:rPr>
          <w:rFonts w:eastAsia="Times New Roman"/>
          <w:color w:val="000000"/>
          <w:sz w:val="20"/>
          <w:szCs w:val="20"/>
        </w:rPr>
        <w:t>The Group Retirement segment offers tax-deferred investment and retirement services or products to plans sponsored by educational entities, municipalities and not-for-profit entities, as well as small and medium-s</w:t>
      </w:r>
      <w:r>
        <w:rPr>
          <w:rFonts w:eastAsia="Times New Roman"/>
          <w:color w:val="000000"/>
          <w:sz w:val="20"/>
          <w:szCs w:val="20"/>
        </w:rPr>
        <w:t>ized businesses</w:t>
      </w:r>
      <w:r>
        <w:rPr>
          <w:rFonts w:eastAsia="Times New Roman"/>
          <w:color w:val="000000"/>
          <w:sz w:val="20"/>
          <w:szCs w:val="20"/>
        </w:rPr>
        <w:t>.</w:t>
      </w:r>
    </w:p>
    <w:p w:rsidR="00000000" w:rsidRDefault="00775A8F">
      <w:pPr>
        <w:ind w:hanging="360"/>
        <w:jc w:val="both"/>
        <w:divId w:val="851527305"/>
        <w:rPr>
          <w:rFonts w:eastAsia="Times New Roman"/>
        </w:rPr>
      </w:pPr>
      <w:r>
        <w:rPr>
          <w:rFonts w:eastAsia="Times New Roman"/>
          <w:color w:val="000000"/>
          <w:sz w:val="20"/>
          <w:szCs w:val="20"/>
        </w:rPr>
        <w:t>•</w:t>
      </w: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M</w:t>
      </w:r>
      <w:r>
        <w:rPr>
          <w:rFonts w:eastAsia="Times New Roman"/>
          <w:color w:val="000000"/>
          <w:sz w:val="20"/>
          <w:szCs w:val="20"/>
        </w:rPr>
        <w:t>anagement - and distributes its institutional research products and solutions through Bernstein Research Services. The Investment Management and Research segment reflects the business of AllianceBernstein Holding L.P. (“AB Holding”), AllianceBernstein L.P.</w:t>
      </w:r>
      <w:r>
        <w:rPr>
          <w:rFonts w:eastAsia="Times New Roman"/>
          <w:color w:val="000000"/>
          <w:sz w:val="20"/>
          <w:szCs w:val="20"/>
        </w:rPr>
        <w:t xml:space="preserve"> (“ABLP”) and their subsidiaries (collectively, “AB”)</w:t>
      </w:r>
      <w:r>
        <w:rPr>
          <w:rFonts w:eastAsia="Times New Roman"/>
          <w:color w:val="000000"/>
          <w:sz w:val="20"/>
          <w:szCs w:val="20"/>
        </w:rPr>
        <w:t>.</w:t>
      </w:r>
    </w:p>
    <w:p w:rsidR="00000000" w:rsidRDefault="00775A8F">
      <w:pPr>
        <w:ind w:hanging="360"/>
        <w:divId w:val="78405300"/>
        <w:rPr>
          <w:rFonts w:eastAsia="Times New Roman"/>
        </w:rPr>
      </w:pPr>
      <w:r>
        <w:rPr>
          <w:rFonts w:eastAsia="Times New Roman"/>
          <w:color w:val="000000"/>
          <w:sz w:val="20"/>
          <w:szCs w:val="20"/>
        </w:rPr>
        <w:t>•</w:t>
      </w:r>
      <w:r>
        <w:rPr>
          <w:rFonts w:eastAsia="Times New Roman"/>
          <w:color w:val="000000"/>
          <w:sz w:val="20"/>
          <w:szCs w:val="20"/>
        </w:rPr>
        <w:t>The Protection Solutions segment includes the Company’s life insurance and group employee benefits businesses. The life insurance business offers a variety of variable universal life, indexed universa</w:t>
      </w:r>
      <w:r>
        <w:rPr>
          <w:rFonts w:eastAsia="Times New Roman"/>
          <w:color w:val="000000"/>
          <w:sz w:val="20"/>
          <w:szCs w:val="20"/>
        </w:rPr>
        <w:t>l life and term life products to help affluent and high net worth individuals, as well as small and medium-sized business owners, with their wealth protection, wealth transfer and corporate needs. Our group employee benefits business offers a suite of life</w:t>
      </w:r>
      <w:r>
        <w:rPr>
          <w:rFonts w:eastAsia="Times New Roman"/>
          <w:color w:val="000000"/>
          <w:sz w:val="20"/>
          <w:szCs w:val="20"/>
        </w:rPr>
        <w:t>, short- and long-term disability, dental and vision insurance products to small and medium-size businesses across the United States</w:t>
      </w:r>
      <w:r>
        <w:rPr>
          <w:rFonts w:eastAsia="Times New Roman"/>
          <w:color w:val="000000"/>
          <w:sz w:val="20"/>
          <w:szCs w:val="20"/>
        </w:rPr>
        <w:t>.</w:t>
      </w:r>
    </w:p>
    <w:p w:rsidR="00000000" w:rsidRDefault="00775A8F">
      <w:pPr>
        <w:divId w:val="1412121170"/>
        <w:rPr>
          <w:rFonts w:eastAsia="Times New Roman"/>
        </w:rPr>
      </w:pPr>
      <w:r>
        <w:rPr>
          <w:rFonts w:eastAsia="Times New Roman"/>
          <w:color w:val="000000"/>
          <w:sz w:val="20"/>
          <w:szCs w:val="20"/>
        </w:rPr>
        <w:t>The Company reports certain activities and items that are not included in our segments in Corporate and Other. Corporate a</w:t>
      </w:r>
      <w:r>
        <w:rPr>
          <w:rFonts w:eastAsia="Times New Roman"/>
          <w:color w:val="000000"/>
          <w:sz w:val="20"/>
          <w:szCs w:val="20"/>
        </w:rPr>
        <w:t>nd Other includes certain of our financing and investment expenses. It also includes: Equitable Advisors, LLC (“Equitable Advisors”) broker-dealer business, closed block of life insurance (the “Closed Block”), run-off variable annuity reinsurance business,</w:t>
      </w:r>
      <w:r>
        <w:rPr>
          <w:rFonts w:eastAsia="Times New Roman"/>
          <w:color w:val="000000"/>
          <w:sz w:val="20"/>
          <w:szCs w:val="20"/>
        </w:rPr>
        <w:t xml:space="preserve"> run-off group pension business, run-off health business, benefit plans for our employees, certain strategic investments and certain unallocated items, including capital and related investments, interest expense and corporate expense. AB’s results of opera</w:t>
      </w:r>
      <w:r>
        <w:rPr>
          <w:rFonts w:eastAsia="Times New Roman"/>
          <w:color w:val="000000"/>
          <w:sz w:val="20"/>
          <w:szCs w:val="20"/>
        </w:rPr>
        <w:t>tions are reflected in the Investment Management and Research segment. Accordingly, Corporate and Other does not include any items applicable to AB</w:t>
      </w:r>
      <w:r>
        <w:rPr>
          <w:rFonts w:eastAsia="Times New Roman"/>
          <w:color w:val="000000"/>
          <w:sz w:val="20"/>
          <w:szCs w:val="20"/>
        </w:rPr>
        <w:t>.</w:t>
      </w:r>
    </w:p>
    <w:p w:rsidR="00000000" w:rsidRDefault="00775A8F">
      <w:pPr>
        <w:divId w:val="1815678041"/>
        <w:rPr>
          <w:rFonts w:eastAsia="Times New Roman"/>
        </w:rPr>
      </w:pPr>
      <w:r>
        <w:rPr>
          <w:rFonts w:eastAsia="Times New Roman"/>
          <w:color w:val="000000"/>
          <w:sz w:val="20"/>
          <w:szCs w:val="20"/>
        </w:rPr>
        <w:t>At June 30, 2020 and December 31, 2019, the Company’s economic interest in AB was approximately 65% and 65%</w:t>
      </w:r>
      <w:r>
        <w:rPr>
          <w:rFonts w:eastAsia="Times New Roman"/>
          <w:color w:val="000000"/>
          <w:sz w:val="20"/>
          <w:szCs w:val="20"/>
        </w:rPr>
        <w:t>, respectively. The general partner of AB, AllianceBernstein Corporation (the “General Partner”), is a wholly-owned subsidiary of the Company. Because the General Partner has the authority to manage and control the business of AB, AB is consolidated in the</w:t>
      </w:r>
      <w:r>
        <w:rPr>
          <w:rFonts w:eastAsia="Times New Roman"/>
          <w:color w:val="000000"/>
          <w:sz w:val="20"/>
          <w:szCs w:val="20"/>
        </w:rPr>
        <w:t xml:space="preserve"> Company’s financial statements for all periods</w:t>
      </w:r>
      <w:r>
        <w:rPr>
          <w:rFonts w:eastAsia="Times New Roman"/>
          <w:color w:val="000000"/>
          <w:sz w:val="20"/>
          <w:szCs w:val="20"/>
        </w:rPr>
        <w:t>.</w:t>
      </w:r>
    </w:p>
    <w:p w:rsidR="00000000" w:rsidRDefault="00775A8F">
      <w:pPr>
        <w:divId w:val="1016230400"/>
        <w:rPr>
          <w:rFonts w:eastAsia="Times New Roman"/>
        </w:rPr>
      </w:pPr>
      <w:r>
        <w:rPr>
          <w:rFonts w:eastAsia="Times New Roman"/>
          <w:color w:val="000000"/>
          <w:sz w:val="20"/>
          <w:szCs w:val="20"/>
          <w:u w:val="single"/>
        </w:rPr>
        <w:t>Sale of U.S. Financial Life Insurance Company and MONY Life Insurance Company of the Americas, Lt</w:t>
      </w:r>
      <w:r>
        <w:rPr>
          <w:rFonts w:eastAsia="Times New Roman"/>
          <w:color w:val="000000"/>
          <w:sz w:val="20"/>
          <w:szCs w:val="20"/>
          <w:u w:val="single"/>
        </w:rPr>
        <w:t>d</w:t>
      </w:r>
    </w:p>
    <w:p w:rsidR="00000000" w:rsidRDefault="00775A8F">
      <w:pPr>
        <w:divId w:val="188417254"/>
        <w:rPr>
          <w:rFonts w:eastAsia="Times New Roman"/>
        </w:rPr>
      </w:pPr>
      <w:r>
        <w:rPr>
          <w:rFonts w:eastAsia="Times New Roman"/>
          <w:color w:val="000000"/>
          <w:sz w:val="20"/>
          <w:szCs w:val="20"/>
        </w:rPr>
        <w:t>On December 10, 2019, Holdings entered into a definitive agreement to sell U.S. Financial Life Insurance Com</w:t>
      </w:r>
      <w:r>
        <w:rPr>
          <w:rFonts w:eastAsia="Times New Roman"/>
          <w:color w:val="000000"/>
          <w:sz w:val="20"/>
          <w:szCs w:val="20"/>
        </w:rPr>
        <w:t>pany (“USFL”) and MONY Life Insurance Company of the Americas, Ltd (“MLICA”), indirect wholly-owned subsidiaries of Holdings. The transaction closed on April 1, 2020. Accordingly, the Company recognized an impairment loss in Investment gains (losses), net,</w:t>
      </w:r>
      <w:r>
        <w:rPr>
          <w:rFonts w:eastAsia="Times New Roman"/>
          <w:color w:val="000000"/>
          <w:sz w:val="20"/>
          <w:szCs w:val="20"/>
        </w:rPr>
        <w:t xml:space="preserve"> in the consolidated statements of income (loss) of $39 million and $105 million, net of income tax, during the six months ended June 30, 2020 and year ended December 31, 2019, respectively. In addition, the assets and liabilities of USFL and MLICA were re</w:t>
      </w:r>
      <w:r>
        <w:rPr>
          <w:rFonts w:eastAsia="Times New Roman"/>
          <w:color w:val="000000"/>
          <w:sz w:val="20"/>
          <w:szCs w:val="20"/>
        </w:rPr>
        <w:t>ported as “held-for-sale” in the Company’s consolidated balance sheets from December 31, 2019 through the date the transaction closed. The assets held-for-sale were reported in the Protection Solutions segment as of December 31, 2019.</w:t>
      </w:r>
      <w:r>
        <w:rPr>
          <w:rFonts w:eastAsia="Times New Roman"/>
          <w:color w:val="000000"/>
          <w:sz w:val="20"/>
          <w:szCs w:val="20"/>
        </w:rPr>
        <w:t xml:space="preserve"> </w:t>
      </w:r>
    </w:p>
    <w:p w:rsidR="00000000" w:rsidRDefault="00775A8F">
      <w:pPr>
        <w:divId w:val="2074892729"/>
        <w:rPr>
          <w:rFonts w:eastAsia="Times New Roman"/>
        </w:rPr>
      </w:pPr>
    </w:p>
    <w:p w:rsidR="00000000" w:rsidRDefault="00775A8F">
      <w:pPr>
        <w:divId w:val="696008569"/>
        <w:rPr>
          <w:rFonts w:eastAsia="Times New Roman"/>
        </w:rPr>
      </w:pPr>
      <w:r>
        <w:rPr>
          <w:rFonts w:eastAsia="Times New Roman"/>
          <w:b/>
          <w:bCs/>
          <w:color w:val="000000"/>
          <w:sz w:val="20"/>
          <w:szCs w:val="20"/>
        </w:rPr>
        <w:t>2)  SIGNIFICANT AC</w:t>
      </w:r>
      <w:r>
        <w:rPr>
          <w:rFonts w:eastAsia="Times New Roman"/>
          <w:b/>
          <w:bCs/>
          <w:color w:val="000000"/>
          <w:sz w:val="20"/>
          <w:szCs w:val="20"/>
        </w:rPr>
        <w:t>COUNTING POLICIES</w:t>
      </w:r>
      <w:r>
        <w:rPr>
          <w:rFonts w:eastAsia="Times New Roman"/>
          <w:b/>
          <w:bCs/>
          <w:color w:val="000000"/>
          <w:sz w:val="20"/>
          <w:szCs w:val="20"/>
        </w:rPr>
        <w:t xml:space="preserve"> </w:t>
      </w:r>
    </w:p>
    <w:p w:rsidR="00000000" w:rsidRDefault="00775A8F">
      <w:pPr>
        <w:divId w:val="439573956"/>
        <w:rPr>
          <w:rFonts w:eastAsia="Times New Roman"/>
        </w:rPr>
      </w:pPr>
      <w:r>
        <w:rPr>
          <w:rFonts w:eastAsia="Times New Roman"/>
          <w:color w:val="000000"/>
          <w:sz w:val="20"/>
          <w:szCs w:val="20"/>
          <w:u w:val="single"/>
        </w:rPr>
        <w:t>Basis of Presentation and Principles of Consolidatio</w:t>
      </w:r>
      <w:r>
        <w:rPr>
          <w:rFonts w:eastAsia="Times New Roman"/>
          <w:color w:val="000000"/>
          <w:sz w:val="20"/>
          <w:szCs w:val="20"/>
          <w:u w:val="single"/>
        </w:rPr>
        <w:t>n</w:t>
      </w:r>
    </w:p>
    <w:p w:rsidR="00000000" w:rsidRDefault="00775A8F">
      <w:pPr>
        <w:divId w:val="1244030768"/>
        <w:rPr>
          <w:rFonts w:eastAsia="Times New Roman"/>
        </w:rPr>
      </w:pPr>
      <w:r>
        <w:rPr>
          <w:rFonts w:eastAsia="Times New Roman"/>
          <w:color w:val="000000"/>
          <w:sz w:val="20"/>
          <w:szCs w:val="20"/>
        </w:rPr>
        <w:t>The unaudited interim consolidated financial statements (the “consolidated financial statements”) have been prepared in conformity with accounting principles generally accepted in the</w:t>
      </w:r>
      <w:r>
        <w:rPr>
          <w:rFonts w:eastAsia="Times New Roman"/>
          <w:color w:val="000000"/>
          <w:sz w:val="20"/>
          <w:szCs w:val="20"/>
        </w:rPr>
        <w:t xml:space="preserve"> United States of America (“U.S. GAAP” or</w:t>
      </w:r>
      <w:r>
        <w:rPr>
          <w:rFonts w:eastAsia="Times New Roman"/>
          <w:color w:val="000000"/>
          <w:sz w:val="20"/>
          <w:szCs w:val="20"/>
        </w:rPr>
        <w:t xml:space="preserve"> </w:t>
      </w:r>
    </w:p>
    <w:p w:rsidR="00000000" w:rsidRDefault="00775A8F">
      <w:pPr>
        <w:jc w:val="center"/>
        <w:divId w:val="1218391887"/>
        <w:rPr>
          <w:rFonts w:eastAsia="Times New Roman"/>
        </w:rPr>
      </w:pPr>
      <w:r>
        <w:rPr>
          <w:rFonts w:eastAsia="Times New Roman"/>
          <w:color w:val="000000"/>
          <w:sz w:val="20"/>
          <w:szCs w:val="20"/>
        </w:rPr>
        <w:t>1</w:t>
      </w:r>
      <w:r>
        <w:rPr>
          <w:rFonts w:eastAsia="Times New Roman"/>
          <w:color w:val="000000"/>
          <w:sz w:val="20"/>
          <w:szCs w:val="20"/>
        </w:rPr>
        <w:t>0</w:t>
      </w:r>
    </w:p>
    <w:p w:rsidR="00000000" w:rsidRDefault="00775A8F">
      <w:pPr>
        <w:rPr>
          <w:rFonts w:eastAsia="Times New Roman"/>
        </w:rPr>
      </w:pPr>
      <w:r>
        <w:rPr>
          <w:rFonts w:eastAsia="Times New Roman"/>
        </w:rPr>
        <w:pict>
          <v:rect id="_x0000_i1036" style="width:0;height:1.5pt" o:hralign="center" o:hrstd="t" o:hr="t" fillcolor="#a0a0a0" stroked="f"/>
        </w:pict>
      </w:r>
    </w:p>
    <w:p w:rsidR="00000000" w:rsidRDefault="00775A8F">
      <w:pPr>
        <w:jc w:val="center"/>
        <w:divId w:val="1393579462"/>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393579462"/>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932515124"/>
        <w:rPr>
          <w:rFonts w:eastAsia="Times New Roman"/>
        </w:rPr>
      </w:pPr>
      <w:r>
        <w:rPr>
          <w:rFonts w:eastAsia="Times New Roman"/>
          <w:color w:val="000000"/>
          <w:sz w:val="20"/>
          <w:szCs w:val="20"/>
        </w:rPr>
        <w:t>“GAAP”</w:t>
      </w:r>
      <w:r>
        <w:rPr>
          <w:rFonts w:eastAsia="Times New Roman"/>
          <w:color w:val="000000"/>
          <w:sz w:val="20"/>
          <w:szCs w:val="20"/>
        </w:rPr>
        <w:t>) on a basis consistent with reporting interim financial information in accordance with instructions to the Form 10-Q and Article 10 of Regulation S-X of the Securities and Exchange Commission (“SEC”).</w:t>
      </w:r>
      <w:r>
        <w:rPr>
          <w:rFonts w:eastAsia="Times New Roman"/>
          <w:color w:val="000000"/>
          <w:sz w:val="20"/>
          <w:szCs w:val="20"/>
        </w:rPr>
        <w:t xml:space="preserve"> </w:t>
      </w:r>
    </w:p>
    <w:p w:rsidR="00000000" w:rsidRDefault="00775A8F">
      <w:pPr>
        <w:divId w:val="2127188722"/>
        <w:rPr>
          <w:rFonts w:eastAsia="Times New Roman"/>
        </w:rPr>
      </w:pPr>
      <w:r>
        <w:rPr>
          <w:rFonts w:eastAsia="Times New Roman"/>
          <w:color w:val="000000"/>
          <w:sz w:val="20"/>
          <w:szCs w:val="20"/>
        </w:rPr>
        <w:t>In the opinion of management, all adjustments necessa</w:t>
      </w:r>
      <w:r>
        <w:rPr>
          <w:rFonts w:eastAsia="Times New Roman"/>
          <w:color w:val="000000"/>
          <w:sz w:val="20"/>
          <w:szCs w:val="20"/>
        </w:rPr>
        <w:t>ry for a fair presentation of the financial position and results of operations have been made. All such adjustments are of a normal, recurring nature, with the exception of the Company’s update of its interest rate assumption and adoption of new economic s</w:t>
      </w:r>
      <w:r>
        <w:rPr>
          <w:rFonts w:eastAsia="Times New Roman"/>
          <w:color w:val="000000"/>
          <w:sz w:val="20"/>
          <w:szCs w:val="20"/>
        </w:rPr>
        <w:t>cenario generator as further described below in Assumption Updates and Model Changes. Interim results are not necessarily indicative of the results that may be expected for the full year. These financial statements should be read in conjunction with the Co</w:t>
      </w:r>
      <w:r>
        <w:rPr>
          <w:rFonts w:eastAsia="Times New Roman"/>
          <w:color w:val="000000"/>
          <w:sz w:val="20"/>
          <w:szCs w:val="20"/>
        </w:rPr>
        <w:t>mpany’s consolidated financial statements included in the Company’s Annual Report on Form 10-K for the year ended December 31, 2019.</w:t>
      </w:r>
      <w:r>
        <w:rPr>
          <w:rFonts w:eastAsia="Times New Roman"/>
          <w:color w:val="000000"/>
          <w:sz w:val="20"/>
          <w:szCs w:val="20"/>
        </w:rPr>
        <w:t xml:space="preserve"> </w:t>
      </w:r>
    </w:p>
    <w:p w:rsidR="00000000" w:rsidRDefault="00775A8F">
      <w:pPr>
        <w:divId w:val="544215883"/>
        <w:rPr>
          <w:rFonts w:eastAsia="Times New Roman"/>
        </w:rPr>
      </w:pPr>
      <w:r>
        <w:rPr>
          <w:rFonts w:eastAsia="Times New Roman"/>
          <w:color w:val="000000"/>
          <w:sz w:val="20"/>
          <w:szCs w:val="20"/>
        </w:rPr>
        <w:t>The accompanying unaudited consolidated financial statements present the consolidated results of operations, financial con</w:t>
      </w:r>
      <w:r>
        <w:rPr>
          <w:rFonts w:eastAsia="Times New Roman"/>
          <w:color w:val="000000"/>
          <w:sz w:val="20"/>
          <w:szCs w:val="20"/>
        </w:rPr>
        <w:t xml:space="preserve">dition, and cash flows of the Company and its subsidiaries and those investment companies, partnerships and joint ventures in which the Company has control and a majority economic interest as well as those variable interest entities (“VIEs”) that meet the </w:t>
      </w:r>
      <w:r>
        <w:rPr>
          <w:rFonts w:eastAsia="Times New Roman"/>
          <w:color w:val="000000"/>
          <w:sz w:val="20"/>
          <w:szCs w:val="20"/>
        </w:rPr>
        <w:t>requirements for consolidation.</w:t>
      </w:r>
      <w:r>
        <w:rPr>
          <w:rFonts w:eastAsia="Times New Roman"/>
          <w:color w:val="000000"/>
          <w:sz w:val="20"/>
          <w:szCs w:val="20"/>
        </w:rPr>
        <w:t xml:space="preserve"> </w:t>
      </w:r>
    </w:p>
    <w:p w:rsidR="00000000" w:rsidRDefault="00775A8F">
      <w:pPr>
        <w:divId w:val="908032664"/>
        <w:rPr>
          <w:rFonts w:eastAsia="Times New Roman"/>
        </w:rPr>
      </w:pPr>
      <w:r>
        <w:rPr>
          <w:rFonts w:eastAsia="Times New Roman"/>
          <w:color w:val="000000"/>
          <w:sz w:val="20"/>
          <w:szCs w:val="20"/>
        </w:rPr>
        <w:t>All significant intercompany transactions and balances have been eliminated in consolidation. The terms “second quarter 2020” and “second quarter 2019” refer to the three months ended June 30, 2020 and 2019, respectively. T</w:t>
      </w:r>
      <w:r>
        <w:rPr>
          <w:rFonts w:eastAsia="Times New Roman"/>
          <w:color w:val="000000"/>
          <w:sz w:val="20"/>
          <w:szCs w:val="20"/>
        </w:rPr>
        <w:t>he terms “first six months of 2020” and “first six months of 2019” refer to the six months ended June 30, 2020 and 2019, respectively</w:t>
      </w:r>
      <w:r>
        <w:rPr>
          <w:rFonts w:eastAsia="Times New Roman"/>
          <w:color w:val="000000"/>
          <w:sz w:val="20"/>
          <w:szCs w:val="20"/>
        </w:rPr>
        <w:t>.</w:t>
      </w:r>
    </w:p>
    <w:p w:rsidR="00000000" w:rsidRDefault="00775A8F">
      <w:pPr>
        <w:divId w:val="1168713159"/>
        <w:rPr>
          <w:rFonts w:eastAsia="Times New Roman"/>
        </w:rPr>
      </w:pPr>
      <w:r>
        <w:rPr>
          <w:rFonts w:eastAsia="Times New Roman"/>
          <w:color w:val="000000"/>
          <w:sz w:val="20"/>
          <w:szCs w:val="20"/>
        </w:rPr>
        <w:t>Certain prior year amounts have been reclassified to conform to the current year’s presentation.</w:t>
      </w:r>
      <w:r>
        <w:rPr>
          <w:rFonts w:eastAsia="Times New Roman"/>
          <w:color w:val="000000"/>
          <w:sz w:val="20"/>
          <w:szCs w:val="20"/>
        </w:rPr>
        <w:t xml:space="preserve"> </w:t>
      </w:r>
    </w:p>
    <w:p w:rsidR="00000000" w:rsidRDefault="00775A8F">
      <w:pPr>
        <w:divId w:val="1748452991"/>
        <w:rPr>
          <w:rFonts w:eastAsia="Times New Roman"/>
        </w:rPr>
      </w:pPr>
    </w:p>
    <w:p w:rsidR="00000000" w:rsidRDefault="00775A8F">
      <w:pPr>
        <w:divId w:val="263997943"/>
        <w:rPr>
          <w:rFonts w:eastAsia="Times New Roman"/>
        </w:rPr>
      </w:pPr>
      <w:r>
        <w:rPr>
          <w:rFonts w:eastAsia="Times New Roman"/>
          <w:color w:val="000000"/>
          <w:sz w:val="20"/>
          <w:szCs w:val="20"/>
          <w:u w:val="single"/>
        </w:rPr>
        <w:t>Adoption of New Accou</w:t>
      </w:r>
      <w:r>
        <w:rPr>
          <w:rFonts w:eastAsia="Times New Roman"/>
          <w:color w:val="000000"/>
          <w:sz w:val="20"/>
          <w:szCs w:val="20"/>
          <w:u w:val="single"/>
        </w:rPr>
        <w:t>nting Pronouncement</w:t>
      </w:r>
      <w:r>
        <w:rPr>
          <w:rFonts w:eastAsia="Times New Roman"/>
          <w:color w:val="000000"/>
          <w:sz w:val="20"/>
          <w:szCs w:val="20"/>
          <w:u w:val="single"/>
        </w:rPr>
        <w:t>s</w:t>
      </w:r>
    </w:p>
    <w:tbl>
      <w:tblPr>
        <w:tblW w:w="4649" w:type="pct"/>
        <w:tblCellMar>
          <w:top w:w="15" w:type="dxa"/>
          <w:left w:w="15" w:type="dxa"/>
          <w:bottom w:w="15" w:type="dxa"/>
          <w:right w:w="15" w:type="dxa"/>
        </w:tblCellMar>
        <w:tblLook w:val="04A0" w:firstRow="1" w:lastRow="0" w:firstColumn="1" w:lastColumn="0" w:noHBand="0" w:noVBand="1"/>
      </w:tblPr>
      <w:tblGrid>
        <w:gridCol w:w="76"/>
        <w:gridCol w:w="3644"/>
        <w:gridCol w:w="76"/>
        <w:gridCol w:w="76"/>
        <w:gridCol w:w="3667"/>
        <w:gridCol w:w="76"/>
        <w:gridCol w:w="36"/>
        <w:gridCol w:w="36"/>
        <w:gridCol w:w="36"/>
      </w:tblGrid>
      <w:tr w:rsidR="00000000">
        <w:trPr>
          <w:gridAfter w:val="3"/>
          <w:divId w:val="1132796518"/>
        </w:trPr>
        <w:tc>
          <w:tcPr>
            <w:tcW w:w="50" w:type="pct"/>
            <w:vAlign w:val="center"/>
            <w:hideMark/>
          </w:tcPr>
          <w:p w:rsidR="00000000" w:rsidRDefault="00775A8F">
            <w:pPr>
              <w:rPr>
                <w:rFonts w:eastAsia="Times New Roman"/>
              </w:rPr>
            </w:pPr>
          </w:p>
        </w:tc>
        <w:tc>
          <w:tcPr>
            <w:tcW w:w="239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40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3"/>
          <w:divId w:val="1132796518"/>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tc>
        <w:tc>
          <w:tcPr>
            <w:tcW w:w="0" w:type="auto"/>
            <w:gridSpan w:val="3"/>
            <w:tcBorders>
              <w:top w:val="single" w:sz="8" w:space="0" w:color="000000"/>
              <w:left w:val="single" w:sz="8" w:space="0" w:color="000000"/>
              <w:bottom w:val="single" w:sz="8" w:space="0" w:color="B3B3B3"/>
              <w:right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Effect on the Financial Statement or Other Significant Matter</w:t>
            </w:r>
            <w:r>
              <w:rPr>
                <w:rFonts w:eastAsia="Times New Roman"/>
                <w:b/>
                <w:bCs/>
                <w:color w:val="000000"/>
                <w:sz w:val="16"/>
                <w:szCs w:val="16"/>
              </w:rPr>
              <w:t>s</w:t>
            </w:r>
          </w:p>
        </w:tc>
      </w:tr>
      <w:tr w:rsidR="00000000">
        <w:trPr>
          <w:divId w:val="1132796518"/>
        </w:trPr>
        <w:tc>
          <w:tcPr>
            <w:tcW w:w="0" w:type="auto"/>
            <w:gridSpan w:val="6"/>
            <w:tcBorders>
              <w:top w:val="single" w:sz="8" w:space="0" w:color="B3B3B3"/>
              <w:left w:val="single" w:sz="8" w:space="0" w:color="B3B3B3"/>
              <w:right w:val="single" w:sz="8" w:space="0" w:color="B3B3B3"/>
            </w:tcBorders>
            <w:tcMar>
              <w:top w:w="30" w:type="dxa"/>
              <w:left w:w="20" w:type="dxa"/>
              <w:bottom w:w="30" w:type="dxa"/>
              <w:right w:w="20" w:type="dxa"/>
            </w:tcMar>
            <w:hideMark/>
          </w:tcPr>
          <w:p w:rsidR="00000000" w:rsidRDefault="00775A8F">
            <w:pPr>
              <w:divId w:val="829059014"/>
              <w:rPr>
                <w:rFonts w:eastAsia="Times New Roman"/>
              </w:rPr>
            </w:pPr>
            <w:r>
              <w:rPr>
                <w:rFonts w:eastAsia="Times New Roman"/>
                <w:b/>
                <w:bCs/>
                <w:i/>
                <w:iCs/>
                <w:color w:val="000000"/>
                <w:sz w:val="18"/>
                <w:szCs w:val="18"/>
              </w:rPr>
              <w:t>ASU 2016-1</w:t>
            </w:r>
            <w:r>
              <w:rPr>
                <w:rFonts w:eastAsia="Times New Roman"/>
                <w:b/>
                <w:bCs/>
                <w:i/>
                <w:iCs/>
                <w:color w:val="000000"/>
                <w:sz w:val="18"/>
                <w:szCs w:val="18"/>
              </w:rPr>
              <w:t>3</w:t>
            </w:r>
            <w:r>
              <w:rPr>
                <w:rFonts w:eastAsia="Times New Roman"/>
                <w:i/>
                <w:iCs/>
                <w:color w:val="000000"/>
                <w:sz w:val="18"/>
                <w:szCs w:val="18"/>
              </w:rPr>
              <w:t>: Financial Instruments—Credit Losses (Topic 326), </w:t>
            </w:r>
            <w:r>
              <w:rPr>
                <w:rFonts w:eastAsia="Times New Roman"/>
                <w:i/>
                <w:iCs/>
                <w:color w:val="000000"/>
                <w:sz w:val="18"/>
                <w:szCs w:val="18"/>
              </w:rPr>
              <w:t>as clarified and amended by ASU 2018-19: Codification Improvements to Topic 326, Financial Instruments—Credit Losses, ASU 2019-04: Codification Improvements to Topic 326, Financial Instruments—Credit Losses, Topic 815, Derivatives and Hedging, and Topic 82</w:t>
            </w:r>
            <w:r>
              <w:rPr>
                <w:rFonts w:eastAsia="Times New Roman"/>
                <w:i/>
                <w:iCs/>
                <w:color w:val="000000"/>
                <w:sz w:val="18"/>
                <w:szCs w:val="18"/>
              </w:rPr>
              <w:t>5, Financial Instruments and ASU 2019-05: Financial Instruments—Credit Losses (Topic 326) Targeted Transition Relief, ASU 2019-11: Codification Improvements to Topic 326, Financial Instruments—Credit Losse</w:t>
            </w:r>
            <w:r>
              <w:rPr>
                <w:rFonts w:eastAsia="Times New Roman"/>
                <w:i/>
                <w:iCs/>
                <w:color w:val="000000"/>
                <w:sz w:val="18"/>
                <w:szCs w:val="18"/>
              </w:rPr>
              <w:t>s</w:t>
            </w:r>
          </w:p>
          <w:p w:rsidR="00000000" w:rsidRDefault="00775A8F">
            <w:pPr>
              <w:divId w:val="654605077"/>
              <w:rPr>
                <w:rFonts w:eastAsia="Times New Roman"/>
              </w:rPr>
            </w:pPr>
          </w:p>
        </w:tc>
        <w:tc>
          <w:tcPr>
            <w:tcW w:w="0" w:type="auto"/>
            <w:gridSpan w:val="3"/>
            <w:vAlign w:val="center"/>
            <w:hideMark/>
          </w:tcPr>
          <w:p w:rsidR="00000000" w:rsidRDefault="00775A8F">
            <w:pPr>
              <w:rPr>
                <w:rFonts w:eastAsia="Times New Roman"/>
              </w:rPr>
            </w:pPr>
          </w:p>
        </w:tc>
      </w:tr>
      <w:tr w:rsidR="00000000">
        <w:trPr>
          <w:divId w:val="1132796518"/>
        </w:trPr>
        <w:tc>
          <w:tcPr>
            <w:tcW w:w="0" w:type="auto"/>
            <w:gridSpan w:val="3"/>
            <w:tcBorders>
              <w:top w:val="single" w:sz="8" w:space="0" w:color="B3B3B3"/>
              <w:left w:val="single" w:sz="8" w:space="0" w:color="000000"/>
            </w:tcBorders>
            <w:tcMar>
              <w:top w:w="30" w:type="dxa"/>
              <w:left w:w="20" w:type="dxa"/>
              <w:bottom w:w="30" w:type="dxa"/>
              <w:right w:w="20" w:type="dxa"/>
            </w:tcMar>
            <w:hideMark/>
          </w:tcPr>
          <w:p w:rsidR="00000000" w:rsidRDefault="00775A8F">
            <w:pPr>
              <w:divId w:val="112722982"/>
              <w:rPr>
                <w:rFonts w:eastAsia="Times New Roman"/>
              </w:rPr>
            </w:pPr>
            <w:r>
              <w:rPr>
                <w:rFonts w:eastAsia="Times New Roman"/>
                <w:color w:val="000000"/>
                <w:sz w:val="18"/>
                <w:szCs w:val="18"/>
              </w:rPr>
              <w:t>ASU 2016-13 contains new guidance whic</w:t>
            </w:r>
            <w:r>
              <w:rPr>
                <w:rFonts w:eastAsia="Times New Roman"/>
                <w:color w:val="000000"/>
                <w:sz w:val="18"/>
                <w:szCs w:val="18"/>
              </w:rPr>
              <w:t>h introduces an approach based on expected losses to estimate credit losses on certain types of financial instruments. It also modifies the impairment model for available-for-sale debt securities and provides for a simplified accounting model for purchased</w:t>
            </w:r>
            <w:r>
              <w:rPr>
                <w:rFonts w:eastAsia="Times New Roman"/>
                <w:color w:val="000000"/>
                <w:sz w:val="18"/>
                <w:szCs w:val="18"/>
              </w:rPr>
              <w:t xml:space="preserve"> financial assets with credit deterioration since their origination</w:t>
            </w:r>
            <w:r>
              <w:rPr>
                <w:rFonts w:eastAsia="Times New Roman"/>
                <w:color w:val="000000"/>
                <w:sz w:val="18"/>
                <w:szCs w:val="18"/>
              </w:rPr>
              <w:t>.</w:t>
            </w:r>
          </w:p>
          <w:p w:rsidR="00000000" w:rsidRDefault="00775A8F">
            <w:pPr>
              <w:divId w:val="770854473"/>
              <w:rPr>
                <w:rFonts w:eastAsia="Times New Roman"/>
              </w:rPr>
            </w:pPr>
          </w:p>
          <w:p w:rsidR="00000000" w:rsidRDefault="00775A8F">
            <w:pPr>
              <w:divId w:val="1815172875"/>
              <w:rPr>
                <w:rFonts w:eastAsia="Times New Roman"/>
              </w:rPr>
            </w:pPr>
            <w:r>
              <w:rPr>
                <w:rFonts w:eastAsia="Times New Roman"/>
                <w:color w:val="000000"/>
                <w:sz w:val="18"/>
                <w:szCs w:val="18"/>
              </w:rPr>
              <w:t>ASU 2019-05 provides entities that have instruments within the scope of Subtopic 326-20 an option to irrevocably elect the fair value option on an instrument-by instrument basis upon ad</w:t>
            </w:r>
            <w:r>
              <w:rPr>
                <w:rFonts w:eastAsia="Times New Roman"/>
                <w:color w:val="000000"/>
                <w:sz w:val="18"/>
                <w:szCs w:val="18"/>
              </w:rPr>
              <w:t>option of Topic 326.</w:t>
            </w:r>
            <w:r>
              <w:rPr>
                <w:rFonts w:eastAsia="Times New Roman"/>
                <w:color w:val="000000"/>
                <w:sz w:val="18"/>
                <w:szCs w:val="18"/>
              </w:rPr>
              <w:t xml:space="preserve"> </w:t>
            </w:r>
          </w:p>
          <w:p w:rsidR="00000000" w:rsidRDefault="00775A8F">
            <w:pPr>
              <w:divId w:val="1350107516"/>
              <w:rPr>
                <w:rFonts w:eastAsia="Times New Roman"/>
              </w:rPr>
            </w:pPr>
          </w:p>
          <w:p w:rsidR="00000000" w:rsidRDefault="00775A8F">
            <w:pPr>
              <w:divId w:val="139931741"/>
              <w:rPr>
                <w:rFonts w:eastAsia="Times New Roman"/>
              </w:rPr>
            </w:pPr>
            <w:r>
              <w:rPr>
                <w:rFonts w:eastAsia="Times New Roman"/>
                <w:color w:val="000000"/>
                <w:sz w:val="18"/>
                <w:szCs w:val="18"/>
              </w:rPr>
              <w:t>ASU 2018-19, ASU 2019-04 and ASU 2019-11 clarified the codification guidance and did not materially change the standard</w:t>
            </w:r>
            <w:r>
              <w:rPr>
                <w:rFonts w:eastAsia="Times New Roman"/>
                <w:color w:val="000000"/>
                <w:sz w:val="18"/>
                <w:szCs w:val="18"/>
              </w:rPr>
              <w:t>.</w:t>
            </w:r>
          </w:p>
          <w:p w:rsidR="00000000" w:rsidRDefault="00775A8F">
            <w:pPr>
              <w:divId w:val="1751074680"/>
              <w:rPr>
                <w:rFonts w:eastAsia="Times New Roman"/>
              </w:rPr>
            </w:pPr>
          </w:p>
        </w:tc>
        <w:tc>
          <w:tcPr>
            <w:tcW w:w="0" w:type="auto"/>
            <w:gridSpan w:val="3"/>
            <w:tcBorders>
              <w:top w:val="single" w:sz="8" w:space="0" w:color="B3B3B3"/>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775A8F">
            <w:pPr>
              <w:rPr>
                <w:rFonts w:eastAsia="Times New Roman"/>
              </w:rPr>
            </w:pPr>
            <w:r>
              <w:rPr>
                <w:rFonts w:eastAsia="Times New Roman"/>
                <w:color w:val="000000"/>
                <w:sz w:val="18"/>
                <w:szCs w:val="18"/>
              </w:rPr>
              <w:t>On January 1, 2020, the Company adopted the new standard and completed implementation of its updated curren</w:t>
            </w:r>
            <w:r>
              <w:rPr>
                <w:rFonts w:eastAsia="Times New Roman"/>
                <w:color w:val="000000"/>
                <w:sz w:val="18"/>
                <w:szCs w:val="18"/>
              </w:rPr>
              <w:t>t expected credit losses (“CECL”) models, processes and controls related to the identified financial assets that fall within the scope of the new standard. Upon adoption, the Company recorded a cumulative effect adjustment to reduce the opening retained ea</w:t>
            </w:r>
            <w:r>
              <w:rPr>
                <w:rFonts w:eastAsia="Times New Roman"/>
                <w:color w:val="000000"/>
                <w:sz w:val="18"/>
                <w:szCs w:val="18"/>
              </w:rPr>
              <w:t>rnings balance by approximately $40 million, on a pre-tax and pre-DAC basis. The adjustment is primarily attributable to an increase in the allowance for credit losses associated with the Company’s commercial and agricultural mortgage loan portfolios and r</w:t>
            </w:r>
            <w:r>
              <w:rPr>
                <w:rFonts w:eastAsia="Times New Roman"/>
                <w:color w:val="000000"/>
                <w:sz w:val="18"/>
                <w:szCs w:val="18"/>
              </w:rPr>
              <w:t>einsurance.</w:t>
            </w:r>
            <w:r>
              <w:rPr>
                <w:rFonts w:eastAsia="Times New Roman"/>
                <w:color w:val="000000"/>
                <w:sz w:val="18"/>
                <w:szCs w:val="18"/>
              </w:rPr>
              <w:br/>
            </w:r>
            <w:r>
              <w:rPr>
                <w:rFonts w:eastAsia="Times New Roman"/>
                <w:color w:val="000000"/>
                <w:sz w:val="18"/>
                <w:szCs w:val="18"/>
              </w:rPr>
              <w:br/>
              <w:t>Results for reporting periods beginning after January 1, 2020 are presented under ASU 2016-13 while prior period amounts continue to be reported in accordance with previously applicable GAAP</w:t>
            </w:r>
            <w:r>
              <w:rPr>
                <w:rFonts w:eastAsia="Times New Roman"/>
                <w:color w:val="000000"/>
                <w:sz w:val="18"/>
                <w:szCs w:val="18"/>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32796518"/>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75A8F">
            <w:pPr>
              <w:divId w:val="1580099201"/>
              <w:rPr>
                <w:rFonts w:eastAsia="Times New Roman"/>
              </w:rPr>
            </w:pPr>
            <w:r>
              <w:rPr>
                <w:rFonts w:eastAsia="Times New Roman"/>
                <w:b/>
                <w:bCs/>
                <w:i/>
                <w:iCs/>
                <w:color w:val="000000"/>
                <w:sz w:val="18"/>
                <w:szCs w:val="18"/>
              </w:rPr>
              <w:t>ASU 2018-13:</w:t>
            </w:r>
            <w:r>
              <w:rPr>
                <w:rFonts w:eastAsia="Times New Roman"/>
                <w:b/>
                <w:bCs/>
                <w:i/>
                <w:iCs/>
                <w:color w:val="000000"/>
                <w:sz w:val="18"/>
                <w:szCs w:val="18"/>
              </w:rPr>
              <w:t xml:space="preserve"> </w:t>
            </w:r>
            <w:r>
              <w:rPr>
                <w:rFonts w:eastAsia="Times New Roman"/>
                <w:i/>
                <w:iCs/>
                <w:color w:val="000000"/>
                <w:sz w:val="18"/>
                <w:szCs w:val="18"/>
              </w:rPr>
              <w:t>Fair Value Measurement (Topic 820</w:t>
            </w:r>
            <w:r>
              <w:rPr>
                <w:rFonts w:eastAsia="Times New Roman"/>
                <w:i/>
                <w:iCs/>
                <w:color w:val="000000"/>
                <w:sz w:val="18"/>
                <w:szCs w:val="18"/>
              </w:rPr>
              <w:t>)</w:t>
            </w:r>
          </w:p>
          <w:p w:rsidR="00000000" w:rsidRDefault="00775A8F">
            <w:pPr>
              <w:divId w:val="468789453"/>
              <w:rPr>
                <w:rFonts w:eastAsia="Times New Roman"/>
              </w:rPr>
            </w:pPr>
          </w:p>
        </w:tc>
        <w:tc>
          <w:tcPr>
            <w:tcW w:w="0" w:type="auto"/>
            <w:gridSpan w:val="3"/>
            <w:vAlign w:val="center"/>
            <w:hideMark/>
          </w:tcPr>
          <w:p w:rsidR="00000000" w:rsidRDefault="00775A8F">
            <w:pPr>
              <w:rPr>
                <w:rFonts w:eastAsia="Times New Roman"/>
              </w:rPr>
            </w:pPr>
          </w:p>
        </w:tc>
      </w:tr>
      <w:tr w:rsidR="00000000">
        <w:trPr>
          <w:divId w:val="1132796518"/>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75A8F">
            <w:pPr>
              <w:divId w:val="1708094562"/>
              <w:rPr>
                <w:rFonts w:eastAsia="Times New Roman"/>
              </w:rPr>
            </w:pPr>
            <w:r>
              <w:rPr>
                <w:rFonts w:eastAsia="Times New Roman"/>
                <w:color w:val="000000"/>
                <w:sz w:val="18"/>
                <w:szCs w:val="18"/>
              </w:rPr>
              <w:t>This ASU improves the effectiveness of fair value disclosures in the notes to financial statements. Amendments in this ASU impact the disclosure requirements in Topic 820, including the removal, modification an</w:t>
            </w:r>
            <w:r>
              <w:rPr>
                <w:rFonts w:eastAsia="Times New Roman"/>
                <w:color w:val="000000"/>
                <w:sz w:val="18"/>
                <w:szCs w:val="18"/>
              </w:rPr>
              <w:t>d addition to existing disclosure requirements</w:t>
            </w:r>
            <w:r>
              <w:rPr>
                <w:rFonts w:eastAsia="Times New Roman"/>
                <w:color w:val="000000"/>
                <w:sz w:val="18"/>
                <w:szCs w:val="18"/>
              </w:rPr>
              <w:t>.</w:t>
            </w:r>
          </w:p>
          <w:p w:rsidR="00000000" w:rsidRDefault="00775A8F">
            <w:pPr>
              <w:divId w:val="1928152402"/>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775A8F">
            <w:pPr>
              <w:divId w:val="2003854372"/>
              <w:rPr>
                <w:rFonts w:eastAsia="Times New Roman"/>
              </w:rPr>
            </w:pPr>
            <w:r>
              <w:rPr>
                <w:rFonts w:eastAsia="Times New Roman"/>
                <w:color w:val="000000"/>
                <w:sz w:val="18"/>
                <w:szCs w:val="18"/>
              </w:rPr>
              <w:t>The Company elected to early adopt during 2019 the removal of disclosures relating to transfers between Level 1 and Level 2 of the fair value hierarchy, the policy for timing of transfers between levels a</w:t>
            </w:r>
            <w:r>
              <w:rPr>
                <w:rFonts w:eastAsia="Times New Roman"/>
                <w:color w:val="000000"/>
                <w:sz w:val="18"/>
                <w:szCs w:val="18"/>
              </w:rPr>
              <w:t>nd valuation processes for Level 3 fair value measurements. The Company adopted the additional disclosures related to Level 3 fair value information on January 1, 2020</w:t>
            </w:r>
            <w:r>
              <w:rPr>
                <w:rFonts w:eastAsia="Times New Roman"/>
                <w:color w:val="000000"/>
                <w:sz w:val="18"/>
                <w:szCs w:val="18"/>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32796518"/>
        </w:trPr>
        <w:tc>
          <w:tcPr>
            <w:tcW w:w="0" w:type="auto"/>
            <w:gridSpan w:val="6"/>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75A8F">
            <w:pPr>
              <w:divId w:val="1770661978"/>
              <w:rPr>
                <w:rFonts w:eastAsia="Times New Roman"/>
              </w:rPr>
            </w:pPr>
            <w:r>
              <w:rPr>
                <w:rFonts w:eastAsia="Times New Roman"/>
                <w:b/>
                <w:bCs/>
                <w:i/>
                <w:iCs/>
                <w:color w:val="000000"/>
                <w:sz w:val="18"/>
                <w:szCs w:val="18"/>
              </w:rPr>
              <w:t>ASU 2018-1</w:t>
            </w:r>
            <w:r>
              <w:rPr>
                <w:rFonts w:eastAsia="Times New Roman"/>
                <w:b/>
                <w:bCs/>
                <w:i/>
                <w:iCs/>
                <w:color w:val="000000"/>
                <w:sz w:val="18"/>
                <w:szCs w:val="18"/>
              </w:rPr>
              <w:t>7</w:t>
            </w:r>
            <w:r>
              <w:rPr>
                <w:rFonts w:eastAsia="Times New Roman"/>
                <w:i/>
                <w:iCs/>
                <w:color w:val="000000"/>
                <w:sz w:val="18"/>
                <w:szCs w:val="18"/>
              </w:rPr>
              <w:t>: Consolidation (Topic 810): Targeted Improvements to Related Party Gu</w:t>
            </w:r>
            <w:r>
              <w:rPr>
                <w:rFonts w:eastAsia="Times New Roman"/>
                <w:i/>
                <w:iCs/>
                <w:color w:val="000000"/>
                <w:sz w:val="18"/>
                <w:szCs w:val="18"/>
              </w:rPr>
              <w:t>idance for Variable Interest Entitie</w:t>
            </w:r>
            <w:r>
              <w:rPr>
                <w:rFonts w:eastAsia="Times New Roman"/>
                <w:i/>
                <w:iCs/>
                <w:color w:val="000000"/>
                <w:sz w:val="18"/>
                <w:szCs w:val="18"/>
              </w:rPr>
              <w:t>s</w:t>
            </w:r>
          </w:p>
        </w:tc>
        <w:tc>
          <w:tcPr>
            <w:tcW w:w="0" w:type="auto"/>
            <w:gridSpan w:val="3"/>
            <w:vAlign w:val="center"/>
            <w:hideMark/>
          </w:tcPr>
          <w:p w:rsidR="00000000" w:rsidRDefault="00775A8F">
            <w:pPr>
              <w:rPr>
                <w:rFonts w:eastAsia="Times New Roman"/>
              </w:rPr>
            </w:pPr>
          </w:p>
        </w:tc>
      </w:tr>
      <w:tr w:rsidR="00000000">
        <w:trPr>
          <w:divId w:val="1132796518"/>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775A8F">
            <w:pPr>
              <w:divId w:val="92164745"/>
              <w:rPr>
                <w:rFonts w:eastAsia="Times New Roman"/>
              </w:rPr>
            </w:pPr>
            <w:r>
              <w:rPr>
                <w:rFonts w:eastAsia="Times New Roman"/>
                <w:color w:val="000000"/>
                <w:sz w:val="18"/>
                <w:szCs w:val="18"/>
              </w:rPr>
              <w:t>This ASU provides guidance requiring that indirect interests held through related parties in common control arrangements be considered on a proportional basis for determining whether fees paid to decision makers and service providers are variable interests</w:t>
            </w:r>
            <w:r>
              <w:rPr>
                <w:rFonts w:eastAsia="Times New Roman"/>
                <w:color w:val="000000"/>
                <w:sz w:val="18"/>
                <w:szCs w:val="18"/>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775A8F">
            <w:pPr>
              <w:divId w:val="1867719731"/>
              <w:rPr>
                <w:rFonts w:eastAsia="Times New Roman"/>
              </w:rPr>
            </w:pPr>
            <w:r>
              <w:rPr>
                <w:rFonts w:eastAsia="Times New Roman"/>
                <w:color w:val="000000"/>
                <w:sz w:val="18"/>
                <w:szCs w:val="18"/>
              </w:rPr>
              <w:t>The Company adopted this new standard effective for January 1, 2020. Adoption of this standard did not materially impact the Company’s financial position or results of operations</w:t>
            </w:r>
            <w:r>
              <w:rPr>
                <w:rFonts w:eastAsia="Times New Roman"/>
                <w:color w:val="000000"/>
                <w:sz w:val="18"/>
                <w:szCs w:val="18"/>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059128220"/>
        <w:rPr>
          <w:rFonts w:eastAsia="Times New Roman"/>
        </w:rPr>
      </w:pPr>
    </w:p>
    <w:p w:rsidR="00000000" w:rsidRDefault="00775A8F">
      <w:pPr>
        <w:jc w:val="center"/>
        <w:divId w:val="257371118"/>
        <w:rPr>
          <w:rFonts w:eastAsia="Times New Roman"/>
        </w:rPr>
      </w:pPr>
      <w:r>
        <w:rPr>
          <w:rFonts w:eastAsia="Times New Roman"/>
          <w:color w:val="000000"/>
          <w:sz w:val="20"/>
          <w:szCs w:val="20"/>
        </w:rPr>
        <w:t>1</w:t>
      </w:r>
      <w:r>
        <w:rPr>
          <w:rFonts w:eastAsia="Times New Roman"/>
          <w:color w:val="000000"/>
          <w:sz w:val="20"/>
          <w:szCs w:val="20"/>
        </w:rPr>
        <w:t>1</w:t>
      </w:r>
    </w:p>
    <w:p w:rsidR="00000000" w:rsidRDefault="00775A8F">
      <w:pPr>
        <w:rPr>
          <w:rFonts w:eastAsia="Times New Roman"/>
        </w:rPr>
      </w:pPr>
      <w:r>
        <w:rPr>
          <w:rFonts w:eastAsia="Times New Roman"/>
        </w:rPr>
        <w:pict>
          <v:rect id="_x0000_i1037" style="width:0;height:1.5pt" o:hralign="center" o:hrstd="t" o:hr="t" fillcolor="#a0a0a0" stroked="f"/>
        </w:pict>
      </w:r>
    </w:p>
    <w:p w:rsidR="00000000" w:rsidRDefault="00775A8F">
      <w:pPr>
        <w:jc w:val="center"/>
        <w:divId w:val="694696547"/>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694696547"/>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2022929095"/>
        <w:rPr>
          <w:rFonts w:eastAsia="Times New Roman"/>
        </w:rPr>
      </w:pPr>
      <w:r>
        <w:rPr>
          <w:rFonts w:eastAsia="Times New Roman"/>
          <w:color w:val="000000"/>
          <w:sz w:val="20"/>
          <w:szCs w:val="20"/>
          <w:u w:val="single"/>
        </w:rPr>
        <w:t>Future Adoption of New Accounting Pronouncement</w:t>
      </w:r>
      <w:r>
        <w:rPr>
          <w:rFonts w:eastAsia="Times New Roman"/>
          <w:color w:val="000000"/>
          <w:sz w:val="20"/>
          <w:szCs w:val="20"/>
          <w:u w:val="single"/>
        </w:rPr>
        <w:t>s</w:t>
      </w:r>
    </w:p>
    <w:tbl>
      <w:tblPr>
        <w:tblW w:w="4649" w:type="pct"/>
        <w:tblCellMar>
          <w:top w:w="15" w:type="dxa"/>
          <w:left w:w="15" w:type="dxa"/>
          <w:bottom w:w="15" w:type="dxa"/>
          <w:right w:w="15" w:type="dxa"/>
        </w:tblCellMar>
        <w:tblLook w:val="04A0" w:firstRow="1" w:lastRow="0" w:firstColumn="1" w:lastColumn="0" w:noHBand="0" w:noVBand="1"/>
      </w:tblPr>
      <w:tblGrid>
        <w:gridCol w:w="75"/>
        <w:gridCol w:w="2351"/>
        <w:gridCol w:w="75"/>
        <w:gridCol w:w="75"/>
        <w:gridCol w:w="2351"/>
        <w:gridCol w:w="76"/>
        <w:gridCol w:w="76"/>
        <w:gridCol w:w="2352"/>
        <w:gridCol w:w="76"/>
        <w:gridCol w:w="36"/>
        <w:gridCol w:w="36"/>
        <w:gridCol w:w="36"/>
        <w:gridCol w:w="36"/>
        <w:gridCol w:w="36"/>
        <w:gridCol w:w="36"/>
      </w:tblGrid>
      <w:tr w:rsidR="00000000">
        <w:trPr>
          <w:gridAfter w:val="6"/>
          <w:divId w:val="323092483"/>
        </w:trPr>
        <w:tc>
          <w:tcPr>
            <w:tcW w:w="50" w:type="pct"/>
            <w:vAlign w:val="center"/>
            <w:hideMark/>
          </w:tcPr>
          <w:p w:rsidR="00000000" w:rsidRDefault="00775A8F">
            <w:pPr>
              <w:rPr>
                <w:rFonts w:eastAsia="Times New Roman"/>
              </w:rPr>
            </w:pPr>
          </w:p>
        </w:tc>
        <w:tc>
          <w:tcPr>
            <w:tcW w:w="156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56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56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323092483"/>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p w:rsidR="00000000" w:rsidRDefault="00775A8F">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Effective Date and Method of Adoptio</w:t>
            </w:r>
            <w:r>
              <w:rPr>
                <w:rFonts w:eastAsia="Times New Roman"/>
                <w:b/>
                <w:bCs/>
                <w:color w:val="000000"/>
                <w:sz w:val="16"/>
                <w:szCs w:val="16"/>
              </w:rPr>
              <w:t>n</w:t>
            </w:r>
          </w:p>
          <w:p w:rsidR="00000000" w:rsidRDefault="00775A8F">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Effect on the Financial Statement or Other Significant Matter</w:t>
            </w:r>
            <w:r>
              <w:rPr>
                <w:rFonts w:eastAsia="Times New Roman"/>
                <w:b/>
                <w:bCs/>
                <w:color w:val="000000"/>
                <w:sz w:val="16"/>
                <w:szCs w:val="16"/>
              </w:rPr>
              <w:t>s</w:t>
            </w:r>
          </w:p>
          <w:p w:rsidR="00000000" w:rsidRDefault="00775A8F">
            <w:pPr>
              <w:jc w:val="center"/>
              <w:rPr>
                <w:rFonts w:eastAsia="Times New Roman"/>
              </w:rPr>
            </w:pPr>
          </w:p>
        </w:tc>
      </w:tr>
      <w:tr w:rsidR="00000000">
        <w:trPr>
          <w:divId w:val="323092483"/>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75A8F">
            <w:pPr>
              <w:divId w:val="1812363501"/>
              <w:rPr>
                <w:rFonts w:eastAsia="Times New Roman"/>
              </w:rPr>
            </w:pPr>
            <w:r>
              <w:rPr>
                <w:rFonts w:eastAsia="Times New Roman"/>
                <w:b/>
                <w:bCs/>
                <w:color w:val="000000"/>
                <w:sz w:val="18"/>
                <w:szCs w:val="18"/>
              </w:rPr>
              <w:t>ASU 2018-12</w:t>
            </w:r>
            <w:r>
              <w:rPr>
                <w:rFonts w:eastAsia="Times New Roman"/>
                <w:b/>
                <w:bCs/>
                <w:color w:val="000000"/>
                <w:sz w:val="18"/>
                <w:szCs w:val="18"/>
              </w:rPr>
              <w:t>:</w:t>
            </w:r>
            <w:r>
              <w:rPr>
                <w:rFonts w:eastAsia="Times New Roman"/>
                <w:b/>
                <w:bCs/>
                <w:i/>
                <w:iCs/>
                <w:color w:val="000000"/>
                <w:sz w:val="18"/>
                <w:szCs w:val="18"/>
              </w:rPr>
              <w:t xml:space="preserve"> </w:t>
            </w:r>
            <w:r>
              <w:rPr>
                <w:rFonts w:eastAsia="Times New Roman"/>
                <w:i/>
                <w:iCs/>
                <w:color w:val="000000"/>
                <w:sz w:val="18"/>
                <w:szCs w:val="18"/>
              </w:rPr>
              <w:t>Financial Services - Insurance (Topic 944);</w:t>
            </w:r>
            <w:r>
              <w:rPr>
                <w:rFonts w:eastAsia="Times New Roman"/>
                <w:i/>
                <w:iCs/>
                <w:color w:val="000000"/>
                <w:sz w:val="18"/>
                <w:szCs w:val="18"/>
              </w:rPr>
              <w:t xml:space="preserve"> </w:t>
            </w:r>
            <w:r>
              <w:rPr>
                <w:rFonts w:eastAsia="Times New Roman"/>
                <w:b/>
                <w:bCs/>
                <w:color w:val="000000"/>
                <w:sz w:val="18"/>
                <w:szCs w:val="18"/>
              </w:rPr>
              <w:t>ASU 2019-09</w:t>
            </w:r>
            <w:r>
              <w:rPr>
                <w:rFonts w:eastAsia="Times New Roman"/>
                <w:b/>
                <w:bCs/>
                <w:color w:val="000000"/>
                <w:sz w:val="18"/>
                <w:szCs w:val="18"/>
              </w:rPr>
              <w:t>:</w:t>
            </w:r>
            <w:r>
              <w:rPr>
                <w:rFonts w:eastAsia="Times New Roman"/>
                <w:color w:val="000000"/>
                <w:sz w:val="18"/>
                <w:szCs w:val="18"/>
              </w:rPr>
              <w:t xml:space="preserve"> </w:t>
            </w:r>
            <w:r>
              <w:rPr>
                <w:rFonts w:eastAsia="Times New Roman"/>
                <w:i/>
                <w:iCs/>
                <w:color w:val="000000"/>
                <w:sz w:val="18"/>
                <w:szCs w:val="18"/>
              </w:rPr>
              <w:t>Financial Services - Insurance (Topic 944): Effective Dat</w:t>
            </w:r>
            <w:r>
              <w:rPr>
                <w:rFonts w:eastAsia="Times New Roman"/>
                <w:i/>
                <w:iCs/>
                <w:color w:val="000000"/>
                <w:sz w:val="18"/>
                <w:szCs w:val="18"/>
              </w:rPr>
              <w:t>e</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323092483"/>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75A8F">
            <w:pPr>
              <w:divId w:val="930506988"/>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primarily impacts four key areas, including</w:t>
            </w:r>
            <w:r>
              <w:rPr>
                <w:rFonts w:eastAsia="Times New Roman"/>
                <w:color w:val="000000"/>
                <w:sz w:val="18"/>
                <w:szCs w:val="18"/>
              </w:rPr>
              <w:t>:</w:t>
            </w:r>
          </w:p>
          <w:p w:rsidR="00000000" w:rsidRDefault="00775A8F">
            <w:pPr>
              <w:divId w:val="1353072914"/>
              <w:rPr>
                <w:rFonts w:eastAsia="Times New Roman"/>
              </w:rPr>
            </w:pPr>
          </w:p>
          <w:p w:rsidR="00000000" w:rsidRDefault="00775A8F">
            <w:pPr>
              <w:divId w:val="1501384882"/>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75A8F">
            <w:pPr>
              <w:divId w:val="1291477991"/>
              <w:rPr>
                <w:rFonts w:eastAsia="Times New Roman"/>
              </w:rPr>
            </w:pPr>
            <w:r>
              <w:rPr>
                <w:rFonts w:eastAsia="Times New Roman"/>
                <w:color w:val="000000"/>
                <w:sz w:val="18"/>
                <w:szCs w:val="18"/>
              </w:rPr>
              <w:t xml:space="preserve">In November 2019, </w:t>
            </w:r>
            <w:r>
              <w:rPr>
                <w:rFonts w:eastAsia="Times New Roman"/>
                <w:color w:val="000000"/>
                <w:sz w:val="18"/>
                <w:szCs w:val="18"/>
              </w:rPr>
              <w:t>ASU 2019-09 was issued which modified ASU 2018-12 to be effective for fiscal years, and interim periods within those fiscal years, beginning after December 15, 2021. Early adoption is permitted. On July 9, 2020, the FASB issued an exposure draft which prop</w:t>
            </w:r>
            <w:r>
              <w:rPr>
                <w:rFonts w:eastAsia="Times New Roman"/>
                <w:color w:val="000000"/>
                <w:sz w:val="18"/>
                <w:szCs w:val="18"/>
              </w:rPr>
              <w:t>osed a one-year deferral of the effective date of the amendments in ASU 2018-12 for all insurance entities. Early adoption would still be allowed</w:t>
            </w:r>
            <w:r>
              <w:rPr>
                <w:rFonts w:eastAsia="Times New Roman"/>
                <w:color w:val="000000"/>
                <w:sz w:val="18"/>
                <w:szCs w:val="18"/>
              </w:rPr>
              <w:t>.</w:t>
            </w:r>
          </w:p>
          <w:p w:rsidR="00000000" w:rsidRDefault="00775A8F">
            <w:pPr>
              <w:divId w:val="848564396"/>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75A8F">
            <w:pPr>
              <w:divId w:val="303236965"/>
              <w:rPr>
                <w:rFonts w:eastAsia="Times New Roman"/>
              </w:rPr>
            </w:pPr>
            <w:r>
              <w:rPr>
                <w:rFonts w:eastAsia="Times New Roman"/>
                <w:color w:val="000000"/>
                <w:sz w:val="18"/>
                <w:szCs w:val="18"/>
              </w:rPr>
              <w:t xml:space="preserve">The Company is currently evaluating the impact that adoption of this guidance will have on the Company’s </w:t>
            </w:r>
            <w:r>
              <w:rPr>
                <w:rFonts w:eastAsia="Times New Roman"/>
                <w:color w:val="000000"/>
                <w:sz w:val="18"/>
                <w:szCs w:val="18"/>
              </w:rPr>
              <w:t>consolidated financial statements, however the adoption of the ASU is expected to have a significant impact on the Company’s consolidated financial condition, results of operations, cash flows and required disclosures, as well as processes and controls</w:t>
            </w:r>
            <w:r>
              <w:rPr>
                <w:rFonts w:eastAsia="Times New Roman"/>
                <w:color w:val="000000"/>
                <w:sz w:val="18"/>
                <w:szCs w:val="18"/>
              </w:rPr>
              <w:t>.</w:t>
            </w:r>
          </w:p>
          <w:p w:rsidR="00000000" w:rsidRDefault="00775A8F">
            <w:pPr>
              <w:divId w:val="1207134706"/>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2309248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775A8F">
            <w:pPr>
              <w:divId w:val="203178724"/>
              <w:rPr>
                <w:rFonts w:eastAsia="Times New Roman"/>
              </w:rPr>
            </w:pPr>
            <w:r>
              <w:rPr>
                <w:rFonts w:eastAsia="Times New Roman"/>
                <w:color w:val="000000"/>
                <w:sz w:val="18"/>
                <w:szCs w:val="18"/>
              </w:rPr>
              <w:t>1. Measurement of the liability for future policy benefits for traditional and limited payment contracts. The ASU requires companies to review, and if necessary, update cash flow assumptions at least annually for non-participating traditional and limited-p</w:t>
            </w:r>
            <w:r>
              <w:rPr>
                <w:rFonts w:eastAsia="Times New Roman"/>
                <w:color w:val="000000"/>
                <w:sz w:val="18"/>
                <w:szCs w:val="18"/>
              </w:rPr>
              <w:t>ayment insurance contracts. Interest rates used to discount the liability will need to be updated quarterly using an upper medium grade (low credit risk) fixed-income instrument yield</w:t>
            </w:r>
            <w:r>
              <w:rPr>
                <w:rFonts w:eastAsia="Times New Roman"/>
                <w:color w:val="000000"/>
                <w:sz w:val="18"/>
                <w:szCs w:val="18"/>
              </w:rPr>
              <w:t>.</w:t>
            </w:r>
          </w:p>
          <w:p w:rsidR="00000000" w:rsidRDefault="00775A8F">
            <w:pPr>
              <w:divId w:val="996298431"/>
              <w:rPr>
                <w:rFonts w:eastAsia="Times New Roman"/>
              </w:rPr>
            </w:pPr>
            <w:r>
              <w:rPr>
                <w:rFonts w:eastAsia="Times New Roman"/>
                <w:color w:val="000000"/>
                <w:sz w:val="18"/>
                <w:szCs w:val="18"/>
              </w:rPr>
              <w:t>2. Measurement of market risk benefits (“MRBs”). MRBs, as defined under</w:t>
            </w:r>
            <w:r>
              <w:rPr>
                <w:rFonts w:eastAsia="Times New Roman"/>
                <w:color w:val="000000"/>
                <w:sz w:val="18"/>
                <w:szCs w:val="18"/>
              </w:rPr>
              <w:t xml:space="preserve"> the ASU, will encompass certain GMxB features associated with variable annuity products and other general account annuities with other than nominal market risk. The ASU requires MRBs to be measured at fair value with changes in value attributable to chang</w:t>
            </w:r>
            <w:r>
              <w:rPr>
                <w:rFonts w:eastAsia="Times New Roman"/>
                <w:color w:val="000000"/>
                <w:sz w:val="18"/>
                <w:szCs w:val="18"/>
              </w:rPr>
              <w:t>es in instrument-specific credit risk recognized in OCI</w:t>
            </w:r>
            <w:r>
              <w:rPr>
                <w:rFonts w:eastAsia="Times New Roman"/>
                <w:color w:val="000000"/>
                <w:sz w:val="18"/>
                <w:szCs w:val="18"/>
              </w:rPr>
              <w:t>.</w:t>
            </w:r>
          </w:p>
          <w:p w:rsidR="00000000" w:rsidRDefault="00775A8F">
            <w:pPr>
              <w:divId w:val="378363703"/>
              <w:rPr>
                <w:rFonts w:eastAsia="Times New Roman"/>
              </w:rPr>
            </w:pPr>
            <w:r>
              <w:rPr>
                <w:rFonts w:eastAsia="Times New Roman"/>
                <w:color w:val="000000"/>
                <w:sz w:val="18"/>
                <w:szCs w:val="18"/>
              </w:rPr>
              <w:t>3. Amortization of deferred acquisition costs. The ASU simplifies the amortization of deferred acquisition costs and other balances amortized in proportion to premiums, gross profits, or gross margin</w:t>
            </w:r>
            <w:r>
              <w:rPr>
                <w:rFonts w:eastAsia="Times New Roman"/>
                <w:color w:val="000000"/>
                <w:sz w:val="18"/>
                <w:szCs w:val="18"/>
              </w:rPr>
              <w:t>s, requiring such balances to be amortized on a constant level basis over the expected term of the contracts. Deferred costs will be required to be written off for unexpected contract terminations but will not be subject to impairment testing</w:t>
            </w:r>
            <w:r>
              <w:rPr>
                <w:rFonts w:eastAsia="Times New Roman"/>
                <w:color w:val="000000"/>
                <w:sz w:val="18"/>
                <w:szCs w:val="18"/>
              </w:rPr>
              <w:t>.</w:t>
            </w:r>
          </w:p>
          <w:p w:rsidR="00000000" w:rsidRDefault="00775A8F">
            <w:pPr>
              <w:divId w:val="1797017738"/>
              <w:rPr>
                <w:rFonts w:eastAsia="Times New Roman"/>
              </w:rPr>
            </w:pPr>
            <w:r>
              <w:rPr>
                <w:rFonts w:eastAsia="Times New Roman"/>
                <w:color w:val="000000"/>
                <w:sz w:val="18"/>
                <w:szCs w:val="18"/>
              </w:rPr>
              <w:t xml:space="preserve">4. Expanded </w:t>
            </w:r>
            <w:r>
              <w:rPr>
                <w:rFonts w:eastAsia="Times New Roman"/>
                <w:color w:val="000000"/>
                <w:sz w:val="18"/>
                <w:szCs w:val="18"/>
              </w:rPr>
              <w:t xml:space="preserve">footnote disclosures. The ASU requires additional disclosures including disaggregated roll-forwards of beginning to ending balances of the liability for future policy benefits, policyholder account balances, MRBs, separate account liabilities and deferred </w:t>
            </w:r>
            <w:r>
              <w:rPr>
                <w:rFonts w:eastAsia="Times New Roman"/>
                <w:color w:val="000000"/>
                <w:sz w:val="18"/>
                <w:szCs w:val="18"/>
              </w:rPr>
              <w:t>acquisition costs. Companies will also be required to disclose information about significant inputs, judgements, assumptions and methods used in measurement</w:t>
            </w:r>
            <w:r>
              <w:rPr>
                <w:rFonts w:eastAsia="Times New Roman"/>
                <w:color w:val="000000"/>
                <w:sz w:val="18"/>
                <w:szCs w:val="18"/>
              </w:rPr>
              <w:t>.</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775A8F">
            <w:pPr>
              <w:divId w:val="1503935925"/>
              <w:rPr>
                <w:rFonts w:eastAsia="Times New Roman"/>
              </w:rPr>
            </w:pPr>
            <w:r>
              <w:rPr>
                <w:rFonts w:eastAsia="Times New Roman"/>
                <w:color w:val="000000"/>
                <w:sz w:val="18"/>
                <w:szCs w:val="18"/>
              </w:rPr>
              <w:t>For the liability for future policyholder benefits for traditional and limited payment contracts</w:t>
            </w:r>
            <w:r>
              <w:rPr>
                <w:rFonts w:eastAsia="Times New Roman"/>
                <w:color w:val="000000"/>
                <w:sz w:val="18"/>
                <w:szCs w:val="18"/>
              </w:rPr>
              <w:t>, companies can elect one of two adoption methods. Companies can either elect a modified retrospective transition method applied to contracts in force as of the beginning of the earliest period presented on the basis of their existing carrying amounts, adj</w:t>
            </w:r>
            <w:r>
              <w:rPr>
                <w:rFonts w:eastAsia="Times New Roman"/>
                <w:color w:val="000000"/>
                <w:sz w:val="18"/>
                <w:szCs w:val="18"/>
              </w:rPr>
              <w:t>usted for the removal of any related amounts in Accumulated other comprehensive income (“AOCI”) or a full retrospective transition method using actual historical experience information as of contract inception. The same adoption method must be used for def</w:t>
            </w:r>
            <w:r>
              <w:rPr>
                <w:rFonts w:eastAsia="Times New Roman"/>
                <w:color w:val="000000"/>
                <w:sz w:val="18"/>
                <w:szCs w:val="18"/>
              </w:rPr>
              <w:t>erred policy acquisition costs</w:t>
            </w:r>
            <w:r>
              <w:rPr>
                <w:rFonts w:eastAsia="Times New Roman"/>
                <w:color w:val="000000"/>
                <w:sz w:val="18"/>
                <w:szCs w:val="18"/>
              </w:rPr>
              <w:t>.</w:t>
            </w:r>
          </w:p>
          <w:p w:rsidR="00000000" w:rsidRDefault="00775A8F">
            <w:pPr>
              <w:divId w:val="1712027364"/>
              <w:rPr>
                <w:rFonts w:eastAsia="Times New Roman"/>
              </w:rPr>
            </w:pPr>
            <w:r>
              <w:rPr>
                <w:rFonts w:eastAsia="Times New Roman"/>
                <w:color w:val="000000"/>
                <w:sz w:val="18"/>
                <w:szCs w:val="18"/>
              </w:rPr>
              <w:t>For MRBs, the ASU should be applied retrospectively as of the beginning of the earliest period presented</w:t>
            </w:r>
            <w:r>
              <w:rPr>
                <w:rFonts w:eastAsia="Times New Roman"/>
                <w:color w:val="000000"/>
                <w:sz w:val="18"/>
                <w:szCs w:val="18"/>
              </w:rPr>
              <w:t>.</w:t>
            </w:r>
          </w:p>
          <w:p w:rsidR="00000000" w:rsidRDefault="00775A8F">
            <w:pPr>
              <w:divId w:val="971905759"/>
              <w:rPr>
                <w:rFonts w:eastAsia="Times New Roman"/>
              </w:rPr>
            </w:pPr>
            <w:r>
              <w:rPr>
                <w:rFonts w:eastAsia="Times New Roman"/>
                <w:color w:val="000000"/>
                <w:sz w:val="18"/>
                <w:szCs w:val="18"/>
              </w:rPr>
              <w:t>For deferred policy acquisition costs, companies can elect one of two adoption methods. Companies can either elect a m</w:t>
            </w:r>
            <w:r>
              <w:rPr>
                <w:rFonts w:eastAsia="Times New Roman"/>
                <w:color w:val="000000"/>
                <w:sz w:val="18"/>
                <w:szCs w:val="18"/>
              </w:rPr>
              <w:t>odified retrospective transition method applied to contracts in force as of the beginning of the earliest period presented on the basis of their existing carrying amounts, adjusted for the removal of any related amounts in AOCI or a full retrospective tran</w:t>
            </w:r>
            <w:r>
              <w:rPr>
                <w:rFonts w:eastAsia="Times New Roman"/>
                <w:color w:val="000000"/>
                <w:sz w:val="18"/>
                <w:szCs w:val="18"/>
              </w:rPr>
              <w:t>sition method using actual historical experience information as of contract inception. The same adoption method must be used for the liability for future policyholder benefits for traditional and limited payment contracts</w:t>
            </w:r>
            <w:r>
              <w:rPr>
                <w:rFonts w:eastAsia="Times New Roman"/>
                <w:color w:val="000000"/>
                <w:sz w:val="18"/>
                <w:szCs w:val="18"/>
              </w:rPr>
              <w:t>.</w:t>
            </w:r>
          </w:p>
          <w:p w:rsidR="00000000" w:rsidRDefault="00775A8F">
            <w:pPr>
              <w:divId w:val="1636987352"/>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15" w:type="dxa"/>
              <w:left w:w="20" w:type="dxa"/>
              <w:bottom w:w="15" w:type="dxa"/>
              <w:right w:w="20" w:type="dxa"/>
            </w:tcMar>
            <w:vAlign w:val="bottom"/>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2042969902"/>
        <w:rPr>
          <w:rFonts w:eastAsia="Times New Roman"/>
        </w:rPr>
      </w:pPr>
      <w:r>
        <w:rPr>
          <w:rFonts w:eastAsia="Times New Roman"/>
          <w:color w:val="000000"/>
          <w:sz w:val="20"/>
          <w:szCs w:val="20"/>
        </w:rPr>
        <w:t>1</w:t>
      </w:r>
      <w:r>
        <w:rPr>
          <w:rFonts w:eastAsia="Times New Roman"/>
          <w:color w:val="000000"/>
          <w:sz w:val="20"/>
          <w:szCs w:val="20"/>
        </w:rPr>
        <w:t>2</w:t>
      </w:r>
    </w:p>
    <w:p w:rsidR="00000000" w:rsidRDefault="00775A8F">
      <w:pPr>
        <w:rPr>
          <w:rFonts w:eastAsia="Times New Roman"/>
        </w:rPr>
      </w:pPr>
      <w:r>
        <w:rPr>
          <w:rFonts w:eastAsia="Times New Roman"/>
        </w:rPr>
        <w:pict>
          <v:rect id="_x0000_i1038" style="width:0;height:1.5pt" o:hralign="center" o:hrstd="t" o:hr="t" fillcolor="#a0a0a0" stroked="f"/>
        </w:pict>
      </w:r>
    </w:p>
    <w:p w:rsidR="00000000" w:rsidRDefault="00775A8F">
      <w:pPr>
        <w:jc w:val="center"/>
        <w:divId w:val="340010143"/>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340010143"/>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9" w:type="pct"/>
        <w:tblCellMar>
          <w:top w:w="15" w:type="dxa"/>
          <w:left w:w="15" w:type="dxa"/>
          <w:bottom w:w="15" w:type="dxa"/>
          <w:right w:w="15" w:type="dxa"/>
        </w:tblCellMar>
        <w:tblLook w:val="04A0" w:firstRow="1" w:lastRow="0" w:firstColumn="1" w:lastColumn="0" w:noHBand="0" w:noVBand="1"/>
      </w:tblPr>
      <w:tblGrid>
        <w:gridCol w:w="75"/>
        <w:gridCol w:w="2351"/>
        <w:gridCol w:w="75"/>
        <w:gridCol w:w="75"/>
        <w:gridCol w:w="2351"/>
        <w:gridCol w:w="76"/>
        <w:gridCol w:w="76"/>
        <w:gridCol w:w="2352"/>
        <w:gridCol w:w="76"/>
        <w:gridCol w:w="36"/>
        <w:gridCol w:w="36"/>
        <w:gridCol w:w="36"/>
        <w:gridCol w:w="36"/>
        <w:gridCol w:w="36"/>
        <w:gridCol w:w="36"/>
      </w:tblGrid>
      <w:tr w:rsidR="00000000">
        <w:trPr>
          <w:gridAfter w:val="6"/>
          <w:divId w:val="1781678997"/>
        </w:trPr>
        <w:tc>
          <w:tcPr>
            <w:tcW w:w="50" w:type="pct"/>
            <w:vAlign w:val="center"/>
            <w:hideMark/>
          </w:tcPr>
          <w:p w:rsidR="00000000" w:rsidRDefault="00775A8F">
            <w:pPr>
              <w:jc w:val="center"/>
              <w:rPr>
                <w:rFonts w:eastAsia="Times New Roman"/>
              </w:rPr>
            </w:pPr>
          </w:p>
        </w:tc>
        <w:tc>
          <w:tcPr>
            <w:tcW w:w="156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56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56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78167899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Descriptio</w:t>
            </w:r>
            <w:r>
              <w:rPr>
                <w:rFonts w:eastAsia="Times New Roman"/>
                <w:b/>
                <w:bCs/>
                <w:color w:val="000000"/>
                <w:sz w:val="16"/>
                <w:szCs w:val="16"/>
              </w:rPr>
              <w:t>n</w:t>
            </w:r>
          </w:p>
          <w:p w:rsidR="00000000" w:rsidRDefault="00775A8F">
            <w:pPr>
              <w:jc w:val="center"/>
              <w:rPr>
                <w:rFonts w:eastAsia="Times New Roman"/>
              </w:rPr>
            </w:pP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Effective Date and Method of Adoptio</w:t>
            </w:r>
            <w:r>
              <w:rPr>
                <w:rFonts w:eastAsia="Times New Roman"/>
                <w:b/>
                <w:bCs/>
                <w:color w:val="000000"/>
                <w:sz w:val="16"/>
                <w:szCs w:val="16"/>
              </w:rPr>
              <w:t>n</w:t>
            </w:r>
          </w:p>
          <w:p w:rsidR="00000000" w:rsidRDefault="00775A8F">
            <w:pPr>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Effect on the Financial Statement or Other Significant Matter</w:t>
            </w:r>
            <w:r>
              <w:rPr>
                <w:rFonts w:eastAsia="Times New Roman"/>
                <w:b/>
                <w:bCs/>
                <w:color w:val="000000"/>
                <w:sz w:val="16"/>
                <w:szCs w:val="16"/>
              </w:rPr>
              <w:t>s</w:t>
            </w:r>
          </w:p>
          <w:p w:rsidR="00000000" w:rsidRDefault="00775A8F">
            <w:pPr>
              <w:jc w:val="center"/>
              <w:rPr>
                <w:rFonts w:eastAsia="Times New Roman"/>
              </w:rPr>
            </w:pPr>
          </w:p>
        </w:tc>
      </w:tr>
      <w:tr w:rsidR="00000000">
        <w:trPr>
          <w:divId w:val="1781678997"/>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75A8F">
            <w:pPr>
              <w:divId w:val="1972401679"/>
              <w:rPr>
                <w:rFonts w:eastAsia="Times New Roman"/>
              </w:rPr>
            </w:pPr>
            <w:r>
              <w:rPr>
                <w:rFonts w:eastAsia="Times New Roman"/>
                <w:b/>
                <w:bCs/>
                <w:color w:val="000000"/>
                <w:sz w:val="18"/>
                <w:szCs w:val="18"/>
              </w:rPr>
              <w:t>ASU 2019-12:</w:t>
            </w:r>
            <w:r>
              <w:rPr>
                <w:rFonts w:eastAsia="Times New Roman"/>
                <w:b/>
                <w:bCs/>
                <w:color w:val="000000"/>
                <w:sz w:val="18"/>
                <w:szCs w:val="18"/>
              </w:rPr>
              <w:t xml:space="preserve"> </w:t>
            </w:r>
            <w:r>
              <w:rPr>
                <w:rFonts w:eastAsia="Times New Roman"/>
                <w:i/>
                <w:iCs/>
                <w:color w:val="000000"/>
                <w:sz w:val="18"/>
                <w:szCs w:val="18"/>
              </w:rPr>
              <w:t>Income Taxes (Topic 740): Simplifying the Accounting for Income Taxe</w:t>
            </w:r>
            <w:r>
              <w:rPr>
                <w:rFonts w:eastAsia="Times New Roman"/>
                <w:i/>
                <w:iCs/>
                <w:color w:val="000000"/>
                <w:sz w:val="18"/>
                <w:szCs w:val="18"/>
              </w:rPr>
              <w:t>s</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781678997"/>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775A8F">
            <w:pPr>
              <w:divId w:val="982197640"/>
              <w:rPr>
                <w:rFonts w:eastAsia="Times New Roman"/>
              </w:rPr>
            </w:pPr>
            <w:r>
              <w:rPr>
                <w:rFonts w:eastAsia="Times New Roman"/>
                <w:color w:val="000000"/>
                <w:sz w:val="18"/>
                <w:szCs w:val="18"/>
              </w:rPr>
              <w:t>This ASU simplifies the accounting for income taxes by removing certain exceptions to the general principles in Topic 740, as well as clarifying and amending existing guidance</w:t>
            </w:r>
            <w:r>
              <w:rPr>
                <w:rFonts w:eastAsia="Times New Roman"/>
                <w:color w:val="000000"/>
                <w:sz w:val="18"/>
                <w:szCs w:val="18"/>
              </w:rPr>
              <w:t>.</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775A8F">
            <w:pPr>
              <w:divId w:val="1706785755"/>
              <w:rPr>
                <w:rFonts w:eastAsia="Times New Roman"/>
              </w:rPr>
            </w:pPr>
            <w:r>
              <w:rPr>
                <w:rFonts w:eastAsia="Times New Roman"/>
                <w:color w:val="000000"/>
                <w:sz w:val="18"/>
                <w:szCs w:val="18"/>
              </w:rPr>
              <w:t>Effective for fiscal years, and interim periods within those fiscal years, be</w:t>
            </w:r>
            <w:r>
              <w:rPr>
                <w:rFonts w:eastAsia="Times New Roman"/>
                <w:color w:val="000000"/>
                <w:sz w:val="18"/>
                <w:szCs w:val="18"/>
              </w:rPr>
              <w:t>ginning after December 15, 2020. Early adoption is permitted</w:t>
            </w:r>
            <w:r>
              <w:rPr>
                <w:rFonts w:eastAsia="Times New Roman"/>
                <w:color w:val="000000"/>
                <w:sz w:val="18"/>
                <w:szCs w:val="18"/>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775A8F">
            <w:pPr>
              <w:divId w:val="703095319"/>
              <w:rPr>
                <w:rFonts w:eastAsia="Times New Roman"/>
              </w:rPr>
            </w:pPr>
            <w:r>
              <w:rPr>
                <w:rFonts w:eastAsia="Times New Roman"/>
                <w:color w:val="000000"/>
                <w:sz w:val="18"/>
                <w:szCs w:val="18"/>
              </w:rPr>
              <w:t>The Company is currently evaluating the impact adopting the guidance will have on the Company’s consolidated financial statements, however the adoption is not expected to materially impact the</w:t>
            </w:r>
            <w:r>
              <w:rPr>
                <w:rFonts w:eastAsia="Times New Roman"/>
                <w:color w:val="000000"/>
                <w:sz w:val="18"/>
                <w:szCs w:val="18"/>
              </w:rPr>
              <w:t xml:space="preserve"> Company’s financial position, results of operation, or cash flows</w:t>
            </w:r>
            <w:r>
              <w:rPr>
                <w:rFonts w:eastAsia="Times New Roman"/>
                <w:color w:val="000000"/>
                <w:sz w:val="18"/>
                <w:szCs w:val="18"/>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81678997"/>
        </w:trPr>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775A8F">
            <w:pPr>
              <w:divId w:val="986856609"/>
              <w:rPr>
                <w:rFonts w:eastAsia="Times New Roman"/>
              </w:rPr>
            </w:pPr>
            <w:r>
              <w:rPr>
                <w:rFonts w:eastAsia="Times New Roman"/>
                <w:b/>
                <w:bCs/>
                <w:color w:val="000000"/>
                <w:sz w:val="18"/>
                <w:szCs w:val="18"/>
              </w:rPr>
              <w:t>ASU2020-0</w:t>
            </w:r>
            <w:r>
              <w:rPr>
                <w:rFonts w:eastAsia="Times New Roman"/>
                <w:b/>
                <w:bCs/>
                <w:color w:val="000000"/>
                <w:sz w:val="18"/>
                <w:szCs w:val="18"/>
              </w:rPr>
              <w:t>4</w:t>
            </w:r>
            <w:r>
              <w:rPr>
                <w:rFonts w:eastAsia="Times New Roman"/>
                <w:i/>
                <w:iCs/>
                <w:color w:val="000000"/>
                <w:sz w:val="18"/>
                <w:szCs w:val="18"/>
              </w:rPr>
              <w:t>: Reference Rate Reform (Topic 848): Facilitation of the Effects of Reference Rate Reform on Financial Reportin</w:t>
            </w:r>
            <w:r>
              <w:rPr>
                <w:rFonts w:eastAsia="Times New Roman"/>
                <w:i/>
                <w:iCs/>
                <w:color w:val="000000"/>
                <w:sz w:val="18"/>
                <w:szCs w:val="18"/>
              </w:rPr>
              <w:t>g</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78167899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775A8F">
            <w:pPr>
              <w:divId w:val="1947883624"/>
              <w:rPr>
                <w:rFonts w:eastAsia="Times New Roman"/>
              </w:rPr>
            </w:pPr>
            <w:r>
              <w:rPr>
                <w:rFonts w:eastAsia="Times New Roman"/>
                <w:color w:val="000000"/>
                <w:sz w:val="18"/>
                <w:szCs w:val="18"/>
              </w:rPr>
              <w:t>The amendments in this ASU provide optional expedients and exceptions to contracts, hedging relationships, and other transactions affected by reference rate reform if certain criteria are met.  The amendments in this ASU apply only to contracts, hedging re</w:t>
            </w:r>
            <w:r>
              <w:rPr>
                <w:rFonts w:eastAsia="Times New Roman"/>
                <w:color w:val="000000"/>
                <w:sz w:val="18"/>
                <w:szCs w:val="18"/>
              </w:rPr>
              <w:t>lationships, and other transactions that reference LIBOR or another reference rate expected to be discontinued because of reference rate reform</w:t>
            </w:r>
            <w:r>
              <w:rPr>
                <w:rFonts w:eastAsia="Times New Roman"/>
                <w:color w:val="000000"/>
                <w:sz w:val="18"/>
                <w:szCs w:val="18"/>
              </w:rPr>
              <w:t>.</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rsidR="00000000" w:rsidRDefault="00775A8F">
            <w:pPr>
              <w:divId w:val="495263891"/>
              <w:rPr>
                <w:rFonts w:eastAsia="Times New Roman"/>
              </w:rPr>
            </w:pPr>
            <w:r>
              <w:rPr>
                <w:rFonts w:eastAsia="Times New Roman"/>
                <w:color w:val="000000"/>
                <w:sz w:val="18"/>
                <w:szCs w:val="18"/>
              </w:rPr>
              <w:t>This ASU is effective as of March 12, 2020 through December 31, 2022</w:t>
            </w:r>
            <w:r>
              <w:rPr>
                <w:rFonts w:eastAsia="Times New Roman"/>
                <w:color w:val="000000"/>
                <w:sz w:val="18"/>
                <w:szCs w:val="18"/>
              </w:rPr>
              <w:t>.</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rsidR="00000000" w:rsidRDefault="00775A8F">
            <w:pPr>
              <w:divId w:val="1086615234"/>
              <w:rPr>
                <w:rFonts w:eastAsia="Times New Roman"/>
              </w:rPr>
            </w:pPr>
            <w:r>
              <w:rPr>
                <w:rFonts w:eastAsia="Times New Roman"/>
                <w:color w:val="000000"/>
                <w:sz w:val="18"/>
                <w:szCs w:val="18"/>
              </w:rPr>
              <w:t>The Company will determine the applic</w:t>
            </w:r>
            <w:r>
              <w:rPr>
                <w:rFonts w:eastAsia="Times New Roman"/>
                <w:color w:val="000000"/>
                <w:sz w:val="18"/>
                <w:szCs w:val="18"/>
              </w:rPr>
              <w:t>ability of the optional expedients and exceptions provided under the ASU as reference rate reform continues to develop.</w:t>
            </w:r>
            <w:r>
              <w:rPr>
                <w:rFonts w:eastAsia="Times New Roman"/>
                <w:color w:val="000000"/>
                <w:sz w:val="18"/>
                <w:szCs w:val="18"/>
              </w:rPr>
              <w:t xml:space="preserve">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321807457"/>
        <w:rPr>
          <w:rFonts w:eastAsia="Times New Roman"/>
        </w:rPr>
      </w:pPr>
    </w:p>
    <w:p w:rsidR="00000000" w:rsidRDefault="00775A8F">
      <w:pPr>
        <w:divId w:val="1197235750"/>
        <w:rPr>
          <w:rFonts w:eastAsia="Times New Roman"/>
        </w:rPr>
      </w:pPr>
      <w:r>
        <w:rPr>
          <w:rFonts w:eastAsia="Times New Roman"/>
          <w:color w:val="000000"/>
          <w:sz w:val="20"/>
          <w:szCs w:val="20"/>
          <w:u w:val="single"/>
        </w:rPr>
        <w:t>Goodwil</w:t>
      </w:r>
      <w:r>
        <w:rPr>
          <w:rFonts w:eastAsia="Times New Roman"/>
          <w:color w:val="000000"/>
          <w:sz w:val="20"/>
          <w:szCs w:val="20"/>
          <w:u w:val="single"/>
        </w:rPr>
        <w:t>l</w:t>
      </w:r>
    </w:p>
    <w:p w:rsidR="00000000" w:rsidRDefault="00775A8F">
      <w:pPr>
        <w:divId w:val="1966303837"/>
        <w:rPr>
          <w:rFonts w:eastAsia="Times New Roman"/>
        </w:rPr>
      </w:pPr>
      <w:r>
        <w:rPr>
          <w:rFonts w:eastAsia="Times New Roman"/>
          <w:color w:val="000000"/>
          <w:sz w:val="20"/>
          <w:szCs w:val="20"/>
        </w:rPr>
        <w:t>Starting as of June 30, 2020, the Company changed its measurement of the fair value of the Company’s Investment Management and Research reporting unit from a discounted cash flow valuation technique to a market valuation approach. Under the market valuatio</w:t>
      </w:r>
      <w:r>
        <w:rPr>
          <w:rFonts w:eastAsia="Times New Roman"/>
          <w:color w:val="000000"/>
          <w:sz w:val="20"/>
          <w:szCs w:val="20"/>
        </w:rPr>
        <w:t>n approach, the fair value of the reporting unit is based on its adjusted market valuation assuming a control premium. The Company has determined that this valuation technique provides a more exact determination of fair value for the reporting unit. This a</w:t>
      </w:r>
      <w:r>
        <w:rPr>
          <w:rFonts w:eastAsia="Times New Roman"/>
          <w:color w:val="000000"/>
          <w:sz w:val="20"/>
          <w:szCs w:val="20"/>
        </w:rPr>
        <w:t>pproach will be applied when the Company performs its annual testing for goodwill recoverability at December 31. The Company also determined that if the market valuation approach had been applied in first quarter 2020 it would not have resulted in an impai</w:t>
      </w:r>
      <w:r>
        <w:rPr>
          <w:rFonts w:eastAsia="Times New Roman"/>
          <w:color w:val="000000"/>
          <w:sz w:val="20"/>
          <w:szCs w:val="20"/>
        </w:rPr>
        <w:t>rment of the reporting unit</w:t>
      </w:r>
      <w:r>
        <w:rPr>
          <w:rFonts w:eastAsia="Times New Roman"/>
          <w:color w:val="000000"/>
          <w:sz w:val="20"/>
          <w:szCs w:val="20"/>
        </w:rPr>
        <w:t>.</w:t>
      </w:r>
    </w:p>
    <w:p w:rsidR="00000000" w:rsidRDefault="00775A8F">
      <w:pPr>
        <w:divId w:val="383138745"/>
        <w:rPr>
          <w:rFonts w:eastAsia="Times New Roman"/>
        </w:rPr>
      </w:pPr>
      <w:r>
        <w:rPr>
          <w:rFonts w:eastAsia="Times New Roman"/>
          <w:color w:val="000000"/>
          <w:sz w:val="20"/>
          <w:szCs w:val="20"/>
          <w:u w:val="single"/>
        </w:rPr>
        <w:t>Investment</w:t>
      </w:r>
      <w:r>
        <w:rPr>
          <w:rFonts w:eastAsia="Times New Roman"/>
          <w:color w:val="000000"/>
          <w:sz w:val="20"/>
          <w:szCs w:val="20"/>
          <w:u w:val="single"/>
        </w:rPr>
        <w:t>s</w:t>
      </w:r>
    </w:p>
    <w:p w:rsidR="00000000" w:rsidRDefault="00775A8F">
      <w:pPr>
        <w:divId w:val="1162551360"/>
        <w:rPr>
          <w:rFonts w:eastAsia="Times New Roman"/>
        </w:rPr>
      </w:pPr>
      <w:r>
        <w:rPr>
          <w:rFonts w:eastAsia="Times New Roman"/>
          <w:color w:val="000000"/>
          <w:sz w:val="20"/>
          <w:szCs w:val="20"/>
        </w:rPr>
        <w:t xml:space="preserve">The carrying values of fixed maturities classified as available-for-sale (“AFS”) are reported at fair value. Changes in fair value are reported in OCI, net of allowance for credit losses, policy related amounts and </w:t>
      </w:r>
      <w:r>
        <w:rPr>
          <w:rFonts w:eastAsia="Times New Roman"/>
          <w:color w:val="000000"/>
          <w:sz w:val="20"/>
          <w:szCs w:val="20"/>
        </w:rPr>
        <w:t>deferred income taxes. With the adoption of the new Financial Instruments-Credit Losses standard, changes in credit losses are recognized in Investment gains (losses), net. The redeemable preferred stock investments that are reported in fixed maturities in</w:t>
      </w:r>
      <w:r>
        <w:rPr>
          <w:rFonts w:eastAsia="Times New Roman"/>
          <w:color w:val="000000"/>
          <w:sz w:val="20"/>
          <w:szCs w:val="20"/>
        </w:rPr>
        <w:t>clude real estate investment trusts (“REIT”), perpetual preferred stock and redeemable preferred stock. These securities may not have a stated maturity, may not be cumulative and do not provide for mandatory redemption by the issuer</w:t>
      </w:r>
      <w:r>
        <w:rPr>
          <w:rFonts w:eastAsia="Times New Roman"/>
          <w:color w:val="000000"/>
          <w:sz w:val="20"/>
          <w:szCs w:val="20"/>
        </w:rPr>
        <w:t>.</w:t>
      </w:r>
    </w:p>
    <w:p w:rsidR="00000000" w:rsidRDefault="00775A8F">
      <w:pPr>
        <w:divId w:val="992677364"/>
        <w:rPr>
          <w:rFonts w:eastAsia="Times New Roman"/>
        </w:rPr>
      </w:pPr>
      <w:r>
        <w:rPr>
          <w:rFonts w:eastAsia="Times New Roman"/>
          <w:color w:val="000000"/>
          <w:sz w:val="20"/>
          <w:szCs w:val="20"/>
        </w:rPr>
        <w:t>The Company determines</w:t>
      </w:r>
      <w:r>
        <w:rPr>
          <w:rFonts w:eastAsia="Times New Roman"/>
          <w:color w:val="000000"/>
          <w:sz w:val="20"/>
          <w:szCs w:val="20"/>
        </w:rPr>
        <w:t xml:space="preserve"> the fair values of fixed maturities and equity securities based upon quoted prices in active markets, when available, or through the use of alternative approaches when market quotes are not readily accessible or available. These alternative approaches inc</w:t>
      </w:r>
      <w:r>
        <w:rPr>
          <w:rFonts w:eastAsia="Times New Roman"/>
          <w:color w:val="000000"/>
          <w:sz w:val="20"/>
          <w:szCs w:val="20"/>
        </w:rPr>
        <w:t>lude matrix or model pricing and use of independent pricing services, each supported by reference to principal market trades or other observable market assumptions for similar securities. More specifically, the matrix pricing approach to fair value is a di</w:t>
      </w:r>
      <w:r>
        <w:rPr>
          <w:rFonts w:eastAsia="Times New Roman"/>
          <w:color w:val="000000"/>
          <w:sz w:val="20"/>
          <w:szCs w:val="20"/>
        </w:rPr>
        <w:t>scounted cash flow methodology that incorporates market interest rates commensurate with the credit quality and duration of the investment. The Company’s management, with the assistance of its investment advisors, evaluates AFS debt securities that experie</w:t>
      </w:r>
      <w:r>
        <w:rPr>
          <w:rFonts w:eastAsia="Times New Roman"/>
          <w:color w:val="000000"/>
          <w:sz w:val="20"/>
          <w:szCs w:val="20"/>
        </w:rPr>
        <w:t>nced a decline in fair value below amortized cost for credit losses which are evaluated in accordance with the new financial instruments credit losses guidance effective January 1, 2020. Integral to this review is an assessment made each quarter, on a secu</w:t>
      </w:r>
      <w:r>
        <w:rPr>
          <w:rFonts w:eastAsia="Times New Roman"/>
          <w:color w:val="000000"/>
          <w:sz w:val="20"/>
          <w:szCs w:val="20"/>
        </w:rPr>
        <w:t>rity-by-security basis, by the Company’s Investments Under Surveillance (“IUS”) Committee, of various indicators of credit deterioration to determine whether the investment security has experienced a credit loss. This assessment includes, but is not limite</w:t>
      </w:r>
      <w:r>
        <w:rPr>
          <w:rFonts w:eastAsia="Times New Roman"/>
          <w:color w:val="000000"/>
          <w:sz w:val="20"/>
          <w:szCs w:val="20"/>
        </w:rPr>
        <w:t>d to, consideration of the severity of the unrealized loss, failure, if any, of the issuer of the security to make scheduled payments, actions taken by rating agencies, adverse conditions specifically related to the security or sector, the financial streng</w:t>
      </w:r>
      <w:r>
        <w:rPr>
          <w:rFonts w:eastAsia="Times New Roman"/>
          <w:color w:val="000000"/>
          <w:sz w:val="20"/>
          <w:szCs w:val="20"/>
        </w:rPr>
        <w:t>th, liquidity and continued viability of the issuer</w:t>
      </w:r>
      <w:r>
        <w:rPr>
          <w:rFonts w:eastAsia="Times New Roman"/>
          <w:color w:val="000000"/>
          <w:sz w:val="20"/>
          <w:szCs w:val="20"/>
        </w:rPr>
        <w:t>.</w:t>
      </w:r>
    </w:p>
    <w:p w:rsidR="00000000" w:rsidRDefault="00775A8F">
      <w:pPr>
        <w:divId w:val="1293288001"/>
        <w:rPr>
          <w:rFonts w:eastAsia="Times New Roman"/>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 investment, and</w:t>
      </w:r>
      <w:r>
        <w:rPr>
          <w:rFonts w:eastAsia="Times New Roman"/>
          <w:color w:val="000000"/>
          <w:sz w:val="20"/>
          <w:szCs w:val="20"/>
        </w:rPr>
        <w:t xml:space="preserve"> credit losses are limited to the amount by which the security’s amortized cost basis exceeds its fair value. Any improvements in estimated credit losses on AFS debt securities are recognized immediately in earnings. Management does not use the length of t</w:t>
      </w:r>
      <w:r>
        <w:rPr>
          <w:rFonts w:eastAsia="Times New Roman"/>
          <w:color w:val="000000"/>
          <w:sz w:val="20"/>
          <w:szCs w:val="20"/>
        </w:rPr>
        <w:t>ime a</w:t>
      </w:r>
      <w:r>
        <w:rPr>
          <w:rFonts w:eastAsia="Times New Roman"/>
          <w:color w:val="000000"/>
          <w:sz w:val="20"/>
          <w:szCs w:val="20"/>
        </w:rPr>
        <w:t xml:space="preserve"> </w:t>
      </w:r>
    </w:p>
    <w:p w:rsidR="00000000" w:rsidRDefault="00775A8F">
      <w:pPr>
        <w:jc w:val="center"/>
        <w:divId w:val="1986543227"/>
        <w:rPr>
          <w:rFonts w:eastAsia="Times New Roman"/>
        </w:rPr>
      </w:pPr>
      <w:r>
        <w:rPr>
          <w:rFonts w:eastAsia="Times New Roman"/>
          <w:color w:val="000000"/>
          <w:sz w:val="20"/>
          <w:szCs w:val="20"/>
        </w:rPr>
        <w:t>1</w:t>
      </w:r>
      <w:r>
        <w:rPr>
          <w:rFonts w:eastAsia="Times New Roman"/>
          <w:color w:val="000000"/>
          <w:sz w:val="20"/>
          <w:szCs w:val="20"/>
        </w:rPr>
        <w:t>3</w:t>
      </w:r>
    </w:p>
    <w:p w:rsidR="00000000" w:rsidRDefault="00775A8F">
      <w:pPr>
        <w:rPr>
          <w:rFonts w:eastAsia="Times New Roman"/>
        </w:rPr>
      </w:pPr>
      <w:r>
        <w:rPr>
          <w:rFonts w:eastAsia="Times New Roman"/>
        </w:rPr>
        <w:pict>
          <v:rect id="_x0000_i1039" style="width:0;height:1.5pt" o:hralign="center" o:hrstd="t" o:hr="t" fillcolor="#a0a0a0" stroked="f"/>
        </w:pict>
      </w:r>
    </w:p>
    <w:p w:rsidR="00000000" w:rsidRDefault="00775A8F">
      <w:pPr>
        <w:jc w:val="center"/>
        <w:divId w:val="103694615"/>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03694615"/>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878132004"/>
        <w:rPr>
          <w:rFonts w:eastAsia="Times New Roman"/>
        </w:rPr>
      </w:pPr>
      <w:r>
        <w:rPr>
          <w:rFonts w:eastAsia="Times New Roman"/>
          <w:color w:val="000000"/>
          <w:sz w:val="20"/>
          <w:szCs w:val="20"/>
        </w:rPr>
        <w:t>security has been in an unrealized loss position as a factor, either by itself or in combination with other factors, to conclude that a credit loss does not exist, as they were permitted to do prior to January 1, 2020.</w:t>
      </w:r>
      <w:r>
        <w:rPr>
          <w:rFonts w:eastAsia="Times New Roman"/>
          <w:color w:val="000000"/>
          <w:sz w:val="20"/>
          <w:szCs w:val="20"/>
        </w:rPr>
        <w:t xml:space="preserve"> </w:t>
      </w:r>
    </w:p>
    <w:p w:rsidR="00000000" w:rsidRDefault="00775A8F">
      <w:pPr>
        <w:divId w:val="1629780644"/>
        <w:rPr>
          <w:rFonts w:eastAsia="Times New Roman"/>
        </w:rPr>
      </w:pPr>
      <w:r>
        <w:rPr>
          <w:rFonts w:eastAsia="Times New Roman"/>
          <w:color w:val="000000"/>
          <w:sz w:val="20"/>
          <w:szCs w:val="20"/>
        </w:rPr>
        <w:t>If there is no intent to sell or lik</w:t>
      </w:r>
      <w:r>
        <w:rPr>
          <w:rFonts w:eastAsia="Times New Roman"/>
          <w:color w:val="000000"/>
          <w:sz w:val="20"/>
          <w:szCs w:val="20"/>
        </w:rPr>
        <w:t>ely requirement to dispose of the fixed maturity security before its recovery, only the credit loss component of any resulting allowance is recognized in income (loss) and the remainder of the fair value loss is recognized in OCI. The amount of credit loss</w:t>
      </w:r>
      <w:r>
        <w:rPr>
          <w:rFonts w:eastAsia="Times New Roman"/>
          <w:color w:val="000000"/>
          <w:sz w:val="20"/>
          <w:szCs w:val="20"/>
        </w:rPr>
        <w:t xml:space="preserve"> is the shortfall of the present value of the cash flows expected to be collected as compared to the amortized cost basis of the security. The present value is calculated by discounting management’s best estimate of projected future cash flows at the effec</w:t>
      </w:r>
      <w:r>
        <w:rPr>
          <w:rFonts w:eastAsia="Times New Roman"/>
          <w:color w:val="000000"/>
          <w:sz w:val="20"/>
          <w:szCs w:val="20"/>
        </w:rPr>
        <w:t>tive interest rate implicit in the debt security at the date of acquisition. Projections of future cash flows are based on assumptions regarding probability of default and estimates regarding the amount and timing of recoveries. These assumptions and estim</w:t>
      </w:r>
      <w:r>
        <w:rPr>
          <w:rFonts w:eastAsia="Times New Roman"/>
          <w:color w:val="000000"/>
          <w:sz w:val="20"/>
          <w:szCs w:val="20"/>
        </w:rPr>
        <w:t>ates require use of management judgment and consider internal credit analyses as well as market observable data relevant to the collectability of the security.</w:t>
      </w:r>
      <w:r>
        <w:rPr>
          <w:rFonts w:eastAsia="Times New Roman"/>
          <w:color w:val="000000"/>
          <w:sz w:val="20"/>
          <w:szCs w:val="20"/>
        </w:rPr>
        <w:t xml:space="preserve"> </w:t>
      </w:r>
    </w:p>
    <w:p w:rsidR="00000000" w:rsidRDefault="00775A8F">
      <w:pPr>
        <w:divId w:val="579829338"/>
        <w:rPr>
          <w:rFonts w:eastAsia="Times New Roman"/>
        </w:rPr>
      </w:pPr>
      <w:r>
        <w:rPr>
          <w:rFonts w:eastAsia="Times New Roman"/>
          <w:color w:val="000000"/>
          <w:sz w:val="20"/>
          <w:szCs w:val="20"/>
        </w:rPr>
        <w:t>Write-offs of AFS debt securities are recorded when all or a portion of a financial asset is de</w:t>
      </w:r>
      <w:r>
        <w:rPr>
          <w:rFonts w:eastAsia="Times New Roman"/>
          <w:color w:val="000000"/>
          <w:sz w:val="20"/>
          <w:szCs w:val="20"/>
        </w:rPr>
        <w:t>emed uncollectible. Full or partial write-offs are recorded as reductions to the amortized cost basis of the AFS debt security and deducted from the allowance in the period in which the financial assets are deemed uncollectible. The Company elected to reve</w:t>
      </w:r>
      <w:r>
        <w:rPr>
          <w:rFonts w:eastAsia="Times New Roman"/>
          <w:color w:val="000000"/>
          <w:sz w:val="20"/>
          <w:szCs w:val="20"/>
        </w:rPr>
        <w:t xml:space="preserve">rse accrued interest deemed uncollectible as a reversal of interest income. In instances where the Company collects cash that it has previously written off, the recovery will be recognized through earnings or as a reduction of the amortized cost basis for </w:t>
      </w:r>
      <w:r>
        <w:rPr>
          <w:rFonts w:eastAsia="Times New Roman"/>
          <w:color w:val="000000"/>
          <w:sz w:val="20"/>
          <w:szCs w:val="20"/>
        </w:rPr>
        <w:t>interest and principal, respectively.</w:t>
      </w:r>
      <w:r>
        <w:rPr>
          <w:rFonts w:eastAsia="Times New Roman"/>
          <w:color w:val="000000"/>
          <w:sz w:val="20"/>
          <w:szCs w:val="20"/>
        </w:rPr>
        <w:t xml:space="preserve"> </w:t>
      </w:r>
    </w:p>
    <w:p w:rsidR="00000000" w:rsidRDefault="00775A8F">
      <w:pPr>
        <w:divId w:val="1821993975"/>
        <w:rPr>
          <w:rFonts w:eastAsia="Times New Roman"/>
        </w:rPr>
      </w:pPr>
      <w:r>
        <w:rPr>
          <w:rFonts w:eastAsia="Times New Roman"/>
          <w:color w:val="000000"/>
          <w:sz w:val="20"/>
          <w:szCs w:val="20"/>
        </w:rPr>
        <w:t>Real estate held for the production of income is stated at depreciated cost less allowance for credit losses. Depreciation of real estate held for production of income is computed using the straight-line method over t</w:t>
      </w:r>
      <w:r>
        <w:rPr>
          <w:rFonts w:eastAsia="Times New Roman"/>
          <w:color w:val="000000"/>
          <w:sz w:val="20"/>
          <w:szCs w:val="20"/>
        </w:rPr>
        <w:t>he estimated useful lives of the properties, which generally range from 40 to 50 years</w:t>
      </w:r>
      <w:r>
        <w:rPr>
          <w:rFonts w:eastAsia="Times New Roman"/>
          <w:color w:val="000000"/>
          <w:sz w:val="20"/>
          <w:szCs w:val="20"/>
        </w:rPr>
        <w:t>.</w:t>
      </w:r>
    </w:p>
    <w:p w:rsidR="00000000" w:rsidRDefault="00775A8F">
      <w:pPr>
        <w:divId w:val="435558623"/>
        <w:rPr>
          <w:rFonts w:eastAsia="Times New Roman"/>
        </w:rPr>
      </w:pPr>
      <w:r>
        <w:rPr>
          <w:rFonts w:eastAsia="Times New Roman"/>
          <w:color w:val="000000"/>
          <w:sz w:val="20"/>
          <w:szCs w:val="20"/>
        </w:rPr>
        <w:t>Policy loans represent funds loaned to policyholders up to the cash surrender value of the associated insurance policies and are carried at the unpaid principal balance</w:t>
      </w:r>
      <w:r>
        <w:rPr>
          <w:rFonts w:eastAsia="Times New Roman"/>
          <w:color w:val="000000"/>
          <w:sz w:val="20"/>
          <w:szCs w:val="20"/>
        </w:rPr>
        <w:t>s due to the Company from the policyholders. Interest income on policy loans is recognized in net investment income at the contract interest rate when earned. Policy loans are fully collateralized by the cash surrender value of the associated insurance pol</w:t>
      </w:r>
      <w:r>
        <w:rPr>
          <w:rFonts w:eastAsia="Times New Roman"/>
          <w:color w:val="000000"/>
          <w:sz w:val="20"/>
          <w:szCs w:val="20"/>
        </w:rPr>
        <w:t>icies</w:t>
      </w:r>
      <w:r>
        <w:rPr>
          <w:rFonts w:eastAsia="Times New Roman"/>
          <w:color w:val="000000"/>
          <w:sz w:val="20"/>
          <w:szCs w:val="20"/>
        </w:rPr>
        <w:t>.</w:t>
      </w:r>
    </w:p>
    <w:p w:rsidR="00000000" w:rsidRDefault="00775A8F">
      <w:pPr>
        <w:divId w:val="569930347"/>
        <w:rPr>
          <w:rFonts w:eastAsia="Times New Roman"/>
        </w:rPr>
      </w:pPr>
      <w:r>
        <w:rPr>
          <w:rFonts w:eastAsia="Times New Roman"/>
          <w:color w:val="000000"/>
          <w:sz w:val="20"/>
          <w:szCs w:val="20"/>
        </w:rPr>
        <w:t>Partnerships, investment companies, and joint venture interests that the Company has control of and has an economic interest in or those that meet the requirements for consolidation under accounting guidance for consolidation of VIEs are consolidate</w:t>
      </w:r>
      <w:r>
        <w:rPr>
          <w:rFonts w:eastAsia="Times New Roman"/>
          <w:color w:val="000000"/>
          <w:sz w:val="20"/>
          <w:szCs w:val="20"/>
        </w:rPr>
        <w:t>d. Those that the Company does not have control of and does not have a majority economic interest in and those that do not meet the VIE requirements for consolidation are reported on the equity method of accounting and are reported in other equity investme</w:t>
      </w:r>
      <w:r>
        <w:rPr>
          <w:rFonts w:eastAsia="Times New Roman"/>
          <w:color w:val="000000"/>
          <w:sz w:val="20"/>
          <w:szCs w:val="20"/>
        </w:rPr>
        <w:t>nts. The Company records its interests in certain of these partnerships on a month or one quarter lag</w:t>
      </w:r>
      <w:r>
        <w:rPr>
          <w:rFonts w:eastAsia="Times New Roman"/>
          <w:color w:val="000000"/>
          <w:sz w:val="20"/>
          <w:szCs w:val="20"/>
        </w:rPr>
        <w:t>.</w:t>
      </w:r>
    </w:p>
    <w:p w:rsidR="00000000" w:rsidRDefault="00775A8F">
      <w:pPr>
        <w:divId w:val="506600744"/>
        <w:rPr>
          <w:rFonts w:eastAsia="Times New Roman"/>
        </w:rPr>
      </w:pPr>
      <w:r>
        <w:rPr>
          <w:rFonts w:eastAsia="Times New Roman"/>
          <w:color w:val="000000"/>
          <w:sz w:val="20"/>
          <w:szCs w:val="20"/>
        </w:rPr>
        <w:t>Trading securities, which include equity securities and fixed maturities, are carried at fair value based on quoted market prices, with realized and unre</w:t>
      </w:r>
      <w:r>
        <w:rPr>
          <w:rFonts w:eastAsia="Times New Roman"/>
          <w:color w:val="000000"/>
          <w:sz w:val="20"/>
          <w:szCs w:val="20"/>
        </w:rPr>
        <w:t>alized gains (losses) reported in net investment income (loss) in the consolidated statements of income (loss)</w:t>
      </w:r>
      <w:r>
        <w:rPr>
          <w:rFonts w:eastAsia="Times New Roman"/>
          <w:color w:val="000000"/>
          <w:sz w:val="20"/>
          <w:szCs w:val="20"/>
        </w:rPr>
        <w:t>.</w:t>
      </w:r>
    </w:p>
    <w:p w:rsidR="00000000" w:rsidRDefault="00775A8F">
      <w:pPr>
        <w:divId w:val="672998953"/>
        <w:rPr>
          <w:rFonts w:eastAsia="Times New Roman"/>
        </w:rPr>
      </w:pPr>
      <w:r>
        <w:rPr>
          <w:rFonts w:eastAsia="Times New Roman"/>
          <w:color w:val="000000"/>
          <w:sz w:val="20"/>
          <w:szCs w:val="20"/>
        </w:rPr>
        <w:t>Corporate owned life insurance (“COLI”) has been purchased by the Company and certain subsidiaries on the lives of certain key employees and the</w:t>
      </w:r>
      <w:r>
        <w:rPr>
          <w:rFonts w:eastAsia="Times New Roman"/>
          <w:color w:val="000000"/>
          <w:sz w:val="20"/>
          <w:szCs w:val="20"/>
        </w:rPr>
        <w:t xml:space="preserve"> Company and these subsidiaries are named as beneficiaries under these policies. COLI is carried at the cash surrender value of the policies. At June 30, 2020 and December 31, 2019, the carrying value of COLI was $980 million and $944 million, respectively</w:t>
      </w:r>
      <w:r>
        <w:rPr>
          <w:rFonts w:eastAsia="Times New Roman"/>
          <w:color w:val="000000"/>
          <w:sz w:val="20"/>
          <w:szCs w:val="20"/>
        </w:rPr>
        <w:t>, and is reported in Other invested assets in the consolidated balance sheets</w:t>
      </w:r>
      <w:r>
        <w:rPr>
          <w:rFonts w:eastAsia="Times New Roman"/>
          <w:color w:val="000000"/>
          <w:sz w:val="20"/>
          <w:szCs w:val="20"/>
        </w:rPr>
        <w:t>.</w:t>
      </w:r>
    </w:p>
    <w:p w:rsidR="00000000" w:rsidRDefault="00775A8F">
      <w:pPr>
        <w:divId w:val="113642128"/>
        <w:rPr>
          <w:rFonts w:eastAsia="Times New Roman"/>
        </w:rPr>
      </w:pPr>
      <w:r>
        <w:rPr>
          <w:rFonts w:eastAsia="Times New Roman"/>
          <w:color w:val="000000"/>
          <w:sz w:val="20"/>
          <w:szCs w:val="20"/>
        </w:rPr>
        <w:t>Cash and cash equivalents includes cash on hand, demand deposits, money market accounts, overnight commercial paper and highly liquid debt instruments purchased with an original maturity of three months or less. Due to the short-term nature of these invest</w:t>
      </w:r>
      <w:r>
        <w:rPr>
          <w:rFonts w:eastAsia="Times New Roman"/>
          <w:color w:val="000000"/>
          <w:sz w:val="20"/>
          <w:szCs w:val="20"/>
        </w:rPr>
        <w:t xml:space="preserve">ments, the recorded value is deemed to approximate fair value. Cash and securities segregated primarily includes U.S. Treasury Bills segregated by AB in a special reserve bank custody account for the exclusive benefit of its brokerage customers under Rule </w:t>
      </w:r>
      <w:r>
        <w:rPr>
          <w:rFonts w:eastAsia="Times New Roman"/>
          <w:color w:val="000000"/>
          <w:sz w:val="20"/>
          <w:szCs w:val="20"/>
        </w:rPr>
        <w:t>15c3-3 of the Exchange Act</w:t>
      </w:r>
      <w:r>
        <w:rPr>
          <w:rFonts w:eastAsia="Times New Roman"/>
          <w:color w:val="000000"/>
          <w:sz w:val="20"/>
          <w:szCs w:val="20"/>
        </w:rPr>
        <w:t>.</w:t>
      </w:r>
    </w:p>
    <w:p w:rsidR="00000000" w:rsidRDefault="00775A8F">
      <w:pPr>
        <w:divId w:val="1007371414"/>
        <w:rPr>
          <w:rFonts w:eastAsia="Times New Roman"/>
        </w:rPr>
      </w:pPr>
      <w:r>
        <w:rPr>
          <w:rFonts w:eastAsia="Times New Roman"/>
          <w:color w:val="000000"/>
          <w:sz w:val="20"/>
          <w:szCs w:val="20"/>
        </w:rPr>
        <w:t>All securities owned, including U.S. government and agency securities, mortgage-backed securities, futures and forwards transactions, are reported in the consolidated financial statements on a trade date basis</w:t>
      </w:r>
      <w:r>
        <w:rPr>
          <w:rFonts w:eastAsia="Times New Roman"/>
          <w:color w:val="000000"/>
          <w:sz w:val="20"/>
          <w:szCs w:val="20"/>
        </w:rPr>
        <w:t>.</w:t>
      </w:r>
    </w:p>
    <w:p w:rsidR="00000000" w:rsidRDefault="00775A8F">
      <w:pPr>
        <w:divId w:val="1376387731"/>
        <w:rPr>
          <w:rFonts w:eastAsia="Times New Roman"/>
        </w:rPr>
      </w:pPr>
      <w:r>
        <w:rPr>
          <w:rFonts w:eastAsia="Times New Roman"/>
          <w:color w:val="000000"/>
          <w:sz w:val="20"/>
          <w:szCs w:val="20"/>
          <w:u w:val="single"/>
        </w:rPr>
        <w:t>Commercial and Ag</w:t>
      </w:r>
      <w:r>
        <w:rPr>
          <w:rFonts w:eastAsia="Times New Roman"/>
          <w:color w:val="000000"/>
          <w:sz w:val="20"/>
          <w:szCs w:val="20"/>
          <w:u w:val="single"/>
        </w:rPr>
        <w:t>ricultural Mortgage Loans on Real Estat</w:t>
      </w:r>
      <w:r>
        <w:rPr>
          <w:rFonts w:eastAsia="Times New Roman"/>
          <w:color w:val="000000"/>
          <w:sz w:val="20"/>
          <w:szCs w:val="20"/>
          <w:u w:val="single"/>
        </w:rPr>
        <w:t>e</w:t>
      </w:r>
    </w:p>
    <w:p w:rsidR="00000000" w:rsidRDefault="00775A8F">
      <w:pPr>
        <w:divId w:val="1295721553"/>
        <w:rPr>
          <w:rFonts w:eastAsia="Times New Roman"/>
        </w:rPr>
      </w:pPr>
      <w:r>
        <w:rPr>
          <w:rFonts w:eastAsia="Times New Roman"/>
          <w:color w:val="000000"/>
          <w:sz w:val="20"/>
          <w:szCs w:val="20"/>
        </w:rPr>
        <w:t>Mortgage loans are stated at unpaid principal balances, net of unamortized discounts and the allowance for credit losses. The Company calculates the allowance for credit losses in accordance with the CECL model in o</w:t>
      </w:r>
      <w:r>
        <w:rPr>
          <w:rFonts w:eastAsia="Times New Roman"/>
          <w:color w:val="000000"/>
          <w:sz w:val="20"/>
          <w:szCs w:val="20"/>
        </w:rPr>
        <w:t>rder to provide for the risk of credit losses in the lending process.</w:t>
      </w:r>
      <w:r>
        <w:rPr>
          <w:rFonts w:eastAsia="Times New Roman"/>
          <w:color w:val="000000"/>
          <w:sz w:val="20"/>
          <w:szCs w:val="20"/>
        </w:rPr>
        <w:t xml:space="preserve"> </w:t>
      </w:r>
    </w:p>
    <w:p w:rsidR="00000000" w:rsidRDefault="00775A8F">
      <w:pPr>
        <w:jc w:val="center"/>
        <w:divId w:val="987779569"/>
        <w:rPr>
          <w:rFonts w:eastAsia="Times New Roman"/>
        </w:rPr>
      </w:pPr>
      <w:r>
        <w:rPr>
          <w:rFonts w:eastAsia="Times New Roman"/>
          <w:color w:val="000000"/>
          <w:sz w:val="20"/>
          <w:szCs w:val="20"/>
        </w:rPr>
        <w:t>1</w:t>
      </w:r>
      <w:r>
        <w:rPr>
          <w:rFonts w:eastAsia="Times New Roman"/>
          <w:color w:val="000000"/>
          <w:sz w:val="20"/>
          <w:szCs w:val="20"/>
        </w:rPr>
        <w:t>4</w:t>
      </w:r>
    </w:p>
    <w:p w:rsidR="00000000" w:rsidRDefault="00775A8F">
      <w:pPr>
        <w:rPr>
          <w:rFonts w:eastAsia="Times New Roman"/>
        </w:rPr>
      </w:pPr>
      <w:r>
        <w:rPr>
          <w:rFonts w:eastAsia="Times New Roman"/>
        </w:rPr>
        <w:pict>
          <v:rect id="_x0000_i1040" style="width:0;height:1.5pt" o:hralign="center" o:hrstd="t" o:hr="t" fillcolor="#a0a0a0" stroked="f"/>
        </w:pict>
      </w:r>
    </w:p>
    <w:p w:rsidR="00000000" w:rsidRDefault="00775A8F">
      <w:pPr>
        <w:jc w:val="center"/>
        <w:divId w:val="652874068"/>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652874068"/>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626695383"/>
        <w:rPr>
          <w:rFonts w:eastAsia="Times New Roman"/>
        </w:rPr>
      </w:pPr>
      <w:r>
        <w:rPr>
          <w:rFonts w:eastAsia="Times New Roman"/>
          <w:color w:val="000000"/>
          <w:sz w:val="20"/>
          <w:szCs w:val="20"/>
        </w:rPr>
        <w:t>Expected credit losses for loans with similar risk char</w:t>
      </w:r>
      <w:r>
        <w:rPr>
          <w:rFonts w:eastAsia="Times New Roman"/>
          <w:color w:val="000000"/>
          <w:sz w:val="20"/>
          <w:szCs w:val="20"/>
        </w:rPr>
        <w:t>acteristics are estimated on a collective (i.e., pool) basis in order to meet CECL’s risk of loss concept which requires the Company to consider possibilities of loss, even if remote</w:t>
      </w:r>
      <w:r>
        <w:rPr>
          <w:rFonts w:eastAsia="Times New Roman"/>
          <w:color w:val="000000"/>
          <w:sz w:val="20"/>
          <w:szCs w:val="20"/>
        </w:rPr>
        <w:t>.</w:t>
      </w:r>
    </w:p>
    <w:p w:rsidR="00000000" w:rsidRDefault="00775A8F">
      <w:pPr>
        <w:divId w:val="2066831656"/>
        <w:rPr>
          <w:rFonts w:eastAsia="Times New Roman"/>
        </w:rPr>
      </w:pPr>
      <w:r>
        <w:rPr>
          <w:rFonts w:eastAsia="Times New Roman"/>
          <w:color w:val="000000"/>
          <w:sz w:val="20"/>
          <w:szCs w:val="20"/>
        </w:rPr>
        <w:t>For collectively evaluated mortgages, the Company estimates the allowanc</w:t>
      </w:r>
      <w:r>
        <w:rPr>
          <w:rFonts w:eastAsia="Times New Roman"/>
          <w:color w:val="000000"/>
          <w:sz w:val="20"/>
          <w:szCs w:val="20"/>
        </w:rPr>
        <w:t>e for credit losses based on the amortized cost basis of its mortgages over their expected life using a probability of default (“PD”) / loss given default (“LGD”) model. The PD/LGD model incorporates the Company’s reasonable and supportable forecast of mac</w:t>
      </w:r>
      <w:r>
        <w:rPr>
          <w:rFonts w:eastAsia="Times New Roman"/>
          <w:color w:val="000000"/>
          <w:sz w:val="20"/>
          <w:szCs w:val="20"/>
        </w:rPr>
        <w:t>roeconomic information over a specified period. For periods beyond the reasonable and supportable forecast period, the model reverts to historical loss information.</w:t>
      </w:r>
      <w:r>
        <w:rPr>
          <w:rFonts w:eastAsia="Times New Roman"/>
          <w:color w:val="000000"/>
          <w:sz w:val="20"/>
          <w:szCs w:val="20"/>
        </w:rPr>
        <w:t xml:space="preserve"> </w:t>
      </w:r>
    </w:p>
    <w:p w:rsidR="00000000" w:rsidRDefault="00775A8F">
      <w:pPr>
        <w:divId w:val="1768887637"/>
        <w:rPr>
          <w:rFonts w:eastAsia="Times New Roman"/>
        </w:rPr>
      </w:pPr>
      <w:r>
        <w:rPr>
          <w:rFonts w:eastAsia="Times New Roman"/>
          <w:color w:val="000000"/>
          <w:sz w:val="20"/>
          <w:szCs w:val="20"/>
        </w:rPr>
        <w:t xml:space="preserve">The CECL model is configured to the Company’s specifications and takes into consideration </w:t>
      </w:r>
      <w:r>
        <w:rPr>
          <w:rFonts w:eastAsia="Times New Roman"/>
          <w:color w:val="000000"/>
          <w:sz w:val="20"/>
          <w:szCs w:val="20"/>
        </w:rPr>
        <w:t>the detailed risk attributes of each discrete loan in the mortgage portfolio which include, but are not limited to the following</w:t>
      </w:r>
      <w:r>
        <w:rPr>
          <w:rFonts w:eastAsia="Times New Roman"/>
          <w:color w:val="000000"/>
          <w:sz w:val="20"/>
          <w:szCs w:val="20"/>
        </w:rPr>
        <w:t>:</w:t>
      </w:r>
    </w:p>
    <w:p w:rsidR="00000000" w:rsidRDefault="00775A8F">
      <w:pPr>
        <w:ind w:hanging="360"/>
        <w:jc w:val="both"/>
        <w:divId w:val="1502502797"/>
        <w:rPr>
          <w:rFonts w:eastAsia="Times New Roman"/>
        </w:rPr>
      </w:pPr>
      <w:r>
        <w:rPr>
          <w:rFonts w:eastAsia="Times New Roman"/>
          <w:color w:val="000000"/>
          <w:sz w:val="20"/>
          <w:szCs w:val="20"/>
        </w:rPr>
        <w:t>•</w:t>
      </w:r>
      <w:r>
        <w:rPr>
          <w:rFonts w:eastAsia="Times New Roman"/>
          <w:color w:val="000000"/>
          <w:sz w:val="20"/>
          <w:szCs w:val="20"/>
        </w:rPr>
        <w:t>Loan-to-value (“LTV”) ratio - Derived from current loan balance divided by the fair market value of the property. An LTV rati</w:t>
      </w:r>
      <w:r>
        <w:rPr>
          <w:rFonts w:eastAsia="Times New Roman"/>
          <w:color w:val="000000"/>
          <w:sz w:val="20"/>
          <w:szCs w:val="20"/>
        </w:rPr>
        <w:t>o in excess of 100% indicates an underwater mortgage.</w:t>
      </w:r>
      <w:r>
        <w:rPr>
          <w:rFonts w:eastAsia="Times New Roman"/>
          <w:color w:val="000000"/>
          <w:sz w:val="20"/>
          <w:szCs w:val="20"/>
        </w:rPr>
        <w:t> </w:t>
      </w:r>
    </w:p>
    <w:p w:rsidR="00000000" w:rsidRDefault="00775A8F">
      <w:pPr>
        <w:ind w:hanging="360"/>
        <w:jc w:val="both"/>
        <w:divId w:val="908004238"/>
        <w:rPr>
          <w:rFonts w:eastAsia="Times New Roman"/>
        </w:rPr>
      </w:pPr>
      <w:r>
        <w:rPr>
          <w:rFonts w:eastAsia="Times New Roman"/>
          <w:color w:val="000000"/>
          <w:sz w:val="20"/>
          <w:szCs w:val="20"/>
        </w:rPr>
        <w:t>•</w:t>
      </w:r>
      <w:r>
        <w:rPr>
          <w:rFonts w:eastAsia="Times New Roman"/>
          <w:color w:val="000000"/>
          <w:sz w:val="20"/>
          <w:szCs w:val="20"/>
        </w:rPr>
        <w:t>Debt service coverage (“DSC”) ratio - Derived from actual operating earnings divided by annual debt service. If the ratio is below 1.0x, then the income from the property does not support the debt</w:t>
      </w:r>
      <w:r>
        <w:rPr>
          <w:rFonts w:eastAsia="Times New Roman"/>
          <w:color w:val="000000"/>
          <w:sz w:val="20"/>
          <w:szCs w:val="20"/>
        </w:rPr>
        <w:t>.</w:t>
      </w:r>
    </w:p>
    <w:p w:rsidR="00000000" w:rsidRDefault="00775A8F">
      <w:pPr>
        <w:ind w:hanging="360"/>
        <w:jc w:val="both"/>
        <w:divId w:val="1692337361"/>
        <w:rPr>
          <w:rFonts w:eastAsia="Times New Roman"/>
        </w:rPr>
      </w:pPr>
      <w:r>
        <w:rPr>
          <w:rFonts w:eastAsia="Times New Roman"/>
          <w:color w:val="000000"/>
          <w:sz w:val="20"/>
          <w:szCs w:val="20"/>
        </w:rPr>
        <w:t>•</w:t>
      </w:r>
      <w:r>
        <w:rPr>
          <w:rFonts w:eastAsia="Times New Roman"/>
          <w:color w:val="000000"/>
          <w:sz w:val="20"/>
          <w:szCs w:val="20"/>
        </w:rPr>
        <w:t>O</w:t>
      </w:r>
      <w:r>
        <w:rPr>
          <w:rFonts w:eastAsia="Times New Roman"/>
          <w:color w:val="000000"/>
          <w:sz w:val="20"/>
          <w:szCs w:val="20"/>
        </w:rPr>
        <w:t>ccupancy - Criteria varies by property type but low or below market occupancy is an indicator of sub-par property performance</w:t>
      </w:r>
      <w:r>
        <w:rPr>
          <w:rFonts w:eastAsia="Times New Roman"/>
          <w:color w:val="000000"/>
          <w:sz w:val="20"/>
          <w:szCs w:val="20"/>
        </w:rPr>
        <w:t>.</w:t>
      </w:r>
    </w:p>
    <w:p w:rsidR="00000000" w:rsidRDefault="00775A8F">
      <w:pPr>
        <w:ind w:hanging="360"/>
        <w:jc w:val="both"/>
        <w:divId w:val="1508053695"/>
        <w:rPr>
          <w:rFonts w:eastAsia="Times New Roman"/>
        </w:rPr>
      </w:pPr>
      <w:r>
        <w:rPr>
          <w:rFonts w:eastAsia="Times New Roman"/>
          <w:color w:val="000000"/>
          <w:sz w:val="20"/>
          <w:szCs w:val="20"/>
        </w:rPr>
        <w:t>•</w:t>
      </w:r>
      <w:r>
        <w:rPr>
          <w:rFonts w:eastAsia="Times New Roman"/>
          <w:color w:val="000000"/>
          <w:sz w:val="20"/>
          <w:szCs w:val="20"/>
        </w:rPr>
        <w:t xml:space="preserve">Lease expirations - The percentage of leases expiring in the upcoming 12 to 36 months are monitored as a decline in rent and/or </w:t>
      </w:r>
      <w:r>
        <w:rPr>
          <w:rFonts w:eastAsia="Times New Roman"/>
          <w:color w:val="000000"/>
          <w:sz w:val="20"/>
          <w:szCs w:val="20"/>
        </w:rPr>
        <w:t>occupancy may negatively impact the debt service coverage ratio. In the case of single-tenant properties or properties with large tenant exposure, the lease expiration is a material risk factor</w:t>
      </w:r>
      <w:r>
        <w:rPr>
          <w:rFonts w:eastAsia="Times New Roman"/>
          <w:color w:val="000000"/>
          <w:sz w:val="20"/>
          <w:szCs w:val="20"/>
        </w:rPr>
        <w:t>.</w:t>
      </w:r>
    </w:p>
    <w:p w:rsidR="00000000" w:rsidRDefault="00775A8F">
      <w:pPr>
        <w:ind w:hanging="360"/>
        <w:jc w:val="both"/>
        <w:divId w:val="1105881746"/>
        <w:rPr>
          <w:rFonts w:eastAsia="Times New Roman"/>
        </w:rPr>
      </w:pPr>
      <w:r>
        <w:rPr>
          <w:rFonts w:eastAsia="Times New Roman"/>
          <w:color w:val="000000"/>
          <w:sz w:val="20"/>
          <w:szCs w:val="20"/>
        </w:rPr>
        <w:t>•</w:t>
      </w:r>
      <w:r>
        <w:rPr>
          <w:rFonts w:eastAsia="Times New Roman"/>
          <w:color w:val="000000"/>
          <w:sz w:val="20"/>
          <w:szCs w:val="20"/>
        </w:rPr>
        <w:t xml:space="preserve">Other - Any other factors such as maturity, borrower/tenant </w:t>
      </w:r>
      <w:r>
        <w:rPr>
          <w:rFonts w:eastAsia="Times New Roman"/>
          <w:color w:val="000000"/>
          <w:sz w:val="20"/>
          <w:szCs w:val="20"/>
        </w:rPr>
        <w:t>related issues, payment status, property condition, or current economic conditions may call into question the performance of the loan</w:t>
      </w:r>
      <w:r>
        <w:rPr>
          <w:rFonts w:eastAsia="Times New Roman"/>
          <w:color w:val="000000"/>
          <w:sz w:val="20"/>
          <w:szCs w:val="20"/>
        </w:rPr>
        <w:t>.</w:t>
      </w:r>
    </w:p>
    <w:p w:rsidR="00000000" w:rsidRDefault="00775A8F">
      <w:pPr>
        <w:divId w:val="2017616205"/>
        <w:rPr>
          <w:rFonts w:eastAsia="Times New Roman"/>
        </w:rPr>
      </w:pPr>
      <w:r>
        <w:rPr>
          <w:rFonts w:eastAsia="Times New Roman"/>
          <w:color w:val="000000"/>
          <w:sz w:val="20"/>
          <w:szCs w:val="20"/>
        </w:rPr>
        <w:t>Mortgage loans that do not share similar risk characteristics with other loans in the portfolio are individually evaluate</w:t>
      </w:r>
      <w:r>
        <w:rPr>
          <w:rFonts w:eastAsia="Times New Roman"/>
          <w:color w:val="000000"/>
          <w:sz w:val="20"/>
          <w:szCs w:val="20"/>
        </w:rPr>
        <w:t>d quarterly by the Company’s IUS Committee. The allowance for credit losses on these individually evaluated mortgages is a loan-specific reserve as a result of the loan review process that is recorded based on the present value of expected future cash flow</w:t>
      </w:r>
      <w:r>
        <w:rPr>
          <w:rFonts w:eastAsia="Times New Roman"/>
          <w:color w:val="000000"/>
          <w:sz w:val="20"/>
          <w:szCs w:val="20"/>
        </w:rPr>
        <w:t>s discounted at the loan’s effective interest rate or based on the fair value of the collateral. The individually assessed allowance for mortgage loans can increase or decrease from period to period based on such factors</w:t>
      </w:r>
      <w:r>
        <w:rPr>
          <w:rFonts w:eastAsia="Times New Roman"/>
          <w:color w:val="000000"/>
          <w:sz w:val="20"/>
          <w:szCs w:val="20"/>
        </w:rPr>
        <w:t>.</w:t>
      </w:r>
    </w:p>
    <w:p w:rsidR="00000000" w:rsidRDefault="00775A8F">
      <w:pPr>
        <w:divId w:val="2083524993"/>
        <w:rPr>
          <w:rFonts w:eastAsia="Times New Roman"/>
        </w:rPr>
      </w:pPr>
      <w:r>
        <w:rPr>
          <w:rFonts w:eastAsia="Times New Roman"/>
          <w:color w:val="000000"/>
          <w:sz w:val="20"/>
          <w:szCs w:val="20"/>
        </w:rPr>
        <w:t>Individually assessed loans may in</w:t>
      </w:r>
      <w:r>
        <w:rPr>
          <w:rFonts w:eastAsia="Times New Roman"/>
          <w:color w:val="000000"/>
          <w:sz w:val="20"/>
          <w:szCs w:val="20"/>
        </w:rPr>
        <w:t>clude, but are not limited to, mortgages that have deteriorated in credit quality such as troubled debt restructurings (“TDR”) and reasonably expected TDRs, mortgages for which foreclosure is probable, and mortgages which have been classified as “potential</w:t>
      </w:r>
      <w:r>
        <w:rPr>
          <w:rFonts w:eastAsia="Times New Roman"/>
          <w:color w:val="000000"/>
          <w:sz w:val="20"/>
          <w:szCs w:val="20"/>
        </w:rPr>
        <w:t xml:space="preserve"> problem” or “problem” loans within the Company’s IUS Committee processes as described below</w:t>
      </w:r>
      <w:r>
        <w:rPr>
          <w:rFonts w:eastAsia="Times New Roman"/>
          <w:color w:val="000000"/>
          <w:sz w:val="20"/>
          <w:szCs w:val="20"/>
        </w:rPr>
        <w:t>.</w:t>
      </w:r>
    </w:p>
    <w:p w:rsidR="00000000" w:rsidRDefault="00775A8F">
      <w:pPr>
        <w:divId w:val="54594821"/>
        <w:rPr>
          <w:rFonts w:eastAsia="Times New Roman"/>
        </w:rPr>
      </w:pPr>
      <w:r>
        <w:rPr>
          <w:rFonts w:eastAsia="Times New Roman"/>
          <w:color w:val="000000"/>
          <w:sz w:val="20"/>
          <w:szCs w:val="20"/>
        </w:rPr>
        <w:t>Within the IUS process, Commercial mortgages 60 days or more past due and agricultural mortgages 90 days or more past due, as well as all mortgages in the process</w:t>
      </w:r>
      <w:r>
        <w:rPr>
          <w:rFonts w:eastAsia="Times New Roman"/>
          <w:color w:val="000000"/>
          <w:sz w:val="20"/>
          <w:szCs w:val="20"/>
        </w:rPr>
        <w:t xml:space="preserve"> of foreclosure, are identified as problem mortgages. Based on its monthly monitoring of mortgages, a class of potential problem mortgages are also identified, consisting of mortgage loans not currently classified as problem mortgages but for which managem</w:t>
      </w:r>
      <w:r>
        <w:rPr>
          <w:rFonts w:eastAsia="Times New Roman"/>
          <w:color w:val="000000"/>
          <w:sz w:val="20"/>
          <w:szCs w:val="20"/>
        </w:rPr>
        <w:t>ent has doubts as to the ability of the borrower to comply with the present loan payment terms and which may result in the loan becoming a problem or being modified. The decision whether to classify a performing mortgage loan as a potential problem involve</w:t>
      </w:r>
      <w:r>
        <w:rPr>
          <w:rFonts w:eastAsia="Times New Roman"/>
          <w:color w:val="000000"/>
          <w:sz w:val="20"/>
          <w:szCs w:val="20"/>
        </w:rPr>
        <w:t>s judgments by management as to likely future industry conditions and developments with respect to the borrower or the individual mortgaged property</w:t>
      </w:r>
      <w:r>
        <w:rPr>
          <w:rFonts w:eastAsia="Times New Roman"/>
          <w:color w:val="000000"/>
          <w:sz w:val="20"/>
          <w:szCs w:val="20"/>
        </w:rPr>
        <w:t>.</w:t>
      </w:r>
    </w:p>
    <w:p w:rsidR="00000000" w:rsidRDefault="00775A8F">
      <w:pPr>
        <w:divId w:val="240287725"/>
        <w:rPr>
          <w:rFonts w:eastAsia="Times New Roman"/>
        </w:rPr>
      </w:pPr>
      <w:r>
        <w:rPr>
          <w:rFonts w:eastAsia="Times New Roman"/>
          <w:color w:val="000000"/>
          <w:sz w:val="20"/>
          <w:szCs w:val="20"/>
        </w:rPr>
        <w:t xml:space="preserve">Individually assessed mortgage loans without provision for losses are mortgage loans where the fair value </w:t>
      </w:r>
      <w:r>
        <w:rPr>
          <w:rFonts w:eastAsia="Times New Roman"/>
          <w:color w:val="000000"/>
          <w:sz w:val="20"/>
          <w:szCs w:val="20"/>
        </w:rPr>
        <w:t>of the collateral or the net present value of the expected future cash flows related to the loan equals or exceeds the recorded investment. Interest income earned on mortgage loans where the collateral value is used to measure impairment is recorded on a c</w:t>
      </w:r>
      <w:r>
        <w:rPr>
          <w:rFonts w:eastAsia="Times New Roman"/>
          <w:color w:val="000000"/>
          <w:sz w:val="20"/>
          <w:szCs w:val="20"/>
        </w:rPr>
        <w:t>ash basis. Interest income on mortgage loans where the present value method is used to measure impairment is accrued on the net carrying value amount of the loan at the interest rate used to discount the cash flows</w:t>
      </w:r>
      <w:r>
        <w:rPr>
          <w:rFonts w:eastAsia="Times New Roman"/>
          <w:color w:val="000000"/>
          <w:sz w:val="20"/>
          <w:szCs w:val="20"/>
        </w:rPr>
        <w:t>.</w:t>
      </w:r>
    </w:p>
    <w:p w:rsidR="00000000" w:rsidRDefault="00775A8F">
      <w:pPr>
        <w:divId w:val="1519811982"/>
        <w:rPr>
          <w:rFonts w:eastAsia="Times New Roman"/>
        </w:rPr>
      </w:pPr>
      <w:r>
        <w:rPr>
          <w:rFonts w:eastAsia="Times New Roman"/>
          <w:color w:val="000000"/>
          <w:sz w:val="20"/>
          <w:szCs w:val="20"/>
        </w:rPr>
        <w:t xml:space="preserve">Mortgage loans are placed on nonaccrual </w:t>
      </w:r>
      <w:r>
        <w:rPr>
          <w:rFonts w:eastAsia="Times New Roman"/>
          <w:color w:val="000000"/>
          <w:sz w:val="20"/>
          <w:szCs w:val="20"/>
        </w:rPr>
        <w:t>status once management believes the collection of accrued interest is not probable. Once mortgage loans are classified as nonaccrual mortgage loans, interest income is recognized under the cash basis of accounting and the resumption of the interest accrual</w:t>
      </w:r>
      <w:r>
        <w:rPr>
          <w:rFonts w:eastAsia="Times New Roman"/>
          <w:color w:val="000000"/>
          <w:sz w:val="20"/>
          <w:szCs w:val="20"/>
        </w:rPr>
        <w:t xml:space="preserve"> would commence only after all past due interest has been collected or the mortgage loan has been restructured to where the collection of interest is considered likely. The Company charges off loan balances and accrued interest that are deemed uncollectibl</w:t>
      </w:r>
      <w:r>
        <w:rPr>
          <w:rFonts w:eastAsia="Times New Roman"/>
          <w:color w:val="000000"/>
          <w:sz w:val="20"/>
          <w:szCs w:val="20"/>
        </w:rPr>
        <w:t>e</w:t>
      </w:r>
      <w:r>
        <w:rPr>
          <w:rFonts w:eastAsia="Times New Roman"/>
          <w:color w:val="000000"/>
          <w:sz w:val="20"/>
          <w:szCs w:val="20"/>
        </w:rPr>
        <w:t>.</w:t>
      </w:r>
    </w:p>
    <w:p w:rsidR="00000000" w:rsidRDefault="00775A8F">
      <w:pPr>
        <w:jc w:val="center"/>
        <w:divId w:val="1538620357"/>
        <w:rPr>
          <w:rFonts w:eastAsia="Times New Roman"/>
        </w:rPr>
      </w:pPr>
      <w:r>
        <w:rPr>
          <w:rFonts w:eastAsia="Times New Roman"/>
          <w:color w:val="000000"/>
          <w:sz w:val="20"/>
          <w:szCs w:val="20"/>
        </w:rPr>
        <w:t>1</w:t>
      </w:r>
      <w:r>
        <w:rPr>
          <w:rFonts w:eastAsia="Times New Roman"/>
          <w:color w:val="000000"/>
          <w:sz w:val="20"/>
          <w:szCs w:val="20"/>
        </w:rPr>
        <w:t>5</w:t>
      </w:r>
    </w:p>
    <w:p w:rsidR="00000000" w:rsidRDefault="00775A8F">
      <w:pPr>
        <w:rPr>
          <w:rFonts w:eastAsia="Times New Roman"/>
        </w:rPr>
      </w:pPr>
      <w:r>
        <w:rPr>
          <w:rFonts w:eastAsia="Times New Roman"/>
        </w:rPr>
        <w:pict>
          <v:rect id="_x0000_i1041" style="width:0;height:1.5pt" o:hralign="center" o:hrstd="t" o:hr="t" fillcolor="#a0a0a0" stroked="f"/>
        </w:pict>
      </w:r>
    </w:p>
    <w:p w:rsidR="00000000" w:rsidRDefault="00775A8F">
      <w:pPr>
        <w:jc w:val="center"/>
        <w:divId w:val="859126984"/>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59126984"/>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899515356"/>
        <w:rPr>
          <w:rFonts w:eastAsia="Times New Roman"/>
        </w:rPr>
      </w:pPr>
      <w:r>
        <w:rPr>
          <w:rFonts w:eastAsia="Times New Roman"/>
          <w:color w:val="000000"/>
          <w:sz w:val="20"/>
          <w:szCs w:val="20"/>
          <w:u w:val="single"/>
        </w:rPr>
        <w:t>Net Investment Income (Loss), Investment Gains (Losses), Net, and Unrealized Investment Gains (Losses</w:t>
      </w:r>
      <w:r>
        <w:rPr>
          <w:rFonts w:eastAsia="Times New Roman"/>
          <w:color w:val="000000"/>
          <w:sz w:val="20"/>
          <w:szCs w:val="20"/>
          <w:u w:val="single"/>
        </w:rPr>
        <w:t>)</w:t>
      </w:r>
    </w:p>
    <w:p w:rsidR="00000000" w:rsidRDefault="00775A8F">
      <w:pPr>
        <w:divId w:val="300963778"/>
        <w:rPr>
          <w:rFonts w:eastAsia="Times New Roman"/>
        </w:rPr>
      </w:pPr>
      <w:r>
        <w:rPr>
          <w:rFonts w:eastAsia="Times New Roman"/>
          <w:color w:val="000000"/>
          <w:sz w:val="20"/>
          <w:szCs w:val="20"/>
        </w:rPr>
        <w:t xml:space="preserve">Realized investment </w:t>
      </w:r>
      <w:r>
        <w:rPr>
          <w:rFonts w:eastAsia="Times New Roman"/>
          <w:color w:val="000000"/>
          <w:sz w:val="20"/>
          <w:szCs w:val="20"/>
        </w:rPr>
        <w:t>gains (losses) are determined by identification with the specific asset and are presented as a component of revenue. Changes in the allowance for credit losses are included in Investment gains (losses), net</w:t>
      </w:r>
      <w:r>
        <w:rPr>
          <w:rFonts w:eastAsia="Times New Roman"/>
          <w:color w:val="000000"/>
          <w:sz w:val="20"/>
          <w:szCs w:val="20"/>
        </w:rPr>
        <w:t>.</w:t>
      </w:r>
    </w:p>
    <w:p w:rsidR="00000000" w:rsidRDefault="00775A8F">
      <w:pPr>
        <w:divId w:val="1644650253"/>
        <w:rPr>
          <w:rFonts w:eastAsia="Times New Roman"/>
        </w:rPr>
      </w:pPr>
      <w:r>
        <w:rPr>
          <w:rFonts w:eastAsia="Times New Roman"/>
          <w:color w:val="000000"/>
          <w:sz w:val="20"/>
          <w:szCs w:val="20"/>
        </w:rPr>
        <w:t>Realized and unrealized holding gains (losses) on trading and equity securities are reflected in Net investment income (loss)</w:t>
      </w:r>
      <w:r>
        <w:rPr>
          <w:rFonts w:eastAsia="Times New Roman"/>
          <w:color w:val="000000"/>
          <w:sz w:val="20"/>
          <w:szCs w:val="20"/>
        </w:rPr>
        <w:t>.</w:t>
      </w:r>
    </w:p>
    <w:p w:rsidR="00000000" w:rsidRDefault="00775A8F">
      <w:pPr>
        <w:divId w:val="596795300"/>
        <w:rPr>
          <w:rFonts w:eastAsia="Times New Roman"/>
        </w:rPr>
      </w:pPr>
      <w:r>
        <w:rPr>
          <w:rFonts w:eastAsia="Times New Roman"/>
          <w:color w:val="000000"/>
          <w:sz w:val="20"/>
          <w:szCs w:val="20"/>
        </w:rPr>
        <w:t>Unrealized investment gains (losses) on fixed maturities designated as AFS held by the Company are accounted for as a separate co</w:t>
      </w:r>
      <w:r>
        <w:rPr>
          <w:rFonts w:eastAsia="Times New Roman"/>
          <w:color w:val="000000"/>
          <w:sz w:val="20"/>
          <w:szCs w:val="20"/>
        </w:rPr>
        <w:t xml:space="preserve">mponent of AOCI, net of related deferred income taxes, as are amounts attributable to certain pension operations, Closed Block’s policyholders’ dividend obligation, insurance liability loss recognition, DAC related to UL policies, investment-type products </w:t>
      </w:r>
      <w:r>
        <w:rPr>
          <w:rFonts w:eastAsia="Times New Roman"/>
          <w:color w:val="000000"/>
          <w:sz w:val="20"/>
          <w:szCs w:val="20"/>
        </w:rPr>
        <w:t>and participating traditional life policies.</w:t>
      </w:r>
      <w:r>
        <w:rPr>
          <w:rFonts w:eastAsia="Times New Roman"/>
          <w:color w:val="000000"/>
          <w:sz w:val="20"/>
          <w:szCs w:val="20"/>
        </w:rPr>
        <w:t xml:space="preserve"> </w:t>
      </w:r>
    </w:p>
    <w:p w:rsidR="00000000" w:rsidRDefault="00775A8F">
      <w:pPr>
        <w:divId w:val="1070078017"/>
        <w:rPr>
          <w:rFonts w:eastAsia="Times New Roman"/>
        </w:rPr>
      </w:pPr>
      <w:r>
        <w:rPr>
          <w:rFonts w:eastAsia="Times New Roman"/>
          <w:color w:val="000000"/>
          <w:sz w:val="20"/>
          <w:szCs w:val="20"/>
        </w:rPr>
        <w:t>Changes in unrealized gains (losses) reflect changes in fair value of only those fixed maturities classified as AFS and do not reflect any change in fair value of policyholders’ account balances and future poli</w:t>
      </w:r>
      <w:r>
        <w:rPr>
          <w:rFonts w:eastAsia="Times New Roman"/>
          <w:color w:val="000000"/>
          <w:sz w:val="20"/>
          <w:szCs w:val="20"/>
        </w:rPr>
        <w:t>cy benefits</w:t>
      </w:r>
      <w:r>
        <w:rPr>
          <w:rFonts w:eastAsia="Times New Roman"/>
          <w:color w:val="000000"/>
          <w:sz w:val="20"/>
          <w:szCs w:val="20"/>
        </w:rPr>
        <w:t>.</w:t>
      </w:r>
    </w:p>
    <w:p w:rsidR="00000000" w:rsidRDefault="00775A8F">
      <w:pPr>
        <w:divId w:val="165366866"/>
        <w:rPr>
          <w:rFonts w:eastAsia="Times New Roman"/>
        </w:rPr>
      </w:pPr>
      <w:r>
        <w:rPr>
          <w:rFonts w:eastAsia="Times New Roman"/>
          <w:color w:val="000000"/>
          <w:sz w:val="20"/>
          <w:szCs w:val="20"/>
          <w:u w:val="single"/>
        </w:rPr>
        <w:t>Accounting and Consolidation of VIE</w:t>
      </w:r>
      <w:r>
        <w:rPr>
          <w:rFonts w:eastAsia="Times New Roman"/>
          <w:color w:val="000000"/>
          <w:sz w:val="20"/>
          <w:szCs w:val="20"/>
          <w:u w:val="single"/>
        </w:rPr>
        <w:t>s</w:t>
      </w:r>
    </w:p>
    <w:p w:rsidR="00000000" w:rsidRDefault="00775A8F">
      <w:pPr>
        <w:divId w:val="381486213"/>
        <w:rPr>
          <w:rFonts w:eastAsia="Times New Roman"/>
        </w:rPr>
      </w:pPr>
      <w:r>
        <w:rPr>
          <w:rFonts w:eastAsia="Times New Roman"/>
          <w:color w:val="000000"/>
          <w:sz w:val="20"/>
          <w:szCs w:val="20"/>
        </w:rPr>
        <w:t>For all new investment products and entities developed by the Company (other than Collateralized Debt Obligations (“CDOs”)), the Company first determines whether the entity is a VIE, which involves determin</w:t>
      </w:r>
      <w:r>
        <w:rPr>
          <w:rFonts w:eastAsia="Times New Roman"/>
          <w:color w:val="000000"/>
          <w:sz w:val="20"/>
          <w:szCs w:val="20"/>
        </w:rPr>
        <w:t>ing an entity’s variability and variable interests, identifying the holders of the equity investment at risk and assessing the five characteristics of a VIE. Once an entity has been determined to be a VIE, the Company then identifies the primary beneficiar</w:t>
      </w:r>
      <w:r>
        <w:rPr>
          <w:rFonts w:eastAsia="Times New Roman"/>
          <w:color w:val="000000"/>
          <w:sz w:val="20"/>
          <w:szCs w:val="20"/>
        </w:rPr>
        <w:t>y of the VIE. If the Company is deemed to be the primary beneficiary of the VIE, then the Company consolidates the entity</w:t>
      </w:r>
      <w:r>
        <w:rPr>
          <w:rFonts w:eastAsia="Times New Roman"/>
          <w:color w:val="000000"/>
          <w:sz w:val="20"/>
          <w:szCs w:val="20"/>
        </w:rPr>
        <w:t>.</w:t>
      </w:r>
    </w:p>
    <w:p w:rsidR="00000000" w:rsidRDefault="00775A8F">
      <w:pPr>
        <w:divId w:val="1502819068"/>
        <w:rPr>
          <w:rFonts w:eastAsia="Times New Roman"/>
        </w:rPr>
      </w:pPr>
      <w:r>
        <w:rPr>
          <w:rFonts w:eastAsia="Times New Roman"/>
          <w:color w:val="000000"/>
          <w:sz w:val="20"/>
          <w:szCs w:val="20"/>
        </w:rPr>
        <w:t>Management of the Company reviews quarterly its investment management agreements and its investments in, and other financial arrangem</w:t>
      </w:r>
      <w:r>
        <w:rPr>
          <w:rFonts w:eastAsia="Times New Roman"/>
          <w:color w:val="000000"/>
          <w:sz w:val="20"/>
          <w:szCs w:val="20"/>
        </w:rPr>
        <w:t>ents with, certain entities that hold client assets under management (“AUM”) to determine the entities that the Company is required to consolidate under this guidance. These entities include certain mutual fund products, hedge funds, structured products, g</w:t>
      </w:r>
      <w:r>
        <w:rPr>
          <w:rFonts w:eastAsia="Times New Roman"/>
          <w:color w:val="000000"/>
          <w:sz w:val="20"/>
          <w:szCs w:val="20"/>
        </w:rPr>
        <w:t>roup trusts, collective investment trusts and limited partnerships</w:t>
      </w:r>
      <w:r>
        <w:rPr>
          <w:rFonts w:eastAsia="Times New Roman"/>
          <w:color w:val="000000"/>
          <w:sz w:val="20"/>
          <w:szCs w:val="20"/>
        </w:rPr>
        <w:t>.</w:t>
      </w:r>
    </w:p>
    <w:p w:rsidR="00000000" w:rsidRDefault="00775A8F">
      <w:pPr>
        <w:divId w:val="1956787354"/>
        <w:rPr>
          <w:rFonts w:eastAsia="Times New Roman"/>
        </w:rPr>
      </w:pPr>
      <w:r>
        <w:rPr>
          <w:rFonts w:eastAsia="Times New Roman"/>
          <w:color w:val="000000"/>
          <w:sz w:val="20"/>
          <w:szCs w:val="20"/>
        </w:rPr>
        <w:t>The analysis performed to identify variable interests held, determine whether entities are VIEs or voting interest entities (“VOEs”), and evaluate whether the Company has a controlling fin</w:t>
      </w:r>
      <w:r>
        <w:rPr>
          <w:rFonts w:eastAsia="Times New Roman"/>
          <w:color w:val="000000"/>
          <w:sz w:val="20"/>
          <w:szCs w:val="20"/>
        </w:rPr>
        <w:t>ancial interest in such entities requires the exercise of judgment and is updated on a continuous basis as circumstances change or new entities are developed. The primary beneficiary evaluation generally is performed qualitatively based on all facts and ci</w:t>
      </w:r>
      <w:r>
        <w:rPr>
          <w:rFonts w:eastAsia="Times New Roman"/>
          <w:color w:val="000000"/>
          <w:sz w:val="20"/>
          <w:szCs w:val="20"/>
        </w:rPr>
        <w:t>rcumstances, including consideration of economic interests in the VIE held directly and indirectly through related parties and entities under common control, as well as quantitatively, as appropriate</w:t>
      </w:r>
      <w:r>
        <w:rPr>
          <w:rFonts w:eastAsia="Times New Roman"/>
          <w:color w:val="000000"/>
          <w:sz w:val="20"/>
          <w:szCs w:val="20"/>
        </w:rPr>
        <w:t>.</w:t>
      </w:r>
    </w:p>
    <w:p w:rsidR="00000000" w:rsidRDefault="00775A8F">
      <w:pPr>
        <w:jc w:val="both"/>
        <w:divId w:val="366223661"/>
        <w:rPr>
          <w:rFonts w:eastAsia="Times New Roman"/>
        </w:rPr>
      </w:pPr>
      <w:r>
        <w:rPr>
          <w:rFonts w:eastAsia="Times New Roman"/>
          <w:b/>
          <w:bCs/>
          <w:i/>
          <w:iCs/>
          <w:color w:val="000000"/>
          <w:sz w:val="20"/>
          <w:szCs w:val="20"/>
        </w:rPr>
        <w:t>Consolidated VIE</w:t>
      </w:r>
      <w:r>
        <w:rPr>
          <w:rFonts w:eastAsia="Times New Roman"/>
          <w:b/>
          <w:bCs/>
          <w:i/>
          <w:iCs/>
          <w:color w:val="000000"/>
          <w:sz w:val="20"/>
          <w:szCs w:val="20"/>
        </w:rPr>
        <w:t>s</w:t>
      </w:r>
    </w:p>
    <w:p w:rsidR="00000000" w:rsidRDefault="00775A8F">
      <w:pPr>
        <w:divId w:val="1012955391"/>
        <w:rPr>
          <w:rFonts w:eastAsia="Times New Roman"/>
        </w:rPr>
      </w:pPr>
      <w:r>
        <w:rPr>
          <w:rFonts w:eastAsia="Times New Roman"/>
          <w:color w:val="000000"/>
          <w:sz w:val="20"/>
          <w:szCs w:val="20"/>
        </w:rPr>
        <w:t>At June 30, 2020 and December 31, 201</w:t>
      </w:r>
      <w:r>
        <w:rPr>
          <w:rFonts w:eastAsia="Times New Roman"/>
          <w:color w:val="000000"/>
          <w:sz w:val="20"/>
          <w:szCs w:val="20"/>
        </w:rPr>
        <w:t>9, the Company consolidated one real estate joint venture for which it was identified as the primary beneficiary under the VIE model. The consolidated entity is jointly owned by Equitable Life Insurance Company (“Equitable Financial”) and AXA France and ho</w:t>
      </w:r>
      <w:r>
        <w:rPr>
          <w:rFonts w:eastAsia="Times New Roman"/>
          <w:color w:val="000000"/>
          <w:sz w:val="20"/>
          <w:szCs w:val="20"/>
        </w:rPr>
        <w:t xml:space="preserve">lds an investment in a real estate venture. Included in Other invested assets in the Company’s consolidated balance sheets at June 30, 2020 and December 31, 2019 are total assets of $30 million and $32 million, respectively, related to this VIE, primarily </w:t>
      </w:r>
      <w:r>
        <w:rPr>
          <w:rFonts w:eastAsia="Times New Roman"/>
          <w:color w:val="000000"/>
          <w:sz w:val="20"/>
          <w:szCs w:val="20"/>
        </w:rPr>
        <w:t>resulting from the consolidated presentation of this real estate joint venture as real estate held-for-sale</w:t>
      </w:r>
      <w:r>
        <w:rPr>
          <w:rFonts w:eastAsia="Times New Roman"/>
          <w:color w:val="000000"/>
          <w:sz w:val="20"/>
          <w:szCs w:val="20"/>
        </w:rPr>
        <w:t>.</w:t>
      </w:r>
    </w:p>
    <w:p w:rsidR="00000000" w:rsidRDefault="00775A8F">
      <w:pPr>
        <w:jc w:val="both"/>
        <w:divId w:val="1982809253"/>
        <w:rPr>
          <w:rFonts w:eastAsia="Times New Roman"/>
        </w:rPr>
      </w:pPr>
      <w:r>
        <w:rPr>
          <w:rFonts w:eastAsia="Times New Roman"/>
          <w:b/>
          <w:bCs/>
          <w:i/>
          <w:iCs/>
          <w:color w:val="000000"/>
          <w:sz w:val="20"/>
          <w:szCs w:val="20"/>
        </w:rPr>
        <w:t>Consolidated AB-Sponsored Investment Fund</w:t>
      </w:r>
      <w:r>
        <w:rPr>
          <w:rFonts w:eastAsia="Times New Roman"/>
          <w:b/>
          <w:bCs/>
          <w:i/>
          <w:iCs/>
          <w:color w:val="000000"/>
          <w:sz w:val="20"/>
          <w:szCs w:val="20"/>
        </w:rPr>
        <w:t>s</w:t>
      </w:r>
    </w:p>
    <w:p w:rsidR="00000000" w:rsidRDefault="00775A8F">
      <w:pPr>
        <w:divId w:val="312638416"/>
        <w:rPr>
          <w:rFonts w:eastAsia="Times New Roman"/>
        </w:rPr>
      </w:pPr>
      <w:r>
        <w:rPr>
          <w:rFonts w:eastAsia="Times New Roman"/>
          <w:color w:val="000000"/>
          <w:sz w:val="20"/>
          <w:szCs w:val="20"/>
        </w:rPr>
        <w:t>Included in the Company’s consolidated balance sheet at June 30, 2020 and December 31, 2019 are assets o</w:t>
      </w:r>
      <w:r>
        <w:rPr>
          <w:rFonts w:eastAsia="Times New Roman"/>
          <w:color w:val="000000"/>
          <w:sz w:val="20"/>
          <w:szCs w:val="20"/>
        </w:rPr>
        <w:t xml:space="preserve">f $161 million and $424 million, liabilities of $6 million and $12 million, and redeemable noncontrolling interests of $35 million and $273 million, respectively, associated with the consolidation of AB-sponsored investment funds under the VIE model. Also </w:t>
      </w:r>
      <w:r>
        <w:rPr>
          <w:rFonts w:eastAsia="Times New Roman"/>
          <w:color w:val="000000"/>
          <w:sz w:val="20"/>
          <w:szCs w:val="20"/>
        </w:rPr>
        <w:t>included in the Company’s consolidated balance sheets at June 30, 2020 and December 31, 2019 are assets of $114 million and $188 million, liabilities of $20 million and $19 million, and redeemable noncontrolling interests of $16 million and $52 million, re</w:t>
      </w:r>
      <w:r>
        <w:rPr>
          <w:rFonts w:eastAsia="Times New Roman"/>
          <w:color w:val="000000"/>
          <w:sz w:val="20"/>
          <w:szCs w:val="20"/>
        </w:rPr>
        <w:t xml:space="preserve">spectively, from consolidation of AB-sponsored investment funds under the VOE model. The assets of these consolidated funds are presented within Other invested assets and Cash and cash equivalents, and liabilities of these consolidated funds are presented </w:t>
      </w:r>
      <w:r>
        <w:rPr>
          <w:rFonts w:eastAsia="Times New Roman"/>
          <w:color w:val="000000"/>
          <w:sz w:val="20"/>
          <w:szCs w:val="20"/>
        </w:rPr>
        <w:t>with Other liabilities in the Company’s consolidated balance sheets; ownership interests not held by the Company relating to consolidated VIEs and VOEs are presented either as redeemable or non-redeemable noncontrolling interests, as appropriate. Redeemabl</w:t>
      </w:r>
      <w:r>
        <w:rPr>
          <w:rFonts w:eastAsia="Times New Roman"/>
          <w:color w:val="000000"/>
          <w:sz w:val="20"/>
          <w:szCs w:val="20"/>
        </w:rPr>
        <w:t>e noncontrolling interests are presented in mezzanine equity and non-redeemable noncontrolling interests are presented within permanent equity. The Company is not required to provide financial support to these Company-sponsored investment funds, and only t</w:t>
      </w:r>
      <w:r>
        <w:rPr>
          <w:rFonts w:eastAsia="Times New Roman"/>
          <w:color w:val="000000"/>
          <w:sz w:val="20"/>
          <w:szCs w:val="20"/>
        </w:rPr>
        <w:t>he assets of such funds are available to settle each fund’s own liabilities</w:t>
      </w:r>
      <w:r>
        <w:rPr>
          <w:rFonts w:eastAsia="Times New Roman"/>
          <w:color w:val="000000"/>
          <w:sz w:val="20"/>
          <w:szCs w:val="20"/>
        </w:rPr>
        <w:t>.</w:t>
      </w:r>
    </w:p>
    <w:p w:rsidR="00000000" w:rsidRDefault="00775A8F">
      <w:pPr>
        <w:jc w:val="center"/>
        <w:divId w:val="2063669095"/>
        <w:rPr>
          <w:rFonts w:eastAsia="Times New Roman"/>
        </w:rPr>
      </w:pPr>
      <w:r>
        <w:rPr>
          <w:rFonts w:eastAsia="Times New Roman"/>
          <w:color w:val="000000"/>
          <w:sz w:val="20"/>
          <w:szCs w:val="20"/>
        </w:rPr>
        <w:t>1</w:t>
      </w:r>
      <w:r>
        <w:rPr>
          <w:rFonts w:eastAsia="Times New Roman"/>
          <w:color w:val="000000"/>
          <w:sz w:val="20"/>
          <w:szCs w:val="20"/>
        </w:rPr>
        <w:t>6</w:t>
      </w:r>
    </w:p>
    <w:p w:rsidR="00000000" w:rsidRDefault="00775A8F">
      <w:pPr>
        <w:rPr>
          <w:rFonts w:eastAsia="Times New Roman"/>
        </w:rPr>
      </w:pPr>
      <w:r>
        <w:rPr>
          <w:rFonts w:eastAsia="Times New Roman"/>
        </w:rPr>
        <w:pict>
          <v:rect id="_x0000_i1042" style="width:0;height:1.5pt" o:hralign="center" o:hrstd="t" o:hr="t" fillcolor="#a0a0a0" stroked="f"/>
        </w:pict>
      </w:r>
    </w:p>
    <w:p w:rsidR="00000000" w:rsidRDefault="00775A8F">
      <w:pPr>
        <w:jc w:val="center"/>
        <w:divId w:val="1254439144"/>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254439144"/>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jc w:val="both"/>
        <w:divId w:val="975374265"/>
        <w:rPr>
          <w:rFonts w:eastAsia="Times New Roman"/>
        </w:rPr>
      </w:pPr>
      <w:r>
        <w:rPr>
          <w:rFonts w:eastAsia="Times New Roman"/>
          <w:b/>
          <w:bCs/>
          <w:i/>
          <w:iCs/>
          <w:color w:val="000000"/>
          <w:sz w:val="20"/>
          <w:szCs w:val="20"/>
        </w:rPr>
        <w:t>Non-Consolidated VIE</w:t>
      </w:r>
      <w:r>
        <w:rPr>
          <w:rFonts w:eastAsia="Times New Roman"/>
          <w:b/>
          <w:bCs/>
          <w:i/>
          <w:iCs/>
          <w:color w:val="000000"/>
          <w:sz w:val="20"/>
          <w:szCs w:val="20"/>
        </w:rPr>
        <w:t>s</w:t>
      </w:r>
    </w:p>
    <w:p w:rsidR="00000000" w:rsidRDefault="00775A8F">
      <w:pPr>
        <w:divId w:val="1173716236"/>
        <w:rPr>
          <w:rFonts w:eastAsia="Times New Roman"/>
        </w:rPr>
      </w:pPr>
      <w:r>
        <w:rPr>
          <w:rFonts w:eastAsia="Times New Roman"/>
          <w:color w:val="000000"/>
          <w:sz w:val="20"/>
          <w:szCs w:val="20"/>
        </w:rPr>
        <w:t>At June 30, 2020 and Decemb</w:t>
      </w:r>
      <w:r>
        <w:rPr>
          <w:rFonts w:eastAsia="Times New Roman"/>
          <w:color w:val="000000"/>
          <w:sz w:val="20"/>
          <w:szCs w:val="20"/>
        </w:rPr>
        <w:t>er 31, 2019, respectively, the Company held approximately $1.2 billion and $1.2 billion of investment assets in the form of equity interests issued by non-corporate legal entities determined under the guidance to be VIEs, such as limited partnerships and l</w:t>
      </w:r>
      <w:r>
        <w:rPr>
          <w:rFonts w:eastAsia="Times New Roman"/>
          <w:color w:val="000000"/>
          <w:sz w:val="20"/>
          <w:szCs w:val="20"/>
        </w:rPr>
        <w:t>imited liability companies, including hedge funds, private equity funds and real estate-related funds. As an equity investor, the Company is considered to have a variable interest in each of these VIEs as a result of its participation in the risks and/or r</w:t>
      </w:r>
      <w:r>
        <w:rPr>
          <w:rFonts w:eastAsia="Times New Roman"/>
          <w:color w:val="000000"/>
          <w:sz w:val="20"/>
          <w:szCs w:val="20"/>
        </w:rPr>
        <w:t>ewards these funds were designed to create by their defined portfolio objectives and strategies. Primarily through qualitative assessment, including consideration of related party interests or other financial arrangements, if any, the Company was not ident</w:t>
      </w:r>
      <w:r>
        <w:rPr>
          <w:rFonts w:eastAsia="Times New Roman"/>
          <w:color w:val="000000"/>
          <w:sz w:val="20"/>
          <w:szCs w:val="20"/>
        </w:rPr>
        <w:t>ified as primary beneficiary of any of these VIEs, largely due to its inability to direct the activities that most significantly impact their economic performance. Consequently, the Company continues to reflect these equity interests in the consolidated ba</w:t>
      </w:r>
      <w:r>
        <w:rPr>
          <w:rFonts w:eastAsia="Times New Roman"/>
          <w:color w:val="000000"/>
          <w:sz w:val="20"/>
          <w:szCs w:val="20"/>
        </w:rPr>
        <w:t>lance sheets as Other equity investments and applies the equity method of accounting for these positions. The net assets of these non-consolidated VIEs are approximately $146.6 billion and $160.2 billion at June 30, 2020 and December 31, 2019, respectively</w:t>
      </w:r>
      <w:r>
        <w:rPr>
          <w:rFonts w:eastAsia="Times New Roman"/>
          <w:color w:val="000000"/>
          <w:sz w:val="20"/>
          <w:szCs w:val="20"/>
        </w:rPr>
        <w:t>. The Company’s maximum exposure to loss from its direct involvement with these VIEs is the carrying value of its investment of $1.2 billion and $1.2 billion and approximately $1.2 billion and $1.1 billion of unfunded commitments at June 30, 2020 and Decem</w:t>
      </w:r>
      <w:r>
        <w:rPr>
          <w:rFonts w:eastAsia="Times New Roman"/>
          <w:color w:val="000000"/>
          <w:sz w:val="20"/>
          <w:szCs w:val="20"/>
        </w:rPr>
        <w:t>ber 31, 2019, respectively. The Company has no further economic interest in these VIEs in the form of guarantees, derivatives, credit enhancements or similar instruments and obligations</w:t>
      </w:r>
      <w:r>
        <w:rPr>
          <w:rFonts w:eastAsia="Times New Roman"/>
          <w:color w:val="000000"/>
          <w:sz w:val="20"/>
          <w:szCs w:val="20"/>
        </w:rPr>
        <w:t>.</w:t>
      </w:r>
    </w:p>
    <w:p w:rsidR="00000000" w:rsidRDefault="00775A8F">
      <w:pPr>
        <w:divId w:val="1809201924"/>
        <w:rPr>
          <w:rFonts w:eastAsia="Times New Roman"/>
        </w:rPr>
      </w:pPr>
      <w:r>
        <w:rPr>
          <w:rFonts w:eastAsia="Times New Roman"/>
          <w:color w:val="000000"/>
          <w:sz w:val="20"/>
          <w:szCs w:val="20"/>
        </w:rPr>
        <w:t>In addition, at June 30, 2020 and December 31, 2019, Other invested a</w:t>
      </w:r>
      <w:r>
        <w:rPr>
          <w:rFonts w:eastAsia="Times New Roman"/>
          <w:color w:val="000000"/>
          <w:sz w:val="20"/>
          <w:szCs w:val="20"/>
        </w:rPr>
        <w:t>ssets includes real estate held-for-sale of $(5) million and $(5) million, respectively, as related to one non-consolidated real estate joint venture</w:t>
      </w:r>
      <w:r>
        <w:rPr>
          <w:rFonts w:eastAsia="Times New Roman"/>
          <w:color w:val="000000"/>
          <w:sz w:val="20"/>
          <w:szCs w:val="20"/>
        </w:rPr>
        <w:t>.</w:t>
      </w:r>
    </w:p>
    <w:p w:rsidR="00000000" w:rsidRDefault="00775A8F">
      <w:pPr>
        <w:jc w:val="both"/>
        <w:divId w:val="611985352"/>
        <w:rPr>
          <w:rFonts w:eastAsia="Times New Roman"/>
        </w:rPr>
      </w:pPr>
      <w:r>
        <w:rPr>
          <w:rFonts w:eastAsia="Times New Roman"/>
          <w:b/>
          <w:bCs/>
          <w:i/>
          <w:iCs/>
          <w:color w:val="000000"/>
          <w:sz w:val="20"/>
          <w:szCs w:val="20"/>
        </w:rPr>
        <w:t>Non-Consolidated AB-Sponsored Investment Product</w:t>
      </w:r>
      <w:r>
        <w:rPr>
          <w:rFonts w:eastAsia="Times New Roman"/>
          <w:b/>
          <w:bCs/>
          <w:i/>
          <w:iCs/>
          <w:color w:val="000000"/>
          <w:sz w:val="20"/>
          <w:szCs w:val="20"/>
        </w:rPr>
        <w:t>s</w:t>
      </w:r>
    </w:p>
    <w:p w:rsidR="00000000" w:rsidRDefault="00775A8F">
      <w:pPr>
        <w:divId w:val="673650613"/>
        <w:rPr>
          <w:rFonts w:eastAsia="Times New Roman"/>
        </w:rPr>
      </w:pPr>
      <w:r>
        <w:rPr>
          <w:rFonts w:eastAsia="Times New Roman"/>
          <w:color w:val="000000"/>
          <w:sz w:val="20"/>
          <w:szCs w:val="20"/>
        </w:rPr>
        <w:t>As of June 30, 2020 and December 31, 2019, the net asse</w:t>
      </w:r>
      <w:r>
        <w:rPr>
          <w:rFonts w:eastAsia="Times New Roman"/>
          <w:color w:val="000000"/>
          <w:sz w:val="20"/>
          <w:szCs w:val="20"/>
        </w:rPr>
        <w:t>ts of investment products sponsored by AB that are non-consolidated VIEs are approximately $63.5 billion and $79.3 billion, respectively. The Company’s maximum exposure to loss from its direct involvement with these VIEs is its investment of $13 million an</w:t>
      </w:r>
      <w:r>
        <w:rPr>
          <w:rFonts w:eastAsia="Times New Roman"/>
          <w:color w:val="000000"/>
          <w:sz w:val="20"/>
          <w:szCs w:val="20"/>
        </w:rPr>
        <w:t>d $8 million at June 30, 2020 and December 31, 2019, respectively. The Company has no further commitments to or economic interest in these VIEs</w:t>
      </w:r>
      <w:r>
        <w:rPr>
          <w:rFonts w:eastAsia="Times New Roman"/>
          <w:color w:val="000000"/>
          <w:sz w:val="20"/>
          <w:szCs w:val="20"/>
        </w:rPr>
        <w:t>.</w:t>
      </w:r>
    </w:p>
    <w:p w:rsidR="00000000" w:rsidRDefault="00775A8F">
      <w:pPr>
        <w:divId w:val="190845184"/>
        <w:rPr>
          <w:rFonts w:eastAsia="Times New Roman"/>
        </w:rPr>
      </w:pPr>
      <w:r>
        <w:rPr>
          <w:rFonts w:eastAsia="Times New Roman"/>
          <w:color w:val="000000"/>
          <w:sz w:val="20"/>
          <w:szCs w:val="20"/>
          <w:u w:val="single"/>
        </w:rPr>
        <w:t>Assumption Updates and Model Change</w:t>
      </w:r>
      <w:r>
        <w:rPr>
          <w:rFonts w:eastAsia="Times New Roman"/>
          <w:color w:val="000000"/>
          <w:sz w:val="20"/>
          <w:szCs w:val="20"/>
          <w:u w:val="single"/>
        </w:rPr>
        <w:t>s</w:t>
      </w:r>
    </w:p>
    <w:p w:rsidR="00000000" w:rsidRDefault="00775A8F">
      <w:pPr>
        <w:divId w:val="801577680"/>
        <w:rPr>
          <w:rFonts w:eastAsia="Times New Roman"/>
        </w:rPr>
      </w:pPr>
      <w:r>
        <w:rPr>
          <w:rFonts w:eastAsia="Times New Roman"/>
          <w:color w:val="000000"/>
          <w:sz w:val="20"/>
          <w:szCs w:val="20"/>
        </w:rPr>
        <w:t>The Company conducts its annual review of its assumptions and models durin</w:t>
      </w:r>
      <w:r>
        <w:rPr>
          <w:rFonts w:eastAsia="Times New Roman"/>
          <w:color w:val="000000"/>
          <w:sz w:val="20"/>
          <w:szCs w:val="20"/>
        </w:rPr>
        <w:t>g the third quarter of each year. The annual review encompasses assumptions underlying the valuation of unearned revenue liabilities, embedded derivatives for our insurance business, liabilities for future policyholder benefits, DAC and deferred sales indu</w:t>
      </w:r>
      <w:r>
        <w:rPr>
          <w:rFonts w:eastAsia="Times New Roman"/>
          <w:color w:val="000000"/>
          <w:sz w:val="20"/>
          <w:szCs w:val="20"/>
        </w:rPr>
        <w:t>cement (“DSI”) assets.</w:t>
      </w:r>
      <w:r>
        <w:rPr>
          <w:rFonts w:eastAsia="Times New Roman"/>
          <w:color w:val="000000"/>
          <w:sz w:val="20"/>
          <w:szCs w:val="20"/>
        </w:rPr>
        <w:t xml:space="preserve"> </w:t>
      </w:r>
    </w:p>
    <w:p w:rsidR="00000000" w:rsidRDefault="00775A8F">
      <w:pPr>
        <w:divId w:val="793334002"/>
        <w:rPr>
          <w:rFonts w:eastAsia="Times New Roman"/>
        </w:rPr>
      </w:pPr>
      <w:r>
        <w:rPr>
          <w:rFonts w:eastAsia="Times New Roman"/>
          <w:color w:val="000000"/>
          <w:sz w:val="20"/>
          <w:szCs w:val="20"/>
        </w:rPr>
        <w:t>However, the Company updates its assumptions as needed in the event it becomes aware of economic conditions or events that could require a change in assumptions that it believes may have a significant impact to the carrying value of</w:t>
      </w:r>
      <w:r>
        <w:rPr>
          <w:rFonts w:eastAsia="Times New Roman"/>
          <w:color w:val="000000"/>
          <w:sz w:val="20"/>
          <w:szCs w:val="20"/>
        </w:rPr>
        <w:t xml:space="preserve"> product liabilities and assets and consequently materially impact its earnings in the period of the change</w:t>
      </w:r>
      <w:r>
        <w:rPr>
          <w:rFonts w:eastAsia="Times New Roman"/>
          <w:color w:val="000000"/>
          <w:sz w:val="20"/>
          <w:szCs w:val="20"/>
        </w:rPr>
        <w:t>.</w:t>
      </w:r>
    </w:p>
    <w:p w:rsidR="00000000" w:rsidRDefault="00775A8F">
      <w:pPr>
        <w:divId w:val="1715764723"/>
        <w:rPr>
          <w:rFonts w:eastAsia="Times New Roman"/>
        </w:rPr>
      </w:pPr>
      <w:r>
        <w:rPr>
          <w:rFonts w:eastAsia="Times New Roman"/>
          <w:color w:val="000000"/>
          <w:sz w:val="20"/>
          <w:szCs w:val="20"/>
        </w:rPr>
        <w:t>In the first quarter of 2020, due to the extraordinary economic conditions driven by the COVID-19 pandemic, the Company updated its interest rate a</w:t>
      </w:r>
      <w:r>
        <w:rPr>
          <w:rFonts w:eastAsia="Times New Roman"/>
          <w:color w:val="000000"/>
          <w:sz w:val="20"/>
          <w:szCs w:val="20"/>
        </w:rPr>
        <w:t>ssumption to grade from the current interest rate environment to an ultimate five-year historical average over a 10-year period.  As such, the 10-year U.S. Treasury yield grades from the current level to an ultimate 5-year average of 2.25%. The Company det</w:t>
      </w:r>
      <w:r>
        <w:rPr>
          <w:rFonts w:eastAsia="Times New Roman"/>
          <w:color w:val="000000"/>
          <w:sz w:val="20"/>
          <w:szCs w:val="20"/>
        </w:rPr>
        <w:t>ermined that no assumption updates were necessary in the second quarter of 2020.</w:t>
      </w:r>
      <w:r>
        <w:rPr>
          <w:rFonts w:eastAsia="Times New Roman"/>
          <w:color w:val="000000"/>
          <w:sz w:val="20"/>
          <w:szCs w:val="20"/>
        </w:rPr>
        <w:t xml:space="preserve"> </w:t>
      </w:r>
    </w:p>
    <w:p w:rsidR="00000000" w:rsidRDefault="00775A8F">
      <w:pPr>
        <w:divId w:val="2028555087"/>
        <w:rPr>
          <w:rFonts w:eastAsia="Times New Roman"/>
        </w:rPr>
      </w:pPr>
      <w:r>
        <w:rPr>
          <w:rFonts w:eastAsia="Times New Roman"/>
          <w:color w:val="000000"/>
          <w:sz w:val="20"/>
          <w:szCs w:val="20"/>
        </w:rPr>
        <w:t>The low interest rate environment and update to the interest rate assumption caused a loss recognition event for the Company’s life interest-sensitive products, as well as to</w:t>
      </w:r>
      <w:r>
        <w:rPr>
          <w:rFonts w:eastAsia="Times New Roman"/>
          <w:color w:val="000000"/>
          <w:sz w:val="20"/>
          <w:szCs w:val="20"/>
        </w:rPr>
        <w:t xml:space="preserve"> certain run-off business. This loss recognition event caused an acceleration of DAC amortization on the life interest-sensitive products and an increase in the premium deficiency reserve on the run-off business in the first quarter of 2020.</w:t>
      </w:r>
      <w:r>
        <w:rPr>
          <w:rFonts w:eastAsia="Times New Roman"/>
          <w:color w:val="000000"/>
          <w:sz w:val="20"/>
          <w:szCs w:val="20"/>
        </w:rPr>
        <w:t xml:space="preserve"> </w:t>
      </w:r>
    </w:p>
    <w:p w:rsidR="00000000" w:rsidRDefault="00775A8F">
      <w:pPr>
        <w:divId w:val="875580848"/>
        <w:rPr>
          <w:rFonts w:eastAsia="Times New Roman"/>
        </w:rPr>
      </w:pPr>
      <w:r>
        <w:rPr>
          <w:rFonts w:eastAsia="Times New Roman"/>
          <w:color w:val="000000"/>
          <w:sz w:val="20"/>
          <w:szCs w:val="20"/>
        </w:rPr>
        <w:t>The net impac</w:t>
      </w:r>
      <w:r>
        <w:rPr>
          <w:rFonts w:eastAsia="Times New Roman"/>
          <w:color w:val="000000"/>
          <w:sz w:val="20"/>
          <w:szCs w:val="20"/>
        </w:rPr>
        <w:t xml:space="preserve">t of the economic assumption update in the first six months of 2020 increased Policyholders’ benefits by $1.4 billion, increased Amortization of DAC by $1.1 billion, increased Policy charges and fee income by $46 million and decreased Interest credited to </w:t>
      </w:r>
      <w:r>
        <w:rPr>
          <w:rFonts w:eastAsia="Times New Roman"/>
          <w:color w:val="000000"/>
          <w:sz w:val="20"/>
          <w:szCs w:val="20"/>
        </w:rPr>
        <w:t>policyholders’ account balances by $6 million. This resulted in a decrease in Income (loss) from continuing operations, before income taxes of $2.5 billion and decreased Net income (loss) of $1.9 billion</w:t>
      </w:r>
      <w:r>
        <w:rPr>
          <w:rFonts w:eastAsia="Times New Roman"/>
          <w:color w:val="000000"/>
          <w:sz w:val="20"/>
          <w:szCs w:val="20"/>
        </w:rPr>
        <w:t>.</w:t>
      </w:r>
    </w:p>
    <w:p w:rsidR="00000000" w:rsidRDefault="00775A8F">
      <w:pPr>
        <w:divId w:val="1735661475"/>
        <w:rPr>
          <w:rFonts w:eastAsia="Times New Roman"/>
        </w:rPr>
      </w:pPr>
      <w:r>
        <w:rPr>
          <w:rFonts w:eastAsia="Times New Roman"/>
          <w:color w:val="000000"/>
          <w:sz w:val="20"/>
          <w:szCs w:val="20"/>
        </w:rPr>
        <w:t>Also in the first quarter of 2020, the Company adop</w:t>
      </w:r>
      <w:r>
        <w:rPr>
          <w:rFonts w:eastAsia="Times New Roman"/>
          <w:color w:val="000000"/>
          <w:sz w:val="20"/>
          <w:szCs w:val="20"/>
        </w:rPr>
        <w:t>ted a new economic scenario generator to calculate the fair value of the GMIB reinsurance contract asset and GMxB derivative features liability, eliminating reliance on AXA Group for scenario production. The new economic scenario generator allows for a tig</w:t>
      </w:r>
      <w:r>
        <w:rPr>
          <w:rFonts w:eastAsia="Times New Roman"/>
          <w:color w:val="000000"/>
          <w:sz w:val="20"/>
          <w:szCs w:val="20"/>
        </w:rPr>
        <w:t>hter calibration of U.S. indices, better reflecting the Company’s actual portfolio. The net impact of the new economic scenario generator resulted in an increase in Income (loss) from continuing operations, before income taxes of $201 million, and an incre</w:t>
      </w:r>
      <w:r>
        <w:rPr>
          <w:rFonts w:eastAsia="Times New Roman"/>
          <w:color w:val="000000"/>
          <w:sz w:val="20"/>
          <w:szCs w:val="20"/>
        </w:rPr>
        <w:t>ase to Net Income (loss) of $159 million during the first six months of 2020</w:t>
      </w:r>
      <w:r>
        <w:rPr>
          <w:rFonts w:eastAsia="Times New Roman"/>
          <w:color w:val="000000"/>
          <w:sz w:val="20"/>
          <w:szCs w:val="20"/>
        </w:rPr>
        <w:t>.</w:t>
      </w:r>
    </w:p>
    <w:p w:rsidR="00000000" w:rsidRDefault="00775A8F">
      <w:pPr>
        <w:jc w:val="center"/>
        <w:divId w:val="1148783425"/>
        <w:rPr>
          <w:rFonts w:eastAsia="Times New Roman"/>
        </w:rPr>
      </w:pPr>
      <w:r>
        <w:rPr>
          <w:rFonts w:eastAsia="Times New Roman"/>
          <w:color w:val="000000"/>
          <w:sz w:val="20"/>
          <w:szCs w:val="20"/>
        </w:rPr>
        <w:t>1</w:t>
      </w:r>
      <w:r>
        <w:rPr>
          <w:rFonts w:eastAsia="Times New Roman"/>
          <w:color w:val="000000"/>
          <w:sz w:val="20"/>
          <w:szCs w:val="20"/>
        </w:rPr>
        <w:t>7</w:t>
      </w:r>
    </w:p>
    <w:p w:rsidR="00000000" w:rsidRDefault="00775A8F">
      <w:pPr>
        <w:rPr>
          <w:rFonts w:eastAsia="Times New Roman"/>
        </w:rPr>
      </w:pPr>
      <w:r>
        <w:rPr>
          <w:rFonts w:eastAsia="Times New Roman"/>
        </w:rPr>
        <w:pict>
          <v:rect id="_x0000_i1043" style="width:0;height:1.5pt" o:hralign="center" o:hrstd="t" o:hr="t" fillcolor="#a0a0a0" stroked="f"/>
        </w:pict>
      </w:r>
    </w:p>
    <w:p w:rsidR="00000000" w:rsidRDefault="00775A8F">
      <w:pPr>
        <w:jc w:val="center"/>
        <w:divId w:val="36969312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36969312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503084292"/>
        <w:rPr>
          <w:rFonts w:eastAsia="Times New Roman"/>
        </w:rPr>
      </w:pPr>
      <w:r>
        <w:rPr>
          <w:rFonts w:eastAsia="Times New Roman"/>
          <w:b/>
          <w:bCs/>
          <w:color w:val="000000"/>
          <w:sz w:val="20"/>
          <w:szCs w:val="20"/>
        </w:rPr>
        <w:t>3) INVESTMENT</w:t>
      </w:r>
      <w:r>
        <w:rPr>
          <w:rFonts w:eastAsia="Times New Roman"/>
          <w:b/>
          <w:bCs/>
          <w:color w:val="000000"/>
          <w:sz w:val="20"/>
          <w:szCs w:val="20"/>
        </w:rPr>
        <w:t>S</w:t>
      </w:r>
    </w:p>
    <w:p w:rsidR="00000000" w:rsidRDefault="00775A8F">
      <w:pPr>
        <w:divId w:val="360979977"/>
        <w:rPr>
          <w:rFonts w:eastAsia="Times New Roman"/>
        </w:rPr>
      </w:pPr>
      <w:r>
        <w:rPr>
          <w:rFonts w:eastAsia="Times New Roman"/>
          <w:color w:val="000000"/>
          <w:sz w:val="20"/>
          <w:szCs w:val="20"/>
          <w:u w:val="single"/>
        </w:rPr>
        <w:t>Fixed Maturities Available-for-Sal</w:t>
      </w:r>
      <w:r>
        <w:rPr>
          <w:rFonts w:eastAsia="Times New Roman"/>
          <w:color w:val="000000"/>
          <w:sz w:val="20"/>
          <w:szCs w:val="20"/>
          <w:u w:val="single"/>
        </w:rPr>
        <w:t>e</w:t>
      </w:r>
    </w:p>
    <w:p w:rsidR="00000000" w:rsidRDefault="00775A8F">
      <w:pPr>
        <w:divId w:val="1337228901"/>
        <w:rPr>
          <w:rFonts w:eastAsia="Times New Roman"/>
        </w:rPr>
      </w:pPr>
      <w:r>
        <w:rPr>
          <w:rFonts w:eastAsia="Times New Roman"/>
          <w:color w:val="000000"/>
          <w:sz w:val="20"/>
          <w:szCs w:val="20"/>
        </w:rPr>
        <w:t>Accounting for credit impairments of fixed maturities classified as AFS has ch</w:t>
      </w:r>
      <w:r>
        <w:rPr>
          <w:rFonts w:eastAsia="Times New Roman"/>
          <w:color w:val="000000"/>
          <w:sz w:val="20"/>
          <w:szCs w:val="20"/>
        </w:rPr>
        <w:t>anged from a direct write-down, or other-than-temporary impairment (“OTTI”) approach, to an allowance for credit loss model starting in 2020 upon adoption of CECL (see Note 2, Significant Accounting Policies — Investments)</w:t>
      </w:r>
      <w:r>
        <w:rPr>
          <w:rFonts w:eastAsia="Times New Roman"/>
          <w:color w:val="000000"/>
          <w:sz w:val="20"/>
          <w:szCs w:val="20"/>
        </w:rPr>
        <w:t>.</w:t>
      </w:r>
    </w:p>
    <w:p w:rsidR="00000000" w:rsidRDefault="00775A8F">
      <w:pPr>
        <w:divId w:val="639191622"/>
        <w:rPr>
          <w:rFonts w:eastAsia="Times New Roman"/>
        </w:rPr>
      </w:pPr>
      <w:r>
        <w:rPr>
          <w:rFonts w:eastAsia="Times New Roman"/>
          <w:color w:val="000000"/>
          <w:sz w:val="20"/>
          <w:szCs w:val="20"/>
        </w:rPr>
        <w:t>The components of fair value and</w:t>
      </w:r>
      <w:r>
        <w:rPr>
          <w:rFonts w:eastAsia="Times New Roman"/>
          <w:color w:val="000000"/>
          <w:sz w:val="20"/>
          <w:szCs w:val="20"/>
        </w:rPr>
        <w:t xml:space="preserve"> amortized cost for fixed maturities classified as AFS on the consolidated balance sheets excludes accrued interest receivable because the Company elected to present accrued interest receivable within Other assets. Accrued interest receivable on AFS fixed </w:t>
      </w:r>
      <w:r>
        <w:rPr>
          <w:rFonts w:eastAsia="Times New Roman"/>
          <w:color w:val="000000"/>
          <w:sz w:val="20"/>
          <w:szCs w:val="20"/>
        </w:rPr>
        <w:t>maturities at June 30, 2020 wa</w:t>
      </w:r>
      <w:r>
        <w:rPr>
          <w:rFonts w:eastAsia="Times New Roman"/>
          <w:color w:val="000000"/>
          <w:sz w:val="20"/>
          <w:szCs w:val="20"/>
        </w:rPr>
        <w:t>s</w:t>
      </w:r>
      <w:r>
        <w:rPr>
          <w:rFonts w:eastAsia="Times New Roman"/>
          <w:color w:val="000000"/>
          <w:sz w:val="20"/>
          <w:szCs w:val="20"/>
          <w:shd w:val="clear" w:color="auto" w:fill="FFFFFF"/>
        </w:rPr>
        <w:t xml:space="preserve"> $514 million.</w:t>
      </w:r>
    </w:p>
    <w:p w:rsidR="00000000" w:rsidRDefault="00775A8F">
      <w:pPr>
        <w:divId w:val="35012751"/>
        <w:rPr>
          <w:rFonts w:eastAsia="Times New Roman"/>
        </w:rPr>
      </w:pPr>
      <w:r>
        <w:rPr>
          <w:rFonts w:eastAsia="Times New Roman"/>
          <w:color w:val="000000"/>
          <w:sz w:val="20"/>
          <w:szCs w:val="20"/>
        </w:rPr>
        <w:t xml:space="preserve">When the Company determines that there is more than 50% likelihood that it is not going to recover the principal and interest cash flows related to an AFS debt security, the security is placed on nonaccrual status and the Company reverses accrued interest </w:t>
      </w:r>
      <w:r>
        <w:rPr>
          <w:rFonts w:eastAsia="Times New Roman"/>
          <w:color w:val="000000"/>
          <w:sz w:val="20"/>
          <w:szCs w:val="20"/>
        </w:rPr>
        <w:t>receivable against interest income. Since the nonaccrual policy results in a timely reversal of accrued interest receivable, the Company does not record an allowance for credit losses on accrued interest receivable</w:t>
      </w:r>
      <w:r>
        <w:rPr>
          <w:rFonts w:eastAsia="Times New Roman"/>
          <w:color w:val="000000"/>
          <w:sz w:val="20"/>
          <w:szCs w:val="20"/>
        </w:rPr>
        <w:t>.</w:t>
      </w:r>
    </w:p>
    <w:p w:rsidR="00000000" w:rsidRDefault="00775A8F">
      <w:pPr>
        <w:divId w:val="1261446588"/>
        <w:rPr>
          <w:rFonts w:eastAsia="Times New Roman"/>
        </w:rPr>
      </w:pPr>
      <w:r>
        <w:rPr>
          <w:rFonts w:eastAsia="Times New Roman"/>
          <w:color w:val="000000"/>
          <w:sz w:val="20"/>
          <w:szCs w:val="20"/>
        </w:rPr>
        <w:t>There was no accrued interest written of</w:t>
      </w:r>
      <w:r>
        <w:rPr>
          <w:rFonts w:eastAsia="Times New Roman"/>
          <w:color w:val="000000"/>
          <w:sz w:val="20"/>
          <w:szCs w:val="20"/>
        </w:rPr>
        <w:t>f for AFS fixed maturities for the three and six months ended June 30, 2020</w:t>
      </w:r>
      <w:r>
        <w:rPr>
          <w:rFonts w:eastAsia="Times New Roman"/>
          <w:color w:val="000000"/>
          <w:sz w:val="20"/>
          <w:szCs w:val="20"/>
        </w:rPr>
        <w:t>.</w:t>
      </w:r>
    </w:p>
    <w:p w:rsidR="00000000" w:rsidRDefault="00775A8F">
      <w:pPr>
        <w:divId w:val="1002901743"/>
        <w:rPr>
          <w:rFonts w:eastAsia="Times New Roman"/>
        </w:rPr>
      </w:pPr>
      <w:r>
        <w:rPr>
          <w:rFonts w:eastAsia="Times New Roman"/>
          <w:color w:val="000000"/>
          <w:sz w:val="20"/>
          <w:szCs w:val="20"/>
        </w:rPr>
        <w:t>Comparative tables as of December 31, 2019 include OTTI, reported net of tax in OCI and in AOCI until realized.</w:t>
      </w:r>
      <w:r>
        <w:rPr>
          <w:rFonts w:eastAsia="Times New Roman"/>
          <w:color w:val="000000"/>
          <w:sz w:val="20"/>
          <w:szCs w:val="20"/>
        </w:rPr>
        <w:t xml:space="preserve"> </w:t>
      </w:r>
    </w:p>
    <w:p w:rsidR="00000000" w:rsidRDefault="00775A8F">
      <w:pPr>
        <w:divId w:val="890573735"/>
        <w:rPr>
          <w:rFonts w:eastAsia="Times New Roman"/>
        </w:rPr>
      </w:pPr>
      <w:r>
        <w:rPr>
          <w:rFonts w:eastAsia="Times New Roman"/>
          <w:color w:val="000000"/>
          <w:sz w:val="20"/>
          <w:szCs w:val="20"/>
        </w:rPr>
        <w:t>The following tables provide information relating to the Company’s</w:t>
      </w:r>
      <w:r>
        <w:rPr>
          <w:rFonts w:eastAsia="Times New Roman"/>
          <w:color w:val="000000"/>
          <w:sz w:val="20"/>
          <w:szCs w:val="20"/>
        </w:rPr>
        <w:t xml:space="preserve"> fixed maturities classified as AFS.</w:t>
      </w:r>
      <w:r>
        <w:rPr>
          <w:rFonts w:eastAsia="Times New Roman"/>
          <w:color w:val="000000"/>
          <w:sz w:val="20"/>
          <w:szCs w:val="20"/>
        </w:rPr>
        <w:t xml:space="preserve"> </w:t>
      </w:r>
    </w:p>
    <w:p w:rsidR="00000000" w:rsidRDefault="00775A8F">
      <w:pPr>
        <w:jc w:val="center"/>
        <w:rPr>
          <w:rFonts w:eastAsia="Times New Roman"/>
        </w:rPr>
      </w:pPr>
      <w:r>
        <w:rPr>
          <w:rFonts w:eastAsia="Times New Roman"/>
          <w:b/>
          <w:bCs/>
          <w:color w:val="000000"/>
          <w:sz w:val="20"/>
          <w:szCs w:val="20"/>
        </w:rPr>
        <w:t>AFS Fixed Maturities by Classificatio</w:t>
      </w:r>
      <w:r>
        <w:rPr>
          <w:rFonts w:eastAsia="Times New Roman"/>
          <w:b/>
          <w:bCs/>
          <w:color w:val="000000"/>
          <w:sz w:val="20"/>
          <w:szCs w:val="20"/>
        </w:rPr>
        <w:t>n</w:t>
      </w:r>
    </w:p>
    <w:tbl>
      <w:tblPr>
        <w:tblW w:w="4751" w:type="pct"/>
        <w:jc w:val="center"/>
        <w:tblCellMar>
          <w:top w:w="15" w:type="dxa"/>
          <w:left w:w="15" w:type="dxa"/>
          <w:bottom w:w="15" w:type="dxa"/>
          <w:right w:w="15" w:type="dxa"/>
        </w:tblCellMar>
        <w:tblLook w:val="04A0" w:firstRow="1" w:lastRow="0" w:firstColumn="1" w:lastColumn="0" w:noHBand="0" w:noVBand="1"/>
      </w:tblPr>
      <w:tblGrid>
        <w:gridCol w:w="41"/>
        <w:gridCol w:w="2309"/>
        <w:gridCol w:w="40"/>
        <w:gridCol w:w="135"/>
        <w:gridCol w:w="615"/>
        <w:gridCol w:w="85"/>
        <w:gridCol w:w="36"/>
        <w:gridCol w:w="36"/>
        <w:gridCol w:w="36"/>
        <w:gridCol w:w="136"/>
        <w:gridCol w:w="605"/>
        <w:gridCol w:w="85"/>
        <w:gridCol w:w="36"/>
        <w:gridCol w:w="36"/>
        <w:gridCol w:w="36"/>
        <w:gridCol w:w="136"/>
        <w:gridCol w:w="634"/>
        <w:gridCol w:w="85"/>
        <w:gridCol w:w="36"/>
        <w:gridCol w:w="36"/>
        <w:gridCol w:w="36"/>
        <w:gridCol w:w="136"/>
        <w:gridCol w:w="634"/>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45373066"/>
          <w:jc w:val="center"/>
        </w:trPr>
        <w:tc>
          <w:tcPr>
            <w:tcW w:w="50" w:type="pct"/>
            <w:vAlign w:val="center"/>
            <w:hideMark/>
          </w:tcPr>
          <w:p w:rsidR="00000000" w:rsidRDefault="00775A8F">
            <w:pPr>
              <w:jc w:val="center"/>
              <w:rPr>
                <w:rFonts w:eastAsia="Times New Roman"/>
              </w:rPr>
            </w:pPr>
          </w:p>
        </w:tc>
        <w:tc>
          <w:tcPr>
            <w:tcW w:w="21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45373066"/>
          <w:jc w:val="center"/>
        </w:trPr>
        <w:tc>
          <w:tcPr>
            <w:tcW w:w="0" w:type="auto"/>
            <w:gridSpan w:val="3"/>
            <w:tcMar>
              <w:top w:w="30" w:type="dxa"/>
              <w:left w:w="20" w:type="dxa"/>
              <w:bottom w:w="30" w:type="dxa"/>
              <w:right w:w="20" w:type="dxa"/>
            </w:tcMar>
            <w:vAlign w:val="bottom"/>
            <w:hideMark/>
          </w:tcPr>
          <w:p w:rsidR="00000000" w:rsidRDefault="00775A8F">
            <w:pPr>
              <w:divId w:val="184948344"/>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Amortized Cos</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Allowance for Credit Losses (4</w:t>
            </w:r>
            <w:r>
              <w:rPr>
                <w:rFonts w:eastAsia="Times New Roman"/>
                <w:b/>
                <w:bCs/>
                <w:color w:val="000000"/>
                <w:sz w:val="16"/>
                <w:szCs w:val="16"/>
              </w:rPr>
              <w:t>)</w:t>
            </w:r>
          </w:p>
        </w:tc>
        <w:tc>
          <w:tcPr>
            <w:tcW w:w="0" w:type="auto"/>
            <w:gridSpan w:val="3"/>
            <w:tcBorders>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Gain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Losse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Value</w:t>
            </w:r>
            <w:r>
              <w:rPr>
                <w:rFonts w:eastAsia="Times New Roman"/>
                <w:b/>
                <w:bCs/>
                <w:color w:val="000000"/>
                <w:sz w:val="16"/>
                <w:szCs w:val="16"/>
              </w:rPr>
              <w:t xml:space="preserve"> </w:t>
            </w:r>
          </w:p>
        </w:tc>
      </w:tr>
      <w:tr w:rsidR="00000000">
        <w:trPr>
          <w:divId w:val="45373066"/>
          <w:jc w:val="center"/>
        </w:trPr>
        <w:tc>
          <w:tcPr>
            <w:tcW w:w="0" w:type="auto"/>
            <w:gridSpan w:val="3"/>
            <w:tcMar>
              <w:top w:w="30" w:type="dxa"/>
              <w:left w:w="20" w:type="dxa"/>
              <w:bottom w:w="30" w:type="dxa"/>
              <w:right w:w="20" w:type="dxa"/>
            </w:tcMar>
            <w:vAlign w:val="bottom"/>
            <w:hideMark/>
          </w:tcPr>
          <w:p w:rsidR="00000000" w:rsidRDefault="00775A8F">
            <w:pPr>
              <w:divId w:val="201603122"/>
              <w:rPr>
                <w:rFonts w:eastAsia="Times New Roman"/>
              </w:rPr>
            </w:pPr>
            <w:r>
              <w:rPr>
                <w:rFonts w:eastAsia="Times New Roman"/>
                <w:b/>
                <w:bCs/>
                <w:color w:val="000000"/>
                <w:sz w:val="16"/>
                <w:szCs w:val="16"/>
              </w:rPr>
              <w:t> </w:t>
            </w: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w:t>
            </w: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45373066"/>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June 30, 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divId w:val="1771194162"/>
              <w:rPr>
                <w:rFonts w:eastAsia="Times New Roman"/>
              </w:rPr>
            </w:pPr>
            <w:r>
              <w:rPr>
                <w:rFonts w:eastAsia="Times New Roman"/>
                <w:color w:val="000000"/>
                <w:sz w:val="20"/>
                <w:szCs w:val="20"/>
              </w:rPr>
              <w:t>Fixed Maturities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Corporate (1</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49,494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4,452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53,777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divId w:val="1469778947"/>
              <w:rPr>
                <w:rFonts w:eastAsia="Times New Roman"/>
              </w:rPr>
            </w:pPr>
            <w:r>
              <w:rPr>
                <w:rFonts w:eastAsia="Times New Roman"/>
                <w:color w:val="000000"/>
                <w:sz w:val="20"/>
                <w:szCs w:val="20"/>
              </w:rPr>
              <w:t>U.S. Treasury, government and agenc</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13,135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4,242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20" w:type="dxa"/>
              <w:bottom w:w="30" w:type="dxa"/>
              <w:right w:w="20" w:type="dxa"/>
            </w:tcMar>
            <w:hideMark/>
          </w:tcPr>
          <w:p w:rsidR="00000000" w:rsidRDefault="00775A8F">
            <w:pPr>
              <w:divId w:val="1543636417"/>
              <w:rPr>
                <w:rFonts w:eastAsia="Times New Roman"/>
              </w:rPr>
            </w:pPr>
            <w:r>
              <w:rPr>
                <w:rFonts w:eastAsia="Times New Roman"/>
                <w:color w:val="000000"/>
                <w:sz w:val="20"/>
                <w:szCs w:val="20"/>
              </w:rPr>
              <w:t>States and political subdivision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divId w:val="1167286555"/>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Residential mortgage-backed (2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Asset-backed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Commercial mortgage-backe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Total at June 30, 202</w:t>
            </w:r>
            <w:r>
              <w:rPr>
                <w:rFonts w:eastAsia="Times New Roman"/>
                <w:b/>
                <w:bCs/>
                <w:color w:val="000000"/>
                <w:sz w:val="20"/>
                <w:szCs w:val="20"/>
              </w:rPr>
              <w:t>0</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67,515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8,954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76,243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December 31, 2019 (5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divId w:val="1559898033"/>
              <w:rPr>
                <w:rFonts w:eastAsia="Times New Roman"/>
              </w:rPr>
            </w:pPr>
            <w:r>
              <w:rPr>
                <w:rFonts w:eastAsia="Times New Roman"/>
                <w:color w:val="000000"/>
                <w:sz w:val="20"/>
                <w:szCs w:val="20"/>
              </w:rPr>
              <w:t>Fixed Maturities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20" w:type="dxa"/>
              <w:bottom w:w="30" w:type="dxa"/>
              <w:right w:w="20" w:type="dxa"/>
            </w:tcMar>
            <w:hideMark/>
          </w:tcPr>
          <w:p w:rsidR="00000000" w:rsidRDefault="00775A8F">
            <w:pPr>
              <w:divId w:val="1239169114"/>
              <w:rPr>
                <w:rFonts w:eastAsia="Times New Roman"/>
              </w:rPr>
            </w:pPr>
            <w:r>
              <w:rPr>
                <w:rFonts w:eastAsia="Times New Roman"/>
                <w:color w:val="000000"/>
                <w:sz w:val="20"/>
                <w:szCs w:val="20"/>
              </w:rPr>
              <w:t>Corporate (1</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48,199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divId w:val="1933389491"/>
              <w:rPr>
                <w:rFonts w:eastAsia="Times New Roman"/>
              </w:rPr>
            </w:pPr>
            <w:r>
              <w:rPr>
                <w:rFonts w:eastAsia="Times New Roman"/>
                <w:color w:val="000000"/>
                <w:sz w:val="20"/>
                <w:szCs w:val="20"/>
              </w:rPr>
              <w:t>U.S. Treasury, government and agenc</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14,410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15,394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20" w:type="dxa"/>
              <w:bottom w:w="30" w:type="dxa"/>
              <w:right w:w="20" w:type="dxa"/>
            </w:tcMar>
            <w:hideMark/>
          </w:tcPr>
          <w:p w:rsidR="00000000" w:rsidRDefault="00775A8F">
            <w:pPr>
              <w:divId w:val="767114032"/>
              <w:rPr>
                <w:rFonts w:eastAsia="Times New Roman"/>
              </w:rPr>
            </w:pPr>
            <w:r>
              <w:rPr>
                <w:rFonts w:eastAsia="Times New Roman"/>
                <w:color w:val="000000"/>
                <w:sz w:val="20"/>
                <w:szCs w:val="20"/>
              </w:rPr>
              <w:t>States and political subdivision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divId w:val="678628524"/>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Residential mortgage-backed (2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Asset-backed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373066"/>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at December 31,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62,937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single" w:sz="8" w:space="0" w:color="000000"/>
              <w:bottom w:val="double" w:sz="6"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66,343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330566702"/>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30438701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Corporate fixed maturities include both public and private issues</w:t>
      </w:r>
      <w:r>
        <w:rPr>
          <w:rFonts w:eastAsia="Times New Roman"/>
          <w:color w:val="000000"/>
          <w:sz w:val="18"/>
          <w:szCs w:val="18"/>
        </w:rPr>
        <w:t>.</w:t>
      </w:r>
    </w:p>
    <w:p w:rsidR="00000000" w:rsidRDefault="00775A8F">
      <w:pPr>
        <w:ind w:hanging="360"/>
        <w:divId w:val="1099107261"/>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publicly traded agency pass-through securities and collateralized obligations</w:t>
      </w:r>
      <w:r>
        <w:rPr>
          <w:rFonts w:eastAsia="Times New Roman"/>
          <w:color w:val="000000"/>
          <w:sz w:val="18"/>
          <w:szCs w:val="18"/>
        </w:rPr>
        <w:t>.</w:t>
      </w:r>
    </w:p>
    <w:p w:rsidR="00000000" w:rsidRDefault="00775A8F">
      <w:pPr>
        <w:ind w:hanging="360"/>
        <w:divId w:val="1359086477"/>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Includes credit-tranched securities collateralized by sub-prime mortgages and other asset types and credit tenant loans</w:t>
      </w:r>
      <w:r>
        <w:rPr>
          <w:rFonts w:eastAsia="Times New Roman"/>
          <w:color w:val="000000"/>
          <w:sz w:val="18"/>
          <w:szCs w:val="18"/>
        </w:rPr>
        <w:t>.</w:t>
      </w:r>
    </w:p>
    <w:p w:rsidR="00000000" w:rsidRDefault="00775A8F">
      <w:pPr>
        <w:ind w:hanging="360"/>
        <w:divId w:val="845097188"/>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Amounts represent the allowance for credi</w:t>
      </w:r>
      <w:r>
        <w:rPr>
          <w:rFonts w:eastAsia="Times New Roman"/>
          <w:color w:val="000000"/>
          <w:sz w:val="18"/>
          <w:szCs w:val="18"/>
        </w:rPr>
        <w:t>t losses for 2020 (see Note 2 Significant Accounting Policies – Investments)</w:t>
      </w:r>
      <w:r>
        <w:rPr>
          <w:rFonts w:eastAsia="Times New Roman"/>
          <w:color w:val="000000"/>
          <w:sz w:val="18"/>
          <w:szCs w:val="18"/>
        </w:rPr>
        <w:t>.</w:t>
      </w:r>
    </w:p>
    <w:p w:rsidR="00000000" w:rsidRDefault="00775A8F">
      <w:pPr>
        <w:ind w:hanging="360"/>
        <w:divId w:val="1002198854"/>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Excludes amounts reclassified as Held-for-Sale</w:t>
      </w:r>
      <w:r>
        <w:rPr>
          <w:rFonts w:eastAsia="Times New Roman"/>
          <w:color w:val="000000"/>
          <w:sz w:val="18"/>
          <w:szCs w:val="18"/>
        </w:rPr>
        <w:t>.</w:t>
      </w:r>
    </w:p>
    <w:p w:rsidR="00000000" w:rsidRDefault="00775A8F">
      <w:pPr>
        <w:jc w:val="center"/>
        <w:divId w:val="705837726"/>
        <w:rPr>
          <w:rFonts w:eastAsia="Times New Roman"/>
        </w:rPr>
      </w:pPr>
      <w:r>
        <w:rPr>
          <w:rFonts w:eastAsia="Times New Roman"/>
          <w:color w:val="000000"/>
          <w:sz w:val="20"/>
          <w:szCs w:val="20"/>
        </w:rPr>
        <w:t>1</w:t>
      </w:r>
      <w:r>
        <w:rPr>
          <w:rFonts w:eastAsia="Times New Roman"/>
          <w:color w:val="000000"/>
          <w:sz w:val="20"/>
          <w:szCs w:val="20"/>
        </w:rPr>
        <w:t>8</w:t>
      </w:r>
    </w:p>
    <w:p w:rsidR="00000000" w:rsidRDefault="00775A8F">
      <w:pPr>
        <w:rPr>
          <w:rFonts w:eastAsia="Times New Roman"/>
        </w:rPr>
      </w:pPr>
      <w:r>
        <w:rPr>
          <w:rFonts w:eastAsia="Times New Roman"/>
        </w:rPr>
        <w:pict>
          <v:rect id="_x0000_i1044" style="width:0;height:1.5pt" o:hralign="center" o:hrstd="t" o:hr="t" fillcolor="#a0a0a0" stroked="f"/>
        </w:pict>
      </w:r>
    </w:p>
    <w:p w:rsidR="00000000" w:rsidRDefault="00775A8F">
      <w:pPr>
        <w:jc w:val="center"/>
        <w:divId w:val="1985429720"/>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985429720"/>
        <w:rPr>
          <w:rFonts w:eastAsia="Times New Roman"/>
        </w:rPr>
      </w:pPr>
      <w:r>
        <w:rPr>
          <w:rFonts w:eastAsia="Times New Roman"/>
          <w:b/>
          <w:bCs/>
          <w:color w:val="000000"/>
          <w:sz w:val="20"/>
          <w:szCs w:val="20"/>
        </w:rPr>
        <w:t>Notes to Consolidated Financial Statements (Unaudited), Continu</w:t>
      </w:r>
      <w:r>
        <w:rPr>
          <w:rFonts w:eastAsia="Times New Roman"/>
          <w:b/>
          <w:bCs/>
          <w:color w:val="000000"/>
          <w:sz w:val="20"/>
          <w:szCs w:val="20"/>
        </w:rPr>
        <w:t>e</w:t>
      </w:r>
      <w:r>
        <w:rPr>
          <w:rFonts w:eastAsia="Times New Roman"/>
          <w:b/>
          <w:bCs/>
          <w:color w:val="000000"/>
          <w:sz w:val="20"/>
          <w:szCs w:val="20"/>
        </w:rPr>
        <w:t>d</w:t>
      </w:r>
    </w:p>
    <w:p w:rsidR="00000000" w:rsidRDefault="00775A8F">
      <w:pPr>
        <w:divId w:val="1175802679"/>
        <w:rPr>
          <w:rFonts w:eastAsia="Times New Roman"/>
        </w:rPr>
      </w:pPr>
      <w:r>
        <w:rPr>
          <w:rFonts w:eastAsia="Times New Roman"/>
          <w:color w:val="000000"/>
          <w:sz w:val="20"/>
          <w:szCs w:val="20"/>
        </w:rPr>
        <w:t>The contractual maturities of AFS fixed maturities at June 30, 2020 are shown in the table below. Bonds not due at a single maturity date have been included in the table in the final year of maturity. Actual maturities may differ from contractual maturi</w:t>
      </w:r>
      <w:r>
        <w:rPr>
          <w:rFonts w:eastAsia="Times New Roman"/>
          <w:color w:val="000000"/>
          <w:sz w:val="20"/>
          <w:szCs w:val="20"/>
        </w:rPr>
        <w:t>ties because borrowers may have the right to call or prepay obligations with or without call or prepayment penalties</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Contractual Maturities of AFS Fixed Maturitie</w:t>
      </w:r>
      <w:r>
        <w:rPr>
          <w:rFonts w:eastAsia="Times New Roman"/>
          <w:b/>
          <w:bCs/>
          <w:color w:val="000000"/>
          <w:sz w:val="20"/>
          <w:szCs w:val="20"/>
        </w:rPr>
        <w:t>s</w:t>
      </w:r>
    </w:p>
    <w:tbl>
      <w:tblPr>
        <w:tblW w:w="4641" w:type="pct"/>
        <w:jc w:val="center"/>
        <w:tblCellMar>
          <w:top w:w="15" w:type="dxa"/>
          <w:left w:w="15" w:type="dxa"/>
          <w:bottom w:w="15" w:type="dxa"/>
          <w:right w:w="15" w:type="dxa"/>
        </w:tblCellMar>
        <w:tblLook w:val="04A0" w:firstRow="1" w:lastRow="0" w:firstColumn="1" w:lastColumn="0" w:noHBand="0" w:noVBand="1"/>
      </w:tblPr>
      <w:tblGrid>
        <w:gridCol w:w="42"/>
        <w:gridCol w:w="5059"/>
        <w:gridCol w:w="43"/>
        <w:gridCol w:w="135"/>
        <w:gridCol w:w="914"/>
        <w:gridCol w:w="85"/>
        <w:gridCol w:w="36"/>
        <w:gridCol w:w="36"/>
        <w:gridCol w:w="36"/>
        <w:gridCol w:w="135"/>
        <w:gridCol w:w="888"/>
        <w:gridCol w:w="85"/>
        <w:gridCol w:w="36"/>
        <w:gridCol w:w="36"/>
        <w:gridCol w:w="36"/>
        <w:gridCol w:w="36"/>
        <w:gridCol w:w="36"/>
        <w:gridCol w:w="36"/>
      </w:tblGrid>
      <w:tr w:rsidR="00000000">
        <w:trPr>
          <w:gridAfter w:val="6"/>
          <w:divId w:val="896012144"/>
          <w:jc w:val="center"/>
        </w:trPr>
        <w:tc>
          <w:tcPr>
            <w:tcW w:w="50" w:type="pct"/>
            <w:vAlign w:val="center"/>
            <w:hideMark/>
          </w:tcPr>
          <w:p w:rsidR="00000000" w:rsidRDefault="00775A8F">
            <w:pPr>
              <w:jc w:val="center"/>
              <w:rPr>
                <w:rFonts w:eastAsia="Times New Roman"/>
              </w:rPr>
            </w:pPr>
          </w:p>
        </w:tc>
        <w:tc>
          <w:tcPr>
            <w:tcW w:w="33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896012144"/>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Amortized Cost (Less Allowance for Credit Losses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r>
      <w:tr w:rsidR="00000000">
        <w:trPr>
          <w:divId w:val="896012144"/>
          <w:jc w:val="center"/>
        </w:trPr>
        <w:tc>
          <w:tcPr>
            <w:tcW w:w="0" w:type="auto"/>
            <w:gridSpan w:val="3"/>
            <w:tcMar>
              <w:top w:w="30" w:type="dxa"/>
              <w:left w:w="20" w:type="dxa"/>
              <w:bottom w:w="30" w:type="dxa"/>
              <w:right w:w="20" w:type="dxa"/>
            </w:tcMar>
            <w:vAlign w:val="bottom"/>
            <w:hideMark/>
          </w:tcPr>
          <w:p w:rsidR="00000000" w:rsidRDefault="00775A8F">
            <w:pPr>
              <w:divId w:val="269627904"/>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896012144"/>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June 30, 2020 (1</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Contractual maturities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Due in one year or les</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4,688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Due in years two through fiv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15,141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15,985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Due in years six through te</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18,394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20,398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Due after ten year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25,870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31,693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Subtota</w:t>
            </w:r>
            <w:r>
              <w:rPr>
                <w:rFonts w:eastAsia="Times New Roman"/>
                <w:color w:val="000000"/>
                <w:sz w:val="20"/>
                <w:szCs w:val="20"/>
              </w:rPr>
              <w:t>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64,050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72,764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CCEEFF"/>
            <w:tcMar>
              <w:top w:w="30" w:type="dxa"/>
              <w:left w:w="20" w:type="dxa"/>
              <w:bottom w:w="30" w:type="dxa"/>
              <w:right w:w="20" w:type="dxa"/>
            </w:tcMar>
            <w:hideMark/>
          </w:tcPr>
          <w:p w:rsidR="00000000" w:rsidRDefault="00775A8F">
            <w:pPr>
              <w:divId w:val="1002590095"/>
              <w:rPr>
                <w:rFonts w:eastAsia="Times New Roman"/>
              </w:rPr>
            </w:pPr>
            <w:r>
              <w:rPr>
                <w:rFonts w:eastAsia="Times New Roman"/>
                <w:color w:val="000000"/>
                <w:sz w:val="20"/>
                <w:szCs w:val="20"/>
              </w:rPr>
              <w:t>Residential mortgage-backe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FFFFFF"/>
            <w:tcMar>
              <w:top w:w="30" w:type="dxa"/>
              <w:left w:w="20" w:type="dxa"/>
              <w:bottom w:w="30" w:type="dxa"/>
              <w:right w:w="20" w:type="dxa"/>
            </w:tcMar>
            <w:hideMark/>
          </w:tcPr>
          <w:p w:rsidR="00000000" w:rsidRDefault="00775A8F">
            <w:pPr>
              <w:divId w:val="1141580791"/>
              <w:rPr>
                <w:rFonts w:eastAsia="Times New Roman"/>
              </w:rPr>
            </w:pPr>
            <w:r>
              <w:rPr>
                <w:rFonts w:eastAsia="Times New Roman"/>
                <w:color w:val="000000"/>
                <w:sz w:val="20"/>
                <w:szCs w:val="20"/>
              </w:rPr>
              <w:t>Asset-backe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Commercial mortgage-backe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FFFFFF"/>
            <w:tcMar>
              <w:top w:w="30" w:type="dxa"/>
              <w:left w:w="20" w:type="dxa"/>
              <w:bottom w:w="30" w:type="dxa"/>
              <w:right w:w="20" w:type="dxa"/>
            </w:tcMar>
            <w:hideMark/>
          </w:tcPr>
          <w:p w:rsidR="00000000" w:rsidRDefault="00775A8F">
            <w:pPr>
              <w:divId w:val="1553424771"/>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96012144"/>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Total at June 30, 202</w:t>
            </w:r>
            <w:r>
              <w:rPr>
                <w:rFonts w:eastAsia="Times New Roman"/>
                <w:b/>
                <w:bCs/>
                <w:color w:val="000000"/>
                <w:sz w:val="20"/>
                <w:szCs w:val="20"/>
              </w:rPr>
              <w:t>0</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67,502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76,243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014302372"/>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11687206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Net amortized cost is equal to amortized cost, less any allowance for credit losses to the extent applicable</w:t>
      </w:r>
      <w:r>
        <w:rPr>
          <w:rFonts w:eastAsia="Times New Roman"/>
          <w:color w:val="000000"/>
          <w:sz w:val="18"/>
          <w:szCs w:val="18"/>
        </w:rPr>
        <w:t>.</w:t>
      </w:r>
    </w:p>
    <w:p w:rsidR="00000000" w:rsidRDefault="00775A8F">
      <w:pPr>
        <w:divId w:val="278270094"/>
        <w:rPr>
          <w:rFonts w:eastAsia="Times New Roman"/>
        </w:rPr>
      </w:pPr>
    </w:p>
    <w:p w:rsidR="00000000" w:rsidRDefault="00775A8F">
      <w:pPr>
        <w:divId w:val="515926827"/>
        <w:rPr>
          <w:rFonts w:eastAsia="Times New Roman"/>
        </w:rPr>
      </w:pPr>
      <w:r>
        <w:rPr>
          <w:rFonts w:eastAsia="Times New Roman"/>
          <w:color w:val="000000"/>
          <w:sz w:val="20"/>
          <w:szCs w:val="20"/>
        </w:rPr>
        <w:t xml:space="preserve">The following table shows proceeds from sales, gross gains (losses) from sales and credit losses for AFS fixed maturities for the three and six </w:t>
      </w:r>
      <w:r>
        <w:rPr>
          <w:rFonts w:eastAsia="Times New Roman"/>
          <w:color w:val="000000"/>
          <w:sz w:val="20"/>
          <w:szCs w:val="20"/>
        </w:rPr>
        <w:t>months ended June 30, 2020 and 2019</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Proceeds from Sales, Gross Gains (Losses) from Sales and Credit Losses for AFS Fixed Maturitie</w:t>
      </w:r>
      <w:r>
        <w:rPr>
          <w:rFonts w:eastAsia="Times New Roman"/>
          <w:b/>
          <w:bCs/>
          <w:color w:val="000000"/>
          <w:sz w:val="20"/>
          <w:szCs w:val="20"/>
        </w:rPr>
        <w:t>s</w:t>
      </w:r>
    </w:p>
    <w:tbl>
      <w:tblPr>
        <w:tblW w:w="4700" w:type="pct"/>
        <w:jc w:val="center"/>
        <w:tblCellMar>
          <w:top w:w="15" w:type="dxa"/>
          <w:left w:w="15" w:type="dxa"/>
          <w:bottom w:w="15" w:type="dxa"/>
          <w:right w:w="15" w:type="dxa"/>
        </w:tblCellMar>
        <w:tblLook w:val="04A0" w:firstRow="1" w:lastRow="0" w:firstColumn="1" w:lastColumn="0" w:noHBand="0" w:noVBand="1"/>
      </w:tblPr>
      <w:tblGrid>
        <w:gridCol w:w="37"/>
        <w:gridCol w:w="3071"/>
        <w:gridCol w:w="36"/>
        <w:gridCol w:w="135"/>
        <w:gridCol w:w="733"/>
        <w:gridCol w:w="85"/>
        <w:gridCol w:w="36"/>
        <w:gridCol w:w="36"/>
        <w:gridCol w:w="36"/>
        <w:gridCol w:w="135"/>
        <w:gridCol w:w="702"/>
        <w:gridCol w:w="85"/>
        <w:gridCol w:w="36"/>
        <w:gridCol w:w="36"/>
        <w:gridCol w:w="36"/>
        <w:gridCol w:w="135"/>
        <w:gridCol w:w="602"/>
        <w:gridCol w:w="85"/>
        <w:gridCol w:w="36"/>
        <w:gridCol w:w="36"/>
        <w:gridCol w:w="36"/>
        <w:gridCol w:w="135"/>
        <w:gridCol w:w="703"/>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654411979"/>
          <w:jc w:val="center"/>
        </w:trPr>
        <w:tc>
          <w:tcPr>
            <w:tcW w:w="50" w:type="pct"/>
            <w:vAlign w:val="center"/>
            <w:hideMark/>
          </w:tcPr>
          <w:p w:rsidR="00000000" w:rsidRDefault="00775A8F">
            <w:pPr>
              <w:jc w:val="center"/>
              <w:rPr>
                <w:rFonts w:eastAsia="Times New Roman"/>
              </w:rPr>
            </w:pPr>
          </w:p>
        </w:tc>
        <w:tc>
          <w:tcPr>
            <w:tcW w:w="220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654411979"/>
          <w:jc w:val="center"/>
        </w:trPr>
        <w:tc>
          <w:tcPr>
            <w:tcW w:w="0" w:type="auto"/>
            <w:gridSpan w:val="3"/>
            <w:tcMar>
              <w:top w:w="30" w:type="dxa"/>
              <w:left w:w="20" w:type="dxa"/>
              <w:bottom w:w="30" w:type="dxa"/>
              <w:right w:w="20" w:type="dxa"/>
            </w:tcMar>
            <w:vAlign w:val="bottom"/>
            <w:hideMark/>
          </w:tcPr>
          <w:p w:rsidR="00000000" w:rsidRDefault="00775A8F">
            <w:pPr>
              <w:divId w:val="2140225224"/>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654411979"/>
          <w:jc w:val="center"/>
        </w:trPr>
        <w:tc>
          <w:tcPr>
            <w:tcW w:w="0" w:type="auto"/>
            <w:gridSpan w:val="3"/>
            <w:tcMar>
              <w:top w:w="30" w:type="dxa"/>
              <w:left w:w="20" w:type="dxa"/>
              <w:bottom w:w="30" w:type="dxa"/>
              <w:right w:w="20" w:type="dxa"/>
            </w:tcMar>
            <w:vAlign w:val="bottom"/>
            <w:hideMark/>
          </w:tcPr>
          <w:p w:rsidR="00000000" w:rsidRDefault="00775A8F">
            <w:pPr>
              <w:divId w:val="571044924"/>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4411979"/>
          <w:jc w:val="center"/>
        </w:trPr>
        <w:tc>
          <w:tcPr>
            <w:tcW w:w="0" w:type="auto"/>
            <w:gridSpan w:val="3"/>
            <w:tcMar>
              <w:top w:w="30" w:type="dxa"/>
              <w:left w:w="20" w:type="dxa"/>
              <w:bottom w:w="30" w:type="dxa"/>
              <w:right w:w="20" w:type="dxa"/>
            </w:tcMar>
            <w:vAlign w:val="bottom"/>
            <w:hideMark/>
          </w:tcPr>
          <w:p w:rsidR="00000000" w:rsidRDefault="00775A8F">
            <w:pPr>
              <w:divId w:val="1236402788"/>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654411979"/>
          <w:jc w:val="center"/>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Proceeds from sale</w:t>
            </w:r>
            <w:r>
              <w:rPr>
                <w:rFonts w:eastAsia="Times New Roman"/>
                <w:color w:val="000000"/>
                <w:sz w:val="20"/>
                <w:szCs w:val="20"/>
              </w:rPr>
              <w:t>s</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2,947</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1,614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4,767</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4411979"/>
          <w:jc w:val="center"/>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Gross gains on sale</w:t>
            </w:r>
            <w:r>
              <w:rPr>
                <w:rFonts w:eastAsia="Times New Roman"/>
                <w:color w:val="000000"/>
                <w:sz w:val="20"/>
                <w:szCs w:val="20"/>
              </w:rPr>
              <w:t>s</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207</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277</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441197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Gross losses on sale</w:t>
            </w:r>
            <w:r>
              <w:rPr>
                <w:rFonts w:eastAsia="Times New Roman"/>
                <w:color w:val="000000"/>
                <w:sz w:val="20"/>
                <w:szCs w:val="20"/>
              </w:rPr>
              <w:t>s</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w:t>
            </w: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w:t>
            </w: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4411979"/>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jc w:val="right"/>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4411979"/>
          <w:jc w:val="center"/>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Credit losses (1</w:t>
            </w:r>
            <w:r>
              <w:rPr>
                <w:rFonts w:eastAsia="Times New Roman"/>
                <w:color w:val="000000"/>
                <w:sz w:val="20"/>
                <w:szCs w:val="20"/>
              </w:rPr>
              <w:t>)</w:t>
            </w: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694309336"/>
        <w:rPr>
          <w:rFonts w:eastAsia="Times New Roman"/>
        </w:rPr>
      </w:pPr>
      <w:r>
        <w:rPr>
          <w:rFonts w:eastAsia="Times New Roman"/>
          <w:color w:val="000000"/>
          <w:sz w:val="18"/>
          <w:szCs w:val="18"/>
        </w:rPr>
        <w:t>______________</w:t>
      </w:r>
      <w:r>
        <w:rPr>
          <w:rFonts w:eastAsia="Times New Roman"/>
          <w:color w:val="000000"/>
          <w:sz w:val="18"/>
          <w:szCs w:val="18"/>
        </w:rPr>
        <w:t xml:space="preserve"> </w:t>
      </w:r>
    </w:p>
    <w:p w:rsidR="00000000" w:rsidRDefault="00775A8F">
      <w:pPr>
        <w:divId w:val="1093673253"/>
        <w:rPr>
          <w:rFonts w:eastAsia="Times New Roman"/>
        </w:rPr>
      </w:pPr>
      <w:r>
        <w:rPr>
          <w:rFonts w:eastAsia="Times New Roman"/>
          <w:color w:val="000000"/>
          <w:sz w:val="18"/>
          <w:szCs w:val="18"/>
        </w:rPr>
        <w:t>(1) Commencing with the Company’s adoption of ASU 2016-13 on January 1, 2020, cr</w:t>
      </w:r>
      <w:r>
        <w:rPr>
          <w:rFonts w:eastAsia="Times New Roman"/>
          <w:color w:val="000000"/>
          <w:sz w:val="18"/>
          <w:szCs w:val="18"/>
        </w:rPr>
        <w:t>edit losses on AFS debt securities were recognized as an allowance for credit losses. In 2019 and prior, credit losses on AFS fixed maturities were recognized as OTTI</w:t>
      </w:r>
      <w:r>
        <w:rPr>
          <w:rFonts w:eastAsia="Times New Roman"/>
          <w:color w:val="000000"/>
          <w:sz w:val="18"/>
          <w:szCs w:val="18"/>
        </w:rPr>
        <w:t>.</w:t>
      </w:r>
    </w:p>
    <w:p w:rsidR="00000000" w:rsidRDefault="00775A8F">
      <w:pPr>
        <w:divId w:val="226765366"/>
        <w:rPr>
          <w:rFonts w:eastAsia="Times New Roman"/>
        </w:rPr>
      </w:pPr>
      <w:r>
        <w:rPr>
          <w:rFonts w:eastAsia="Times New Roman"/>
          <w:color w:val="000000"/>
          <w:sz w:val="20"/>
          <w:szCs w:val="20"/>
        </w:rPr>
        <w:t>The following table sets forth the amount of credit loss impairments on AFS fixed maturi</w:t>
      </w:r>
      <w:r>
        <w:rPr>
          <w:rFonts w:eastAsia="Times New Roman"/>
          <w:color w:val="000000"/>
          <w:sz w:val="20"/>
          <w:szCs w:val="20"/>
        </w:rPr>
        <w:t>ties held by the Company at the dates indicated and the corresponding changes in such amounts</w:t>
      </w:r>
      <w:r>
        <w:rPr>
          <w:rFonts w:eastAsia="Times New Roman"/>
          <w:color w:val="000000"/>
          <w:sz w:val="20"/>
          <w:szCs w:val="20"/>
        </w:rPr>
        <w:t>.</w:t>
      </w:r>
    </w:p>
    <w:p w:rsidR="00000000" w:rsidRDefault="00775A8F">
      <w:pPr>
        <w:jc w:val="center"/>
        <w:divId w:val="1827547260"/>
        <w:rPr>
          <w:rFonts w:eastAsia="Times New Roman"/>
        </w:rPr>
      </w:pPr>
      <w:r>
        <w:rPr>
          <w:rFonts w:eastAsia="Times New Roman"/>
          <w:color w:val="000000"/>
          <w:sz w:val="20"/>
          <w:szCs w:val="20"/>
        </w:rPr>
        <w:t>1</w:t>
      </w:r>
      <w:r>
        <w:rPr>
          <w:rFonts w:eastAsia="Times New Roman"/>
          <w:color w:val="000000"/>
          <w:sz w:val="20"/>
          <w:szCs w:val="20"/>
        </w:rPr>
        <w:t>9</w:t>
      </w:r>
    </w:p>
    <w:p w:rsidR="00000000" w:rsidRDefault="00775A8F">
      <w:pPr>
        <w:rPr>
          <w:rFonts w:eastAsia="Times New Roman"/>
        </w:rPr>
      </w:pPr>
      <w:r>
        <w:rPr>
          <w:rFonts w:eastAsia="Times New Roman"/>
        </w:rPr>
        <w:pict>
          <v:rect id="_x0000_i1045" style="width:0;height:1.5pt" o:hralign="center" o:hrstd="t" o:hr="t" fillcolor="#a0a0a0" stroked="f"/>
        </w:pict>
      </w:r>
    </w:p>
    <w:p w:rsidR="00000000" w:rsidRDefault="00775A8F">
      <w:pPr>
        <w:jc w:val="center"/>
        <w:divId w:val="874925928"/>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74925928"/>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jc w:val="center"/>
        <w:rPr>
          <w:rFonts w:eastAsia="Times New Roman"/>
        </w:rPr>
      </w:pPr>
      <w:r>
        <w:rPr>
          <w:rFonts w:eastAsia="Times New Roman"/>
          <w:b/>
          <w:bCs/>
          <w:color w:val="000000"/>
          <w:sz w:val="20"/>
          <w:szCs w:val="20"/>
        </w:rPr>
        <w:t>AFS Fixed Maturities - Credit Loss Impairment</w:t>
      </w:r>
      <w:r>
        <w:rPr>
          <w:rFonts w:eastAsia="Times New Roman"/>
          <w:b/>
          <w:bCs/>
          <w:color w:val="000000"/>
          <w:sz w:val="20"/>
          <w:szCs w:val="20"/>
        </w:rPr>
        <w:t>s</w:t>
      </w:r>
    </w:p>
    <w:tbl>
      <w:tblPr>
        <w:tblW w:w="4722" w:type="pct"/>
        <w:tblCellMar>
          <w:top w:w="15" w:type="dxa"/>
          <w:left w:w="15" w:type="dxa"/>
          <w:bottom w:w="15" w:type="dxa"/>
          <w:right w:w="15" w:type="dxa"/>
        </w:tblCellMar>
        <w:tblLook w:val="04A0" w:firstRow="1" w:lastRow="0" w:firstColumn="1" w:lastColumn="0" w:noHBand="0" w:noVBand="1"/>
      </w:tblPr>
      <w:tblGrid>
        <w:gridCol w:w="38"/>
        <w:gridCol w:w="3038"/>
        <w:gridCol w:w="37"/>
        <w:gridCol w:w="135"/>
        <w:gridCol w:w="730"/>
        <w:gridCol w:w="85"/>
        <w:gridCol w:w="36"/>
        <w:gridCol w:w="36"/>
        <w:gridCol w:w="36"/>
        <w:gridCol w:w="135"/>
        <w:gridCol w:w="700"/>
        <w:gridCol w:w="85"/>
        <w:gridCol w:w="36"/>
        <w:gridCol w:w="36"/>
        <w:gridCol w:w="36"/>
        <w:gridCol w:w="135"/>
        <w:gridCol w:w="749"/>
        <w:gridCol w:w="85"/>
        <w:gridCol w:w="36"/>
        <w:gridCol w:w="36"/>
        <w:gridCol w:w="36"/>
        <w:gridCol w:w="135"/>
        <w:gridCol w:w="700"/>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41112003"/>
        </w:trPr>
        <w:tc>
          <w:tcPr>
            <w:tcW w:w="50" w:type="pct"/>
            <w:vAlign w:val="center"/>
            <w:hideMark/>
          </w:tcPr>
          <w:p w:rsidR="00000000" w:rsidRDefault="00775A8F">
            <w:pPr>
              <w:jc w:val="center"/>
              <w:rPr>
                <w:rFonts w:eastAsia="Times New Roman"/>
              </w:rPr>
            </w:pPr>
          </w:p>
        </w:tc>
        <w:tc>
          <w:tcPr>
            <w:tcW w:w="216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24111200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24111200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41112003"/>
        </w:trPr>
        <w:tc>
          <w:tcPr>
            <w:tcW w:w="0" w:type="auto"/>
            <w:gridSpan w:val="3"/>
            <w:tcMar>
              <w:top w:w="15" w:type="dxa"/>
              <w:left w:w="20" w:type="dxa"/>
              <w:bottom w:w="15" w:type="dxa"/>
              <w:right w:w="20" w:type="dxa"/>
            </w:tcMar>
            <w:hideMark/>
          </w:tcPr>
          <w:p w:rsidR="00000000" w:rsidRDefault="00775A8F">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Previously recognized impairments on securities that matured, paid, prepaid or sol</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Recognized impairments on securities impaired to fair value this period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Credit losses recognized this period on securities for which credit losses were not previously recognize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Additional credit losses this period on securities previously impaire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Increases due to passage of time on previously recorded credit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Accretion of previously recognized impairments due to increases in expected cash flows (for OTTI securities 2019 and prior</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4111200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at June 30</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720"/>
        <w:divId w:val="1044017035"/>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423146301"/>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r>
        <w:rPr>
          <w:rFonts w:eastAsia="Times New Roman"/>
          <w:color w:val="000000"/>
          <w:sz w:val="18"/>
          <w:szCs w:val="18"/>
        </w:rPr>
        <w:t>.</w:t>
      </w:r>
    </w:p>
    <w:p w:rsidR="00000000" w:rsidRDefault="00775A8F">
      <w:pPr>
        <w:divId w:val="1123307450"/>
        <w:rPr>
          <w:rFonts w:eastAsia="Times New Roman"/>
        </w:rPr>
      </w:pPr>
      <w:r>
        <w:rPr>
          <w:rFonts w:eastAsia="Times New Roman"/>
          <w:color w:val="000000"/>
          <w:sz w:val="20"/>
          <w:szCs w:val="20"/>
        </w:rPr>
        <w:t>Net unrealized i</w:t>
      </w:r>
      <w:r>
        <w:rPr>
          <w:rFonts w:eastAsia="Times New Roman"/>
          <w:color w:val="000000"/>
          <w:sz w:val="20"/>
          <w:szCs w:val="20"/>
        </w:rPr>
        <w:t>nvestment gains (losses) on AFS fixed maturities are included in the consolidated balance sheets as a component of AOCI.</w:t>
      </w:r>
      <w:r>
        <w:rPr>
          <w:rFonts w:eastAsia="Times New Roman"/>
          <w:color w:val="000000"/>
          <w:sz w:val="20"/>
          <w:szCs w:val="20"/>
        </w:rPr>
        <w:t xml:space="preserve"> </w:t>
      </w:r>
    </w:p>
    <w:p w:rsidR="00000000" w:rsidRDefault="00775A8F">
      <w:pPr>
        <w:divId w:val="883299217"/>
        <w:rPr>
          <w:rFonts w:eastAsia="Times New Roman"/>
        </w:rPr>
      </w:pPr>
      <w:r>
        <w:rPr>
          <w:rFonts w:eastAsia="Times New Roman"/>
          <w:color w:val="000000"/>
          <w:sz w:val="20"/>
          <w:szCs w:val="20"/>
        </w:rPr>
        <w:t>Changes in net unrealized investment gains (losses) recognized in AOCI include reclassification adjustments to reflect amounts realize</w:t>
      </w:r>
      <w:r>
        <w:rPr>
          <w:rFonts w:eastAsia="Times New Roman"/>
          <w:color w:val="000000"/>
          <w:sz w:val="20"/>
          <w:szCs w:val="20"/>
        </w:rPr>
        <w:t>d in Net income (loss) for the current period that had been part of OCI in earlier periods. The tables that follow below present a roll-forward of net unrealized investment gains (losses) recognized in AOCI, split between amounts related to fixed maturitie</w:t>
      </w:r>
      <w:r>
        <w:rPr>
          <w:rFonts w:eastAsia="Times New Roman"/>
          <w:color w:val="000000"/>
          <w:sz w:val="20"/>
          <w:szCs w:val="20"/>
        </w:rPr>
        <w:t>s on which a credit loss has been recognized, and all other</w:t>
      </w:r>
      <w:r>
        <w:rPr>
          <w:rFonts w:eastAsia="Times New Roman"/>
          <w:color w:val="000000"/>
          <w:sz w:val="20"/>
          <w:szCs w:val="20"/>
        </w:rPr>
        <w:t>.</w:t>
      </w:r>
    </w:p>
    <w:p w:rsidR="00000000" w:rsidRDefault="00775A8F">
      <w:pPr>
        <w:jc w:val="center"/>
        <w:rPr>
          <w:rFonts w:eastAsia="Times New Roman"/>
        </w:rPr>
      </w:pPr>
    </w:p>
    <w:p w:rsidR="00000000" w:rsidRDefault="00775A8F">
      <w:pPr>
        <w:jc w:val="center"/>
        <w:rPr>
          <w:rFonts w:eastAsia="Times New Roman"/>
        </w:rPr>
      </w:pPr>
      <w:r>
        <w:rPr>
          <w:rFonts w:eastAsia="Times New Roman"/>
          <w:b/>
          <w:bCs/>
          <w:color w:val="000000"/>
          <w:sz w:val="20"/>
          <w:szCs w:val="20"/>
        </w:rPr>
        <w:t>Net Unrealized Gains (Losses) on AFS Fixed Maturitie</w:t>
      </w:r>
      <w:r>
        <w:rPr>
          <w:rFonts w:eastAsia="Times New Roman"/>
          <w:b/>
          <w:bCs/>
          <w:color w:val="000000"/>
          <w:sz w:val="20"/>
          <w:szCs w:val="20"/>
        </w:rPr>
        <w:t>s</w:t>
      </w:r>
    </w:p>
    <w:p w:rsidR="00000000" w:rsidRDefault="00775A8F">
      <w:pPr>
        <w:divId w:val="583338264"/>
        <w:rPr>
          <w:rFonts w:eastAsia="Times New Roman"/>
        </w:rPr>
      </w:pPr>
    </w:p>
    <w:tbl>
      <w:tblPr>
        <w:tblW w:w="4641" w:type="pct"/>
        <w:tblCellMar>
          <w:top w:w="15" w:type="dxa"/>
          <w:left w:w="15" w:type="dxa"/>
          <w:bottom w:w="15" w:type="dxa"/>
          <w:right w:w="15" w:type="dxa"/>
        </w:tblCellMar>
        <w:tblLook w:val="04A0" w:firstRow="1" w:lastRow="0" w:firstColumn="1" w:lastColumn="0" w:noHBand="0" w:noVBand="1"/>
      </w:tblPr>
      <w:tblGrid>
        <w:gridCol w:w="40"/>
        <w:gridCol w:w="1774"/>
        <w:gridCol w:w="40"/>
        <w:gridCol w:w="136"/>
        <w:gridCol w:w="730"/>
        <w:gridCol w:w="85"/>
        <w:gridCol w:w="36"/>
        <w:gridCol w:w="36"/>
        <w:gridCol w:w="36"/>
        <w:gridCol w:w="135"/>
        <w:gridCol w:w="599"/>
        <w:gridCol w:w="85"/>
        <w:gridCol w:w="36"/>
        <w:gridCol w:w="36"/>
        <w:gridCol w:w="36"/>
        <w:gridCol w:w="136"/>
        <w:gridCol w:w="851"/>
        <w:gridCol w:w="85"/>
        <w:gridCol w:w="36"/>
        <w:gridCol w:w="36"/>
        <w:gridCol w:w="36"/>
        <w:gridCol w:w="135"/>
        <w:gridCol w:w="599"/>
        <w:gridCol w:w="85"/>
        <w:gridCol w:w="36"/>
        <w:gridCol w:w="36"/>
        <w:gridCol w:w="36"/>
        <w:gridCol w:w="136"/>
        <w:gridCol w:w="678"/>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435558629"/>
        </w:trPr>
        <w:tc>
          <w:tcPr>
            <w:tcW w:w="50" w:type="pct"/>
            <w:vAlign w:val="center"/>
            <w:hideMark/>
          </w:tcPr>
          <w:p w:rsidR="00000000" w:rsidRDefault="00775A8F">
            <w:pPr>
              <w:rPr>
                <w:rFonts w:eastAsia="Times New Roman"/>
              </w:rPr>
            </w:pPr>
          </w:p>
        </w:tc>
        <w:tc>
          <w:tcPr>
            <w:tcW w:w="169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43555862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Unrealized Gains (Losses) on Investment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DA</w:t>
            </w:r>
            <w:r>
              <w:rPr>
                <w:rFonts w:eastAsia="Times New Roman"/>
                <w:b/>
                <w:bCs/>
                <w:color w:val="000000"/>
                <w:sz w:val="16"/>
                <w:szCs w:val="16"/>
              </w:rPr>
              <w:t>C</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Policyholders’ 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Deferred Income Tax Asset (Liability</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AOCI Gain (Loss) Related to Net Unrealized Investment Gains (Losses</w:t>
            </w:r>
            <w:r>
              <w:rPr>
                <w:rFonts w:eastAsia="Times New Roman"/>
                <w:b/>
                <w:bCs/>
                <w:color w:val="000000"/>
                <w:sz w:val="16"/>
                <w:szCs w:val="16"/>
              </w:rPr>
              <w:t>)</w:t>
            </w:r>
          </w:p>
        </w:tc>
      </w:tr>
      <w:tr w:rsidR="00000000">
        <w:trPr>
          <w:divId w:val="435558629"/>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435558629"/>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April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5,306</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(921</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(354</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847</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3,184</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gains (losses) arising during the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Reclassification adjustment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Included in Net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Excluded from Net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Impact of net unrealized investment gains (losses) 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DA</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450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Policyholders’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excluding credit losse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8,730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(1,521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(1,297</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4,877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with credit losse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June 30, 202</w:t>
            </w:r>
            <w:r>
              <w:rPr>
                <w:rFonts w:eastAsia="Times New Roman"/>
                <w:b/>
                <w:bCs/>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8,728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(1,521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(1,034</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(1,297</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4,876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35558629"/>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673725674"/>
        <w:rPr>
          <w:rFonts w:eastAsia="Times New Roman"/>
        </w:rPr>
      </w:pPr>
      <w:r>
        <w:rPr>
          <w:rFonts w:eastAsia="Times New Roman"/>
          <w:color w:val="000000"/>
          <w:sz w:val="20"/>
          <w:szCs w:val="20"/>
        </w:rPr>
        <w:t>2</w:t>
      </w:r>
      <w:r>
        <w:rPr>
          <w:rFonts w:eastAsia="Times New Roman"/>
          <w:color w:val="000000"/>
          <w:sz w:val="20"/>
          <w:szCs w:val="20"/>
        </w:rPr>
        <w:t>0</w:t>
      </w:r>
    </w:p>
    <w:p w:rsidR="00000000" w:rsidRDefault="00775A8F">
      <w:pPr>
        <w:rPr>
          <w:rFonts w:eastAsia="Times New Roman"/>
        </w:rPr>
      </w:pPr>
      <w:r>
        <w:rPr>
          <w:rFonts w:eastAsia="Times New Roman"/>
        </w:rPr>
        <w:pict>
          <v:rect id="_x0000_i1046" style="width:0;height:1.5pt" o:hralign="center" o:hrstd="t" o:hr="t" fillcolor="#a0a0a0" stroked="f"/>
        </w:pict>
      </w:r>
    </w:p>
    <w:p w:rsidR="00000000" w:rsidRDefault="00775A8F">
      <w:pPr>
        <w:jc w:val="center"/>
        <w:divId w:val="1199078618"/>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199078618"/>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1" w:type="pct"/>
        <w:tblCellMar>
          <w:top w:w="15" w:type="dxa"/>
          <w:left w:w="15" w:type="dxa"/>
          <w:bottom w:w="15" w:type="dxa"/>
          <w:right w:w="15" w:type="dxa"/>
        </w:tblCellMar>
        <w:tblLook w:val="04A0" w:firstRow="1" w:lastRow="0" w:firstColumn="1" w:lastColumn="0" w:noHBand="0" w:noVBand="1"/>
      </w:tblPr>
      <w:tblGrid>
        <w:gridCol w:w="40"/>
        <w:gridCol w:w="1913"/>
        <w:gridCol w:w="40"/>
        <w:gridCol w:w="136"/>
        <w:gridCol w:w="730"/>
        <w:gridCol w:w="85"/>
        <w:gridCol w:w="36"/>
        <w:gridCol w:w="36"/>
        <w:gridCol w:w="36"/>
        <w:gridCol w:w="135"/>
        <w:gridCol w:w="449"/>
        <w:gridCol w:w="85"/>
        <w:gridCol w:w="36"/>
        <w:gridCol w:w="36"/>
        <w:gridCol w:w="36"/>
        <w:gridCol w:w="136"/>
        <w:gridCol w:w="851"/>
        <w:gridCol w:w="85"/>
        <w:gridCol w:w="36"/>
        <w:gridCol w:w="36"/>
        <w:gridCol w:w="36"/>
        <w:gridCol w:w="136"/>
        <w:gridCol w:w="609"/>
        <w:gridCol w:w="85"/>
        <w:gridCol w:w="36"/>
        <w:gridCol w:w="36"/>
        <w:gridCol w:w="36"/>
        <w:gridCol w:w="136"/>
        <w:gridCol w:w="678"/>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154444304"/>
        </w:trPr>
        <w:tc>
          <w:tcPr>
            <w:tcW w:w="50" w:type="pct"/>
            <w:vAlign w:val="center"/>
            <w:hideMark/>
          </w:tcPr>
          <w:p w:rsidR="00000000" w:rsidRDefault="00775A8F">
            <w:pPr>
              <w:jc w:val="center"/>
              <w:rPr>
                <w:rFonts w:eastAsia="Times New Roman"/>
              </w:rPr>
            </w:pPr>
          </w:p>
        </w:tc>
        <w:tc>
          <w:tcPr>
            <w:tcW w:w="169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115444430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Unrealized Gains (Losses) on Investment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DA</w:t>
            </w:r>
            <w:r>
              <w:rPr>
                <w:rFonts w:eastAsia="Times New Roman"/>
                <w:b/>
                <w:bCs/>
                <w:color w:val="000000"/>
                <w:sz w:val="16"/>
                <w:szCs w:val="16"/>
              </w:rPr>
              <w:t>C</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xml:space="preserve">Policyholders’ </w:t>
            </w:r>
            <w:r>
              <w:rPr>
                <w:rFonts w:eastAsia="Times New Roman"/>
                <w:b/>
                <w:bCs/>
                <w:color w:val="000000"/>
                <w:sz w:val="16"/>
                <w:szCs w:val="16"/>
              </w:rPr>
              <w:t>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Deferred Income Tax Asset (Liability</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AOCI Gain (Loss) Related to Net Unrealized Investment Gains (Losses</w:t>
            </w:r>
            <w:r>
              <w:rPr>
                <w:rFonts w:eastAsia="Times New Roman"/>
                <w:b/>
                <w:bCs/>
                <w:color w:val="000000"/>
                <w:sz w:val="16"/>
                <w:szCs w:val="16"/>
              </w:rPr>
              <w:t>)</w:t>
            </w:r>
          </w:p>
        </w:tc>
      </w:tr>
      <w:tr w:rsidR="00000000">
        <w:trPr>
          <w:divId w:val="1154444304"/>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April 1,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gains (losses) arising during the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Reclassification adjustment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Included in Net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Excluded from Net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Impact of net unrealized investment gains (losses) on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DA</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Policyholders’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excluding credit losse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2,929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with credit losses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5444430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411928879"/>
        <w:rPr>
          <w:rFonts w:eastAsia="Times New Roman"/>
        </w:rPr>
      </w:pPr>
    </w:p>
    <w:tbl>
      <w:tblPr>
        <w:tblW w:w="4641" w:type="pct"/>
        <w:tblCellMar>
          <w:top w:w="15" w:type="dxa"/>
          <w:left w:w="15" w:type="dxa"/>
          <w:bottom w:w="15" w:type="dxa"/>
          <w:right w:w="15" w:type="dxa"/>
        </w:tblCellMar>
        <w:tblLook w:val="04A0" w:firstRow="1" w:lastRow="0" w:firstColumn="1" w:lastColumn="0" w:noHBand="0" w:noVBand="1"/>
      </w:tblPr>
      <w:tblGrid>
        <w:gridCol w:w="40"/>
        <w:gridCol w:w="1583"/>
        <w:gridCol w:w="40"/>
        <w:gridCol w:w="136"/>
        <w:gridCol w:w="730"/>
        <w:gridCol w:w="85"/>
        <w:gridCol w:w="36"/>
        <w:gridCol w:w="36"/>
        <w:gridCol w:w="36"/>
        <w:gridCol w:w="135"/>
        <w:gridCol w:w="599"/>
        <w:gridCol w:w="85"/>
        <w:gridCol w:w="36"/>
        <w:gridCol w:w="36"/>
        <w:gridCol w:w="36"/>
        <w:gridCol w:w="136"/>
        <w:gridCol w:w="851"/>
        <w:gridCol w:w="85"/>
        <w:gridCol w:w="36"/>
        <w:gridCol w:w="36"/>
        <w:gridCol w:w="36"/>
        <w:gridCol w:w="135"/>
        <w:gridCol w:w="599"/>
        <w:gridCol w:w="85"/>
        <w:gridCol w:w="36"/>
        <w:gridCol w:w="36"/>
        <w:gridCol w:w="36"/>
        <w:gridCol w:w="136"/>
        <w:gridCol w:w="869"/>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066373475"/>
        </w:trPr>
        <w:tc>
          <w:tcPr>
            <w:tcW w:w="50" w:type="pct"/>
            <w:vAlign w:val="center"/>
            <w:hideMark/>
          </w:tcPr>
          <w:p w:rsidR="00000000" w:rsidRDefault="00775A8F">
            <w:pPr>
              <w:rPr>
                <w:rFonts w:eastAsia="Times New Roman"/>
              </w:rPr>
            </w:pPr>
          </w:p>
        </w:tc>
        <w:tc>
          <w:tcPr>
            <w:tcW w:w="169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206637347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Unrealized Gains (Losses) on Investment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DA</w:t>
            </w:r>
            <w:r>
              <w:rPr>
                <w:rFonts w:eastAsia="Times New Roman"/>
                <w:b/>
                <w:bCs/>
                <w:color w:val="000000"/>
                <w:sz w:val="16"/>
                <w:szCs w:val="16"/>
              </w:rPr>
              <w:t>C</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Policyholders’ 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Deferred Income Tax Asset (Liability</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r>
              <w:rPr>
                <w:rFonts w:eastAsia="Times New Roman"/>
                <w:b/>
                <w:bCs/>
                <w:color w:val="000000"/>
                <w:sz w:val="16"/>
                <w:szCs w:val="16"/>
              </w:rPr>
              <w:t>)</w:t>
            </w:r>
          </w:p>
        </w:tc>
      </w:tr>
      <w:tr w:rsidR="00000000">
        <w:trPr>
          <w:divId w:val="2066373475"/>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066373475"/>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January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3,453</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(899</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(189</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(497</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1,868</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gains (losses) arising during the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5,536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5,536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Reclassification adjustment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Included in Net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Excluded from Net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Impact of net unrealized investment gains (losses) 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DA</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(801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801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Policyholders’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excluding credit losse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8,737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(1,523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(1,298</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4,881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with credit losse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June 30, 202</w:t>
            </w:r>
            <w:r>
              <w:rPr>
                <w:rFonts w:eastAsia="Times New Roman"/>
                <w:b/>
                <w:bCs/>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8,728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(1,521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(1,034</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(1,297</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4,876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66373475"/>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2097439046"/>
        <w:rPr>
          <w:rFonts w:eastAsia="Times New Roman"/>
        </w:rPr>
      </w:pPr>
      <w:r>
        <w:rPr>
          <w:rFonts w:eastAsia="Times New Roman"/>
          <w:color w:val="000000"/>
          <w:sz w:val="20"/>
          <w:szCs w:val="20"/>
        </w:rPr>
        <w:t>2</w:t>
      </w:r>
      <w:r>
        <w:rPr>
          <w:rFonts w:eastAsia="Times New Roman"/>
          <w:color w:val="000000"/>
          <w:sz w:val="20"/>
          <w:szCs w:val="20"/>
        </w:rPr>
        <w:t>1</w:t>
      </w:r>
    </w:p>
    <w:p w:rsidR="00000000" w:rsidRDefault="00775A8F">
      <w:pPr>
        <w:rPr>
          <w:rFonts w:eastAsia="Times New Roman"/>
        </w:rPr>
      </w:pPr>
      <w:r>
        <w:rPr>
          <w:rFonts w:eastAsia="Times New Roman"/>
        </w:rPr>
        <w:pict>
          <v:rect id="_x0000_i1047" style="width:0;height:1.5pt" o:hralign="center" o:hrstd="t" o:hr="t" fillcolor="#a0a0a0" stroked="f"/>
        </w:pict>
      </w:r>
    </w:p>
    <w:p w:rsidR="00000000" w:rsidRDefault="00775A8F">
      <w:pPr>
        <w:jc w:val="center"/>
        <w:divId w:val="873159324"/>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73159324"/>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1" w:type="pct"/>
        <w:tblCellMar>
          <w:top w:w="15" w:type="dxa"/>
          <w:left w:w="15" w:type="dxa"/>
          <w:bottom w:w="15" w:type="dxa"/>
          <w:right w:w="15" w:type="dxa"/>
        </w:tblCellMar>
        <w:tblLook w:val="04A0" w:firstRow="1" w:lastRow="0" w:firstColumn="1" w:lastColumn="0" w:noHBand="0" w:noVBand="1"/>
      </w:tblPr>
      <w:tblGrid>
        <w:gridCol w:w="40"/>
        <w:gridCol w:w="2467"/>
        <w:gridCol w:w="40"/>
        <w:gridCol w:w="136"/>
        <w:gridCol w:w="730"/>
        <w:gridCol w:w="85"/>
        <w:gridCol w:w="36"/>
        <w:gridCol w:w="36"/>
        <w:gridCol w:w="36"/>
        <w:gridCol w:w="135"/>
        <w:gridCol w:w="568"/>
        <w:gridCol w:w="85"/>
        <w:gridCol w:w="36"/>
        <w:gridCol w:w="36"/>
        <w:gridCol w:w="36"/>
        <w:gridCol w:w="136"/>
        <w:gridCol w:w="851"/>
        <w:gridCol w:w="85"/>
        <w:gridCol w:w="36"/>
        <w:gridCol w:w="36"/>
        <w:gridCol w:w="36"/>
        <w:gridCol w:w="136"/>
        <w:gridCol w:w="609"/>
        <w:gridCol w:w="85"/>
        <w:gridCol w:w="36"/>
        <w:gridCol w:w="36"/>
        <w:gridCol w:w="36"/>
        <w:gridCol w:w="136"/>
        <w:gridCol w:w="869"/>
        <w:gridCol w:w="85"/>
      </w:tblGrid>
      <w:tr w:rsidR="00000000">
        <w:trPr>
          <w:divId w:val="1696229512"/>
        </w:trPr>
        <w:tc>
          <w:tcPr>
            <w:tcW w:w="50" w:type="pct"/>
            <w:vAlign w:val="center"/>
            <w:hideMark/>
          </w:tcPr>
          <w:p w:rsidR="00000000" w:rsidRDefault="00775A8F">
            <w:pPr>
              <w:jc w:val="center"/>
              <w:rPr>
                <w:rFonts w:eastAsia="Times New Roman"/>
              </w:rPr>
            </w:pPr>
          </w:p>
        </w:tc>
        <w:tc>
          <w:tcPr>
            <w:tcW w:w="169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69622951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Unrealized Gains (Losses) on Investment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DA</w:t>
            </w:r>
            <w:r>
              <w:rPr>
                <w:rFonts w:eastAsia="Times New Roman"/>
                <w:b/>
                <w:bCs/>
                <w:color w:val="000000"/>
                <w:sz w:val="16"/>
                <w:szCs w:val="16"/>
              </w:rPr>
              <w:t>C</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xml:space="preserve">Policyholders’ </w:t>
            </w:r>
            <w:r>
              <w:rPr>
                <w:rFonts w:eastAsia="Times New Roman"/>
                <w:b/>
                <w:bCs/>
                <w:color w:val="000000"/>
                <w:sz w:val="16"/>
                <w:szCs w:val="16"/>
              </w:rPr>
              <w:t>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Deferred Income Tax Asset (Liability</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AOCI Gain (Loss) Related to Net Unrealized Investment Gains (Losses</w:t>
            </w:r>
            <w:r>
              <w:rPr>
                <w:rFonts w:eastAsia="Times New Roman"/>
                <w:b/>
                <w:bCs/>
                <w:color w:val="000000"/>
                <w:sz w:val="16"/>
                <w:szCs w:val="16"/>
              </w:rPr>
              <w:t>)</w:t>
            </w:r>
          </w:p>
        </w:tc>
      </w:tr>
      <w:tr w:rsidR="00000000">
        <w:trPr>
          <w:divId w:val="169622951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January 1,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gains (losses) arising during the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Reclassification adjustment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696229512"/>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Included in Net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Excluded from Net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Impact of net unrealized investment gains (losses) on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696229512"/>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DA</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Policyholders’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excluding credit losse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2,929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unrealized investment gains (losses) with credit losses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9622951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(88</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bl>
    <w:p w:rsidR="00000000" w:rsidRDefault="00775A8F">
      <w:pPr>
        <w:ind w:hanging="360"/>
        <w:divId w:val="1318807820"/>
        <w:rPr>
          <w:rFonts w:eastAsia="Times New Roman"/>
        </w:rPr>
      </w:pPr>
      <w:r>
        <w:rPr>
          <w:rFonts w:eastAsia="Times New Roman"/>
          <w:color w:val="000000"/>
          <w:sz w:val="18"/>
          <w:szCs w:val="18"/>
        </w:rPr>
        <w:t>____________</w:t>
      </w:r>
      <w:r>
        <w:rPr>
          <w:rFonts w:eastAsia="Times New Roman"/>
          <w:color w:val="000000"/>
          <w:sz w:val="18"/>
          <w:szCs w:val="18"/>
        </w:rPr>
        <w:t>_</w:t>
      </w:r>
    </w:p>
    <w:p w:rsidR="00000000" w:rsidRDefault="00775A8F">
      <w:pPr>
        <w:ind w:hanging="360"/>
        <w:divId w:val="41840948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Credit losses for 2019 were OTTI losses.</w:t>
      </w:r>
      <w:r>
        <w:rPr>
          <w:rFonts w:eastAsia="Times New Roman"/>
          <w:color w:val="000000"/>
          <w:sz w:val="18"/>
          <w:szCs w:val="18"/>
        </w:rPr>
        <w:t xml:space="preserve"> </w:t>
      </w:r>
    </w:p>
    <w:p w:rsidR="00000000" w:rsidRDefault="00775A8F">
      <w:pPr>
        <w:divId w:val="1583031930"/>
        <w:rPr>
          <w:rFonts w:eastAsia="Times New Roman"/>
        </w:rPr>
      </w:pPr>
      <w:r>
        <w:rPr>
          <w:rFonts w:eastAsia="Times New Roman"/>
          <w:color w:val="000000"/>
          <w:sz w:val="20"/>
          <w:szCs w:val="20"/>
        </w:rPr>
        <w:t>The following tables disclose the fair values and gross unrealized losses of the 652 issues at June 30, 2020 and the 413 issues at December 31, 2019 that are not deemed to have credit losses, aggregated by investme</w:t>
      </w:r>
      <w:r>
        <w:rPr>
          <w:rFonts w:eastAsia="Times New Roman"/>
          <w:color w:val="000000"/>
          <w:sz w:val="20"/>
          <w:szCs w:val="20"/>
        </w:rPr>
        <w:t>nt category and length of time that individual securities have been in a continuous unrealized loss position for the specified periods at the dates indicated.</w:t>
      </w:r>
      <w:r>
        <w:rPr>
          <w:rFonts w:eastAsia="Times New Roman"/>
          <w:color w:val="000000"/>
          <w:sz w:val="20"/>
          <w:szCs w:val="20"/>
        </w:rPr>
        <w:t xml:space="preserve"> </w:t>
      </w:r>
    </w:p>
    <w:p w:rsidR="00000000" w:rsidRDefault="00775A8F">
      <w:pPr>
        <w:jc w:val="center"/>
        <w:rPr>
          <w:rFonts w:eastAsia="Times New Roman"/>
        </w:rPr>
      </w:pPr>
      <w:r>
        <w:rPr>
          <w:rFonts w:eastAsia="Times New Roman"/>
          <w:b/>
          <w:bCs/>
          <w:color w:val="000000"/>
          <w:sz w:val="20"/>
          <w:szCs w:val="20"/>
        </w:rPr>
        <w:t>AFS Fixed Maturities in an Unrealized Loss Position for Which No Allowance Is Recorde</w:t>
      </w:r>
      <w:r>
        <w:rPr>
          <w:rFonts w:eastAsia="Times New Roman"/>
          <w:b/>
          <w:bCs/>
          <w:color w:val="000000"/>
          <w:sz w:val="20"/>
          <w:szCs w:val="20"/>
        </w:rPr>
        <w:t>d</w:t>
      </w:r>
    </w:p>
    <w:tbl>
      <w:tblPr>
        <w:tblW w:w="4649" w:type="pct"/>
        <w:tblCellMar>
          <w:top w:w="15" w:type="dxa"/>
          <w:left w:w="15" w:type="dxa"/>
          <w:bottom w:w="15" w:type="dxa"/>
          <w:right w:w="15" w:type="dxa"/>
        </w:tblCellMar>
        <w:tblLook w:val="04A0" w:firstRow="1" w:lastRow="0" w:firstColumn="1" w:lastColumn="0" w:noHBand="0" w:noVBand="1"/>
      </w:tblPr>
      <w:tblGrid>
        <w:gridCol w:w="40"/>
        <w:gridCol w:w="1365"/>
        <w:gridCol w:w="39"/>
        <w:gridCol w:w="136"/>
        <w:gridCol w:w="591"/>
        <w:gridCol w:w="86"/>
        <w:gridCol w:w="37"/>
        <w:gridCol w:w="40"/>
        <w:gridCol w:w="36"/>
        <w:gridCol w:w="135"/>
        <w:gridCol w:w="590"/>
        <w:gridCol w:w="85"/>
        <w:gridCol w:w="36"/>
        <w:gridCol w:w="36"/>
        <w:gridCol w:w="36"/>
        <w:gridCol w:w="135"/>
        <w:gridCol w:w="365"/>
        <w:gridCol w:w="85"/>
        <w:gridCol w:w="36"/>
        <w:gridCol w:w="36"/>
        <w:gridCol w:w="36"/>
        <w:gridCol w:w="136"/>
        <w:gridCol w:w="584"/>
        <w:gridCol w:w="86"/>
        <w:gridCol w:w="37"/>
        <w:gridCol w:w="40"/>
        <w:gridCol w:w="36"/>
        <w:gridCol w:w="135"/>
        <w:gridCol w:w="583"/>
        <w:gridCol w:w="85"/>
        <w:gridCol w:w="36"/>
        <w:gridCol w:w="36"/>
        <w:gridCol w:w="36"/>
        <w:gridCol w:w="136"/>
        <w:gridCol w:w="638"/>
        <w:gridCol w:w="85"/>
        <w:gridCol w:w="36"/>
        <w:gridCol w:w="36"/>
        <w:gridCol w:w="36"/>
        <w:gridCol w:w="45"/>
        <w:gridCol w:w="45"/>
        <w:gridCol w:w="45"/>
        <w:gridCol w:w="45"/>
        <w:gridCol w:w="45"/>
        <w:gridCol w:w="45"/>
        <w:gridCol w:w="45"/>
        <w:gridCol w:w="45"/>
        <w:gridCol w:w="45"/>
        <w:gridCol w:w="36"/>
        <w:gridCol w:w="36"/>
        <w:gridCol w:w="36"/>
        <w:gridCol w:w="36"/>
        <w:gridCol w:w="36"/>
        <w:gridCol w:w="36"/>
        <w:gridCol w:w="36"/>
        <w:gridCol w:w="36"/>
        <w:gridCol w:w="36"/>
        <w:gridCol w:w="36"/>
        <w:gridCol w:w="36"/>
        <w:gridCol w:w="36"/>
        <w:gridCol w:w="36"/>
        <w:gridCol w:w="36"/>
        <w:gridCol w:w="36"/>
      </w:tblGrid>
      <w:tr w:rsidR="00000000">
        <w:trPr>
          <w:gridAfter w:val="27"/>
          <w:divId w:val="1995377115"/>
        </w:trPr>
        <w:tc>
          <w:tcPr>
            <w:tcW w:w="50" w:type="pct"/>
            <w:vAlign w:val="center"/>
            <w:hideMark/>
          </w:tcPr>
          <w:p w:rsidR="00000000" w:rsidRDefault="00775A8F">
            <w:pPr>
              <w:jc w:val="center"/>
              <w:rPr>
                <w:rFonts w:eastAsia="Times New Roman"/>
              </w:rPr>
            </w:pPr>
          </w:p>
        </w:tc>
        <w:tc>
          <w:tcPr>
            <w:tcW w:w="1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9"/>
          <w:divId w:val="199537711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Less Than 12 Month</w:t>
            </w:r>
            <w:r>
              <w:rPr>
                <w:rFonts w:eastAsia="Times New Roman"/>
                <w:b/>
                <w:bCs/>
                <w:color w:val="000000"/>
                <w:sz w:val="16"/>
                <w:szCs w:val="16"/>
              </w:rPr>
              <w:t>s</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12 Months or Longe</w:t>
            </w:r>
            <w:r>
              <w:rPr>
                <w:rFonts w:eastAsia="Times New Roman"/>
                <w:b/>
                <w:bCs/>
                <w:color w:val="000000"/>
                <w:sz w:val="16"/>
                <w:szCs w:val="16"/>
              </w:rPr>
              <w:t>r</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9"/>
          <w:divId w:val="199537711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Losse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Losse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Losse</w:t>
            </w:r>
            <w:r>
              <w:rPr>
                <w:rFonts w:eastAsia="Times New Roman"/>
                <w:b/>
                <w:bCs/>
                <w:color w:val="000000"/>
                <w:sz w:val="16"/>
                <w:szCs w:val="16"/>
              </w:rPr>
              <w:t>s</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June 30, 2020</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Fixed Maturities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Corporat</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2,574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Asset-backe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1,422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Total at June 30, 202</w:t>
            </w:r>
            <w:r>
              <w:rPr>
                <w:rFonts w:eastAsia="Times New Roman"/>
                <w:b/>
                <w:bCs/>
                <w:color w:val="000000"/>
                <w:sz w:val="20"/>
                <w:szCs w:val="20"/>
              </w:rPr>
              <w:t>0</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4,093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4,454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December 31, 2019: (1) (2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Fixed Maturities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Corporat</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U.S. Treasury, government and agenc</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States and political subdivision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Asset-backe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9537711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at December 31,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7,553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540"/>
        <w:divId w:val="660230405"/>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jc w:val="center"/>
        <w:divId w:val="1163471669"/>
        <w:rPr>
          <w:rFonts w:eastAsia="Times New Roman"/>
        </w:rPr>
      </w:pPr>
      <w:r>
        <w:rPr>
          <w:rFonts w:eastAsia="Times New Roman"/>
          <w:color w:val="000000"/>
          <w:sz w:val="20"/>
          <w:szCs w:val="20"/>
        </w:rPr>
        <w:t>2</w:t>
      </w:r>
      <w:r>
        <w:rPr>
          <w:rFonts w:eastAsia="Times New Roman"/>
          <w:color w:val="000000"/>
          <w:sz w:val="20"/>
          <w:szCs w:val="20"/>
        </w:rPr>
        <w:t>2</w:t>
      </w:r>
    </w:p>
    <w:p w:rsidR="00000000" w:rsidRDefault="00775A8F">
      <w:pPr>
        <w:rPr>
          <w:rFonts w:eastAsia="Times New Roman"/>
        </w:rPr>
      </w:pPr>
      <w:r>
        <w:rPr>
          <w:rFonts w:eastAsia="Times New Roman"/>
        </w:rPr>
        <w:pict>
          <v:rect id="_x0000_i1048" style="width:0;height:1.5pt" o:hralign="center" o:hrstd="t" o:hr="t" fillcolor="#a0a0a0" stroked="f"/>
        </w:pict>
      </w:r>
    </w:p>
    <w:p w:rsidR="00000000" w:rsidRDefault="00775A8F">
      <w:pPr>
        <w:jc w:val="center"/>
        <w:divId w:val="1591574351"/>
        <w:rPr>
          <w:rFonts w:eastAsia="Times New Roman"/>
        </w:rPr>
      </w:pPr>
      <w:r>
        <w:rPr>
          <w:rFonts w:eastAsia="Times New Roman"/>
          <w:b/>
          <w:bCs/>
          <w:color w:val="000000"/>
          <w:sz w:val="20"/>
          <w:szCs w:val="20"/>
        </w:rPr>
        <w:t>EQUITABLE HOLD</w:t>
      </w:r>
      <w:r>
        <w:rPr>
          <w:rFonts w:eastAsia="Times New Roman"/>
          <w:b/>
          <w:bCs/>
          <w:color w:val="000000"/>
          <w:sz w:val="20"/>
          <w:szCs w:val="20"/>
        </w:rPr>
        <w:t>INGS, INC</w:t>
      </w:r>
      <w:r>
        <w:rPr>
          <w:rFonts w:eastAsia="Times New Roman"/>
          <w:b/>
          <w:bCs/>
          <w:color w:val="000000"/>
          <w:sz w:val="20"/>
          <w:szCs w:val="20"/>
        </w:rPr>
        <w:t>.</w:t>
      </w:r>
    </w:p>
    <w:p w:rsidR="00000000" w:rsidRDefault="00775A8F">
      <w:pPr>
        <w:jc w:val="center"/>
        <w:divId w:val="1591574351"/>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ind w:hanging="360"/>
        <w:divId w:val="841942405"/>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Amounts represents fixed maturities in an unrealized loss position that are not deemed to be other-than-temporarily impaired for 2019</w:t>
      </w:r>
      <w:r>
        <w:rPr>
          <w:rFonts w:eastAsia="Times New Roman"/>
          <w:color w:val="000000"/>
          <w:sz w:val="18"/>
          <w:szCs w:val="18"/>
        </w:rPr>
        <w:t>.</w:t>
      </w:r>
    </w:p>
    <w:p w:rsidR="00000000" w:rsidRDefault="00775A8F">
      <w:pPr>
        <w:ind w:hanging="360"/>
        <w:divId w:val="1088889922"/>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Excludes amounts reclassified as Held-</w:t>
      </w:r>
      <w:r>
        <w:rPr>
          <w:rFonts w:eastAsia="Times New Roman"/>
          <w:color w:val="000000"/>
          <w:sz w:val="18"/>
          <w:szCs w:val="18"/>
        </w:rPr>
        <w:t>for-Sale</w:t>
      </w:r>
      <w:r>
        <w:rPr>
          <w:rFonts w:eastAsia="Times New Roman"/>
          <w:color w:val="000000"/>
          <w:sz w:val="18"/>
          <w:szCs w:val="18"/>
        </w:rPr>
        <w:t>.</w:t>
      </w:r>
    </w:p>
    <w:p w:rsidR="00000000" w:rsidRDefault="00775A8F">
      <w:pPr>
        <w:divId w:val="353773146"/>
        <w:rPr>
          <w:rFonts w:eastAsia="Times New Roman"/>
        </w:rPr>
      </w:pPr>
      <w:r>
        <w:rPr>
          <w:rFonts w:eastAsia="Times New Roman"/>
          <w:color w:val="000000"/>
          <w:sz w:val="20"/>
          <w:szCs w:val="20"/>
        </w:rPr>
        <w:t>The Company’s investments in fixed maturities do not include concentrations of credit risk of any single issuer greater than 10% of the consolidated equity of the Company, other than securities of the U.S. government, U.S. government agencies, an</w:t>
      </w:r>
      <w:r>
        <w:rPr>
          <w:rFonts w:eastAsia="Times New Roman"/>
          <w:color w:val="000000"/>
          <w:sz w:val="20"/>
          <w:szCs w:val="20"/>
        </w:rPr>
        <w:t>d certain securities guaranteed by the U.S. government. The Company maintains a diversified portfolio of corporate securities across industries and issuers and does not have exposure to any single issuer in excess of 0.7% of total corporate securities. The</w:t>
      </w:r>
      <w:r>
        <w:rPr>
          <w:rFonts w:eastAsia="Times New Roman"/>
          <w:color w:val="000000"/>
          <w:sz w:val="20"/>
          <w:szCs w:val="20"/>
        </w:rPr>
        <w:t xml:space="preserve"> largest exposures to a single issuer of corporate securities held at June 30, 2020 and December 31, 2019 were $367 million and $309 million, respectively, representing 1.9% and 2.0% of the consolidated equity of the Company</w:t>
      </w:r>
      <w:r>
        <w:rPr>
          <w:rFonts w:eastAsia="Times New Roman"/>
          <w:color w:val="000000"/>
          <w:sz w:val="20"/>
          <w:szCs w:val="20"/>
        </w:rPr>
        <w:t>.</w:t>
      </w:r>
    </w:p>
    <w:p w:rsidR="00000000" w:rsidRDefault="00775A8F">
      <w:pPr>
        <w:divId w:val="1722898559"/>
        <w:rPr>
          <w:rFonts w:eastAsia="Times New Roman"/>
        </w:rPr>
      </w:pPr>
      <w:r>
        <w:rPr>
          <w:rFonts w:eastAsia="Times New Roman"/>
          <w:color w:val="000000"/>
          <w:sz w:val="20"/>
          <w:szCs w:val="20"/>
        </w:rPr>
        <w:t>Corporate high yield securitie</w:t>
      </w:r>
      <w:r>
        <w:rPr>
          <w:rFonts w:eastAsia="Times New Roman"/>
          <w:color w:val="000000"/>
          <w:sz w:val="20"/>
          <w:szCs w:val="20"/>
        </w:rPr>
        <w:t>s, consisting primarily of public high yield bonds, are classified as other than investment grade by the various rating agencies, i.e., a rating below Baa3/BBB- or the National Association of Insurance Commissioners (“NAIC”) designation of 3 (medium invest</w:t>
      </w:r>
      <w:r>
        <w:rPr>
          <w:rFonts w:eastAsia="Times New Roman"/>
          <w:color w:val="000000"/>
          <w:sz w:val="20"/>
          <w:szCs w:val="20"/>
        </w:rPr>
        <w:t xml:space="preserve">ment grade), 4 or 5 (below investment grade) or 6 (in or near default). At June 30, 2020 and December 31, 2019, respectively, approximately $1.9 billion and $1.4 billion, or 2.9% and 2.3%, of the $67.5 billion and $62.9 billion aggregate amortized cost of </w:t>
      </w:r>
      <w:r>
        <w:rPr>
          <w:rFonts w:eastAsia="Times New Roman"/>
          <w:color w:val="000000"/>
          <w:sz w:val="20"/>
          <w:szCs w:val="20"/>
        </w:rPr>
        <w:t>fixed maturities held by the Company were considered to be other than investment grade. These securities had gross unrealized losses of $113 million and $21 million at June 30, 2020 and December 31, 2019, respectively</w:t>
      </w:r>
      <w:r>
        <w:rPr>
          <w:rFonts w:eastAsia="Times New Roman"/>
          <w:color w:val="000000"/>
          <w:sz w:val="20"/>
          <w:szCs w:val="20"/>
        </w:rPr>
        <w:t>.</w:t>
      </w:r>
    </w:p>
    <w:p w:rsidR="00000000" w:rsidRDefault="00775A8F">
      <w:pPr>
        <w:divId w:val="582180791"/>
        <w:rPr>
          <w:rFonts w:eastAsia="Times New Roman"/>
        </w:rPr>
      </w:pPr>
      <w:r>
        <w:rPr>
          <w:rFonts w:eastAsia="Times New Roman"/>
          <w:color w:val="000000"/>
          <w:sz w:val="20"/>
          <w:szCs w:val="20"/>
        </w:rPr>
        <w:t>At June 30, 2020 and December 31, 201</w:t>
      </w:r>
      <w:r>
        <w:rPr>
          <w:rFonts w:eastAsia="Times New Roman"/>
          <w:color w:val="000000"/>
          <w:sz w:val="20"/>
          <w:szCs w:val="20"/>
        </w:rPr>
        <w:t>9, respectively, the $59 million and $32 million of gross unrealized losses of twelve months or more were concentrated in corporate securities, as applicable. In accordance with the policy described in Note 2, the Company concluded that an adjustment to in</w:t>
      </w:r>
      <w:r>
        <w:rPr>
          <w:rFonts w:eastAsia="Times New Roman"/>
          <w:color w:val="000000"/>
          <w:sz w:val="20"/>
          <w:szCs w:val="20"/>
        </w:rPr>
        <w:t>come for OTTI (prior to January 1, 2020) nor an allowance for credit losses (after January 1, 2020) for these securities was not warranted at either June 30, 2020 or December 31, 2019. At June 30, 2020 and December 31, 2019, the Company did not intend to s</w:t>
      </w:r>
      <w:r>
        <w:rPr>
          <w:rFonts w:eastAsia="Times New Roman"/>
          <w:color w:val="000000"/>
          <w:sz w:val="20"/>
          <w:szCs w:val="20"/>
        </w:rPr>
        <w:t>ell the securities nor will it likely be required to dispose of the securities before the anticipated recovery of their remaining amortized cost basis.</w:t>
      </w:r>
      <w:r>
        <w:rPr>
          <w:rFonts w:eastAsia="Times New Roman"/>
          <w:color w:val="000000"/>
          <w:sz w:val="20"/>
          <w:szCs w:val="20"/>
        </w:rPr>
        <w:t xml:space="preserve"> </w:t>
      </w:r>
    </w:p>
    <w:p w:rsidR="00000000" w:rsidRDefault="00775A8F">
      <w:pPr>
        <w:divId w:val="392511616"/>
        <w:rPr>
          <w:rFonts w:eastAsia="Times New Roman"/>
        </w:rPr>
      </w:pPr>
      <w:r>
        <w:rPr>
          <w:rFonts w:eastAsia="Times New Roman"/>
          <w:color w:val="000000"/>
          <w:sz w:val="20"/>
          <w:szCs w:val="20"/>
        </w:rPr>
        <w:t>Based on the Company’s evaluation both qualitatively and quantitatively of the drivers of the decline i</w:t>
      </w:r>
      <w:r>
        <w:rPr>
          <w:rFonts w:eastAsia="Times New Roman"/>
          <w:color w:val="000000"/>
          <w:sz w:val="20"/>
          <w:szCs w:val="20"/>
        </w:rPr>
        <w:t>n fair value of fixed maturity securities as of June 30, 2020, the Company determined that the unrealized loss was primarily due to increases in credit spreads and changes in credit ratings due to the impact of the COVID-19 pandemic on financial markets an</w:t>
      </w:r>
      <w:r>
        <w:rPr>
          <w:rFonts w:eastAsia="Times New Roman"/>
          <w:color w:val="000000"/>
          <w:sz w:val="20"/>
          <w:szCs w:val="20"/>
        </w:rPr>
        <w:t>d assessments of fundamental risks.</w:t>
      </w:r>
      <w:r>
        <w:rPr>
          <w:rFonts w:eastAsia="Times New Roman"/>
          <w:color w:val="000000"/>
          <w:sz w:val="20"/>
          <w:szCs w:val="20"/>
        </w:rPr>
        <w:t xml:space="preserve"> </w:t>
      </w:r>
    </w:p>
    <w:p w:rsidR="00000000" w:rsidRDefault="00775A8F">
      <w:pPr>
        <w:divId w:val="2144541401"/>
        <w:rPr>
          <w:rFonts w:eastAsia="Times New Roman"/>
        </w:rPr>
      </w:pPr>
      <w:r>
        <w:rPr>
          <w:rFonts w:eastAsia="Times New Roman"/>
          <w:color w:val="000000"/>
          <w:sz w:val="20"/>
          <w:szCs w:val="20"/>
          <w:u w:val="single"/>
        </w:rPr>
        <w:t>Mortgage Loan</w:t>
      </w:r>
      <w:r>
        <w:rPr>
          <w:rFonts w:eastAsia="Times New Roman"/>
          <w:color w:val="000000"/>
          <w:sz w:val="20"/>
          <w:szCs w:val="20"/>
          <w:u w:val="single"/>
        </w:rPr>
        <w:t>s</w:t>
      </w:r>
    </w:p>
    <w:p w:rsidR="00000000" w:rsidRDefault="00775A8F">
      <w:pPr>
        <w:divId w:val="248733366"/>
        <w:rPr>
          <w:rFonts w:eastAsia="Times New Roman"/>
        </w:rPr>
      </w:pPr>
      <w:r>
        <w:rPr>
          <w:rFonts w:eastAsia="Times New Roman"/>
          <w:color w:val="000000"/>
          <w:sz w:val="20"/>
          <w:szCs w:val="20"/>
        </w:rPr>
        <w:t>The Company utilizes a PD/LGD model, configured in accordance with the Company’</w:t>
      </w:r>
      <w:r>
        <w:rPr>
          <w:rFonts w:eastAsia="Times New Roman"/>
          <w:color w:val="000000"/>
          <w:sz w:val="20"/>
          <w:szCs w:val="20"/>
        </w:rPr>
        <w:t>s policies that meet the concepts in the CECL framework, to estimate expected credit losses for mortgage loans as a product of PD, LGD and the exposure at default across various economic scenarios. The PD and LGD are estimated at the loan-level based on lo</w:t>
      </w:r>
      <w:r>
        <w:rPr>
          <w:rFonts w:eastAsia="Times New Roman"/>
          <w:color w:val="000000"/>
          <w:sz w:val="20"/>
          <w:szCs w:val="20"/>
        </w:rPr>
        <w:t>ans’ current and forecasted risk characteristics as well as macroeconomic forecasts. The PD is estimated using both macroeconomic conditions as well as individual loan risk characteristics including LTV ratios, DSC ratios, seasoning, collateral type, geogr</w:t>
      </w:r>
      <w:r>
        <w:rPr>
          <w:rFonts w:eastAsia="Times New Roman"/>
          <w:color w:val="000000"/>
          <w:sz w:val="20"/>
          <w:szCs w:val="20"/>
        </w:rPr>
        <w:t>aphy, and underlying credit. The LGD is driven primarily by the type and value of collateral, and secondarily by expected liquidation costs and time to recovery.</w:t>
      </w:r>
      <w:r>
        <w:rPr>
          <w:rFonts w:eastAsia="Times New Roman"/>
          <w:color w:val="000000"/>
          <w:sz w:val="20"/>
          <w:szCs w:val="20"/>
        </w:rPr>
        <w:t xml:space="preserve"> </w:t>
      </w:r>
    </w:p>
    <w:p w:rsidR="00000000" w:rsidRDefault="00775A8F">
      <w:pPr>
        <w:divId w:val="372535031"/>
        <w:rPr>
          <w:rFonts w:eastAsia="Times New Roman"/>
        </w:rPr>
      </w:pPr>
      <w:r>
        <w:rPr>
          <w:rFonts w:eastAsia="Times New Roman"/>
          <w:color w:val="000000"/>
          <w:sz w:val="20"/>
          <w:szCs w:val="20"/>
        </w:rPr>
        <w:t>The model also incorporates the Company’s reasonable and supportable forecasts of the macroec</w:t>
      </w:r>
      <w:r>
        <w:rPr>
          <w:rFonts w:eastAsia="Times New Roman"/>
          <w:color w:val="000000"/>
          <w:sz w:val="20"/>
          <w:szCs w:val="20"/>
        </w:rPr>
        <w:t>onomic variables deemed to be correlated to the credit risk of its loans. The length of the reasonable and supportable forecast period is reassessed on a quarterly basis and may be adjusted as appropriate over time to be consistent with macroeconomic condi</w:t>
      </w:r>
      <w:r>
        <w:rPr>
          <w:rFonts w:eastAsia="Times New Roman"/>
          <w:color w:val="000000"/>
          <w:sz w:val="20"/>
          <w:szCs w:val="20"/>
        </w:rPr>
        <w:t>tions and the environment as of the reporting date. Reversion to historical loss information is performed for periods beyond the reasonable and supportable forecast period</w:t>
      </w:r>
      <w:r>
        <w:rPr>
          <w:rFonts w:eastAsia="Times New Roman"/>
          <w:color w:val="000000"/>
          <w:sz w:val="20"/>
          <w:szCs w:val="20"/>
        </w:rPr>
        <w:t>.</w:t>
      </w:r>
    </w:p>
    <w:p w:rsidR="00000000" w:rsidRDefault="00775A8F">
      <w:pPr>
        <w:divId w:val="677460381"/>
        <w:rPr>
          <w:rFonts w:eastAsia="Times New Roman"/>
        </w:rPr>
      </w:pPr>
      <w:r>
        <w:rPr>
          <w:rFonts w:eastAsia="Times New Roman"/>
          <w:color w:val="000000"/>
          <w:sz w:val="20"/>
          <w:szCs w:val="20"/>
        </w:rPr>
        <w:t>The components of amortized cost for mortgage loans on the consolidated balance she</w:t>
      </w:r>
      <w:r>
        <w:rPr>
          <w:rFonts w:eastAsia="Times New Roman"/>
          <w:color w:val="000000"/>
          <w:sz w:val="20"/>
          <w:szCs w:val="20"/>
        </w:rPr>
        <w:t>ets excludes accrued interest amounts because the Company presents accrued interest receivables within Other assets. Accrued interest receivable on commercial and agricultural mortgage loans at June 30, 2020 was $28 million and $29 million, respectively. A</w:t>
      </w:r>
      <w:r>
        <w:rPr>
          <w:rFonts w:eastAsia="Times New Roman"/>
          <w:color w:val="000000"/>
          <w:sz w:val="20"/>
          <w:szCs w:val="20"/>
        </w:rPr>
        <w:t>ccrued interest of $1 million was written off for the three and six months ended June 30, 2020 for commercial mortgage loans. There was no accrued interest written off for agricultural mortgage loans for the three and six months ended June 30, 2020</w:t>
      </w:r>
      <w:r>
        <w:rPr>
          <w:rFonts w:eastAsia="Times New Roman"/>
          <w:color w:val="000000"/>
          <w:sz w:val="20"/>
          <w:szCs w:val="20"/>
        </w:rPr>
        <w:t>.</w:t>
      </w:r>
    </w:p>
    <w:p w:rsidR="00000000" w:rsidRDefault="00775A8F">
      <w:pPr>
        <w:divId w:val="1586644185"/>
        <w:rPr>
          <w:rFonts w:eastAsia="Times New Roman"/>
        </w:rPr>
      </w:pPr>
      <w:r>
        <w:rPr>
          <w:rFonts w:eastAsia="Times New Roman"/>
          <w:color w:val="000000"/>
          <w:sz w:val="20"/>
          <w:szCs w:val="20"/>
        </w:rPr>
        <w:t>Once m</w:t>
      </w:r>
      <w:r>
        <w:rPr>
          <w:rFonts w:eastAsia="Times New Roman"/>
          <w:color w:val="000000"/>
          <w:sz w:val="20"/>
          <w:szCs w:val="20"/>
        </w:rPr>
        <w:t>ortgage loans are placed on nonaccrual status, the Company reverses accrued interest receivable against interest income. Since the nonaccrual policy results in the timely reversal of accrued interest receivable, the Company does not record an allowance for</w:t>
      </w:r>
      <w:r>
        <w:rPr>
          <w:rFonts w:eastAsia="Times New Roman"/>
          <w:color w:val="000000"/>
          <w:sz w:val="20"/>
          <w:szCs w:val="20"/>
        </w:rPr>
        <w:t xml:space="preserve"> credit losses on accrued interest receivable</w:t>
      </w:r>
      <w:r>
        <w:rPr>
          <w:rFonts w:eastAsia="Times New Roman"/>
          <w:color w:val="000000"/>
          <w:sz w:val="20"/>
          <w:szCs w:val="20"/>
        </w:rPr>
        <w:t>.</w:t>
      </w:r>
    </w:p>
    <w:p w:rsidR="00000000" w:rsidRDefault="00775A8F">
      <w:pPr>
        <w:divId w:val="1193033671"/>
        <w:rPr>
          <w:rFonts w:eastAsia="Times New Roman"/>
        </w:rPr>
      </w:pPr>
      <w:r>
        <w:rPr>
          <w:rFonts w:eastAsia="Times New Roman"/>
          <w:color w:val="000000"/>
          <w:sz w:val="20"/>
          <w:szCs w:val="20"/>
        </w:rPr>
        <w:t>At June 30, 2020, the Company had no loans for which foreclosure was probable included within the individually assessed mortgage loans, and accordingly had no associated allowance for credit losses</w:t>
      </w:r>
      <w:r>
        <w:rPr>
          <w:rFonts w:eastAsia="Times New Roman"/>
          <w:color w:val="000000"/>
          <w:sz w:val="20"/>
          <w:szCs w:val="20"/>
        </w:rPr>
        <w:t>.</w:t>
      </w:r>
    </w:p>
    <w:p w:rsidR="00000000" w:rsidRDefault="00775A8F">
      <w:pPr>
        <w:jc w:val="center"/>
        <w:divId w:val="1484931275"/>
        <w:rPr>
          <w:rFonts w:eastAsia="Times New Roman"/>
        </w:rPr>
      </w:pPr>
      <w:r>
        <w:rPr>
          <w:rFonts w:eastAsia="Times New Roman"/>
          <w:color w:val="000000"/>
          <w:sz w:val="20"/>
          <w:szCs w:val="20"/>
        </w:rPr>
        <w:t>2</w:t>
      </w:r>
      <w:r>
        <w:rPr>
          <w:rFonts w:eastAsia="Times New Roman"/>
          <w:color w:val="000000"/>
          <w:sz w:val="20"/>
          <w:szCs w:val="20"/>
        </w:rPr>
        <w:t>3</w:t>
      </w:r>
    </w:p>
    <w:p w:rsidR="00000000" w:rsidRDefault="00775A8F">
      <w:pPr>
        <w:rPr>
          <w:rFonts w:eastAsia="Times New Roman"/>
        </w:rPr>
      </w:pPr>
      <w:r>
        <w:rPr>
          <w:rFonts w:eastAsia="Times New Roman"/>
        </w:rPr>
        <w:pict>
          <v:rect id="_x0000_i1049" style="width:0;height:1.5pt" o:hralign="center" o:hrstd="t" o:hr="t" fillcolor="#a0a0a0" stroked="f"/>
        </w:pict>
      </w:r>
    </w:p>
    <w:p w:rsidR="00000000" w:rsidRDefault="00775A8F">
      <w:pPr>
        <w:jc w:val="center"/>
        <w:divId w:val="338193655"/>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338193655"/>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822966025"/>
        <w:rPr>
          <w:rFonts w:eastAsia="Times New Roman"/>
        </w:rPr>
      </w:pPr>
      <w:r>
        <w:rPr>
          <w:rFonts w:eastAsia="Times New Roman"/>
          <w:color w:val="000000"/>
          <w:sz w:val="20"/>
          <w:szCs w:val="20"/>
          <w:u w:val="single"/>
        </w:rPr>
        <w:t>Allowance for Credit Losses on Mortgage Loan</w:t>
      </w:r>
      <w:r>
        <w:rPr>
          <w:rFonts w:eastAsia="Times New Roman"/>
          <w:color w:val="000000"/>
          <w:sz w:val="20"/>
          <w:szCs w:val="20"/>
          <w:u w:val="single"/>
        </w:rPr>
        <w:t>s</w:t>
      </w:r>
    </w:p>
    <w:p w:rsidR="00000000" w:rsidRDefault="00775A8F">
      <w:pPr>
        <w:divId w:val="349141094"/>
        <w:rPr>
          <w:rFonts w:eastAsia="Times New Roman"/>
        </w:rPr>
      </w:pPr>
      <w:r>
        <w:rPr>
          <w:rFonts w:eastAsia="Times New Roman"/>
          <w:color w:val="000000"/>
          <w:sz w:val="20"/>
          <w:szCs w:val="20"/>
        </w:rPr>
        <w:t>The change in the allowance for credit losses for commercial mortgage loans and agricultu</w:t>
      </w:r>
      <w:r>
        <w:rPr>
          <w:rFonts w:eastAsia="Times New Roman"/>
          <w:color w:val="000000"/>
          <w:sz w:val="20"/>
          <w:szCs w:val="20"/>
        </w:rPr>
        <w:t>ral mortgage loans during the three and six months ended June 30, 2020 was as follows</w:t>
      </w:r>
      <w:r>
        <w:rPr>
          <w:rFonts w:eastAsia="Times New Roman"/>
          <w:color w:val="000000"/>
          <w:sz w:val="20"/>
          <w:szCs w:val="20"/>
        </w:rPr>
        <w:t>:</w:t>
      </w:r>
    </w:p>
    <w:tbl>
      <w:tblPr>
        <w:tblW w:w="4692" w:type="pct"/>
        <w:tblCellMar>
          <w:top w:w="15" w:type="dxa"/>
          <w:left w:w="15" w:type="dxa"/>
          <w:bottom w:w="15" w:type="dxa"/>
          <w:right w:w="15" w:type="dxa"/>
        </w:tblCellMar>
        <w:tblLook w:val="04A0" w:firstRow="1" w:lastRow="0" w:firstColumn="1" w:lastColumn="0" w:noHBand="0" w:noVBand="1"/>
      </w:tblPr>
      <w:tblGrid>
        <w:gridCol w:w="42"/>
        <w:gridCol w:w="4717"/>
        <w:gridCol w:w="42"/>
        <w:gridCol w:w="135"/>
        <w:gridCol w:w="1091"/>
        <w:gridCol w:w="85"/>
        <w:gridCol w:w="36"/>
        <w:gridCol w:w="36"/>
        <w:gridCol w:w="36"/>
        <w:gridCol w:w="135"/>
        <w:gridCol w:w="1066"/>
        <w:gridCol w:w="85"/>
        <w:gridCol w:w="36"/>
        <w:gridCol w:w="36"/>
        <w:gridCol w:w="36"/>
        <w:gridCol w:w="36"/>
        <w:gridCol w:w="36"/>
        <w:gridCol w:w="36"/>
        <w:gridCol w:w="36"/>
        <w:gridCol w:w="36"/>
      </w:tblGrid>
      <w:tr w:rsidR="00000000">
        <w:trPr>
          <w:gridAfter w:val="6"/>
          <w:divId w:val="1575047632"/>
        </w:trPr>
        <w:tc>
          <w:tcPr>
            <w:tcW w:w="50" w:type="pct"/>
            <w:vAlign w:val="center"/>
            <w:hideMark/>
          </w:tcPr>
          <w:p w:rsidR="00000000" w:rsidRDefault="00775A8F">
            <w:pPr>
              <w:rPr>
                <w:rFonts w:eastAsia="Times New Roman"/>
              </w:rPr>
            </w:pPr>
          </w:p>
        </w:tc>
        <w:tc>
          <w:tcPr>
            <w:tcW w:w="31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4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57504763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75047632"/>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Allowance for credit losses on mortgage loans (1)</w:t>
            </w:r>
            <w:r>
              <w:rPr>
                <w:rFonts w:eastAsia="Times New Roman"/>
                <w:b/>
                <w:bCs/>
                <w:color w:val="000000"/>
                <w:sz w:val="20"/>
                <w:szCs w:val="20"/>
              </w:rPr>
              <w:t>:</w:t>
            </w:r>
          </w:p>
        </w:tc>
        <w:tc>
          <w:tcPr>
            <w:tcW w:w="0" w:type="auto"/>
            <w:gridSpan w:val="9"/>
            <w:tcMar>
              <w:top w:w="15" w:type="dxa"/>
              <w:left w:w="20" w:type="dxa"/>
              <w:bottom w:w="15" w:type="dxa"/>
              <w:right w:w="20" w:type="dxa"/>
            </w:tcMar>
            <w:vAlign w:val="bottom"/>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Commercial mortgages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FFFFFF"/>
            <w:tcMar>
              <w:top w:w="15" w:type="dxa"/>
              <w:left w:w="20" w:type="dxa"/>
              <w:bottom w:w="15" w:type="dxa"/>
              <w:right w:w="20" w:type="dxa"/>
            </w:tcMar>
            <w:hideMark/>
          </w:tcPr>
          <w:p w:rsidR="00000000" w:rsidRDefault="00775A8F">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Current-period provision for expected credit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Write-offs charged against the allowanc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Recoveries of amounts previously written of</w:t>
            </w:r>
            <w:r>
              <w:rPr>
                <w:rFonts w:eastAsia="Times New Roman"/>
                <w:color w:val="000000"/>
                <w:sz w:val="20"/>
                <w:szCs w:val="20"/>
              </w:rPr>
              <w:t>f</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change in allowanc</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8"/>
                <w:szCs w:val="18"/>
              </w:rPr>
              <w:t>Ending Balance, June 30</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Agricultural mortgages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FFFFFF"/>
            <w:tcMar>
              <w:top w:w="15" w:type="dxa"/>
              <w:left w:w="20" w:type="dxa"/>
              <w:bottom w:w="15" w:type="dxa"/>
              <w:right w:w="20" w:type="dxa"/>
            </w:tcMar>
            <w:hideMark/>
          </w:tcPr>
          <w:p w:rsidR="00000000" w:rsidRDefault="00775A8F">
            <w:pPr>
              <w:rPr>
                <w:rFonts w:eastAsia="Times New Roman"/>
              </w:rPr>
            </w:pPr>
            <w:r>
              <w:rPr>
                <w:rFonts w:eastAsia="Times New Roman"/>
                <w:color w:val="000000"/>
                <w:sz w:val="20"/>
                <w:szCs w:val="20"/>
              </w:rPr>
              <w:t>Balance, beginning of perio</w:t>
            </w:r>
            <w:r>
              <w:rPr>
                <w:rFonts w:eastAsia="Times New Roman"/>
                <w:color w:val="000000"/>
                <w:sz w:val="20"/>
                <w:szCs w:val="20"/>
              </w:rPr>
              <w:t>d</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Current-period provision for expected credit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Write-offs charged against the allowanc</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Recoveries of amounts previously written of</w:t>
            </w:r>
            <w:r>
              <w:rPr>
                <w:rFonts w:eastAsia="Times New Roman"/>
                <w:color w:val="000000"/>
                <w:sz w:val="20"/>
                <w:szCs w:val="20"/>
              </w:rPr>
              <w:t>f</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change in allowanc</w:t>
            </w:r>
            <w:r>
              <w:rPr>
                <w:rFonts w:eastAsia="Times New Roman"/>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8"/>
                <w:szCs w:val="18"/>
              </w:rPr>
              <w:t>Ending Balance, June 30</w:t>
            </w:r>
            <w:r>
              <w:rPr>
                <w:rFonts w:eastAsia="Times New Roman"/>
                <w:b/>
                <w:bCs/>
                <w:color w:val="000000"/>
                <w:sz w:val="18"/>
                <w:szCs w:val="18"/>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504763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allowance for credit losse</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171409866"/>
        <w:rPr>
          <w:rFonts w:eastAsia="Times New Roman"/>
        </w:rPr>
      </w:pPr>
      <w:r>
        <w:rPr>
          <w:rFonts w:eastAsia="Times New Roman"/>
          <w:color w:val="000000"/>
          <w:sz w:val="20"/>
          <w:szCs w:val="20"/>
        </w:rPr>
        <w:t>________</w:t>
      </w:r>
      <w:r>
        <w:rPr>
          <w:rFonts w:eastAsia="Times New Roman"/>
          <w:color w:val="000000"/>
          <w:sz w:val="20"/>
          <w:szCs w:val="20"/>
        </w:rPr>
        <w:t>______</w:t>
      </w:r>
      <w:r>
        <w:rPr>
          <w:rFonts w:eastAsia="Times New Roman"/>
          <w:color w:val="000000"/>
          <w:sz w:val="20"/>
          <w:szCs w:val="20"/>
        </w:rPr>
        <w:t>_</w:t>
      </w:r>
    </w:p>
    <w:p w:rsidR="00000000" w:rsidRDefault="00775A8F">
      <w:pPr>
        <w:ind w:hanging="360"/>
        <w:divId w:val="751852764"/>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See Note 2 for discussion of the transition balance.</w:t>
      </w:r>
      <w:r>
        <w:rPr>
          <w:rFonts w:eastAsia="Times New Roman"/>
          <w:color w:val="000000"/>
          <w:sz w:val="18"/>
          <w:szCs w:val="18"/>
        </w:rPr>
        <w:t xml:space="preserve"> </w:t>
      </w:r>
    </w:p>
    <w:p w:rsidR="00000000" w:rsidRDefault="00775A8F">
      <w:pPr>
        <w:divId w:val="2145005727"/>
        <w:rPr>
          <w:rFonts w:eastAsia="Times New Roman"/>
        </w:rPr>
      </w:pPr>
      <w:r>
        <w:rPr>
          <w:rFonts w:eastAsia="Times New Roman"/>
          <w:color w:val="000000"/>
          <w:sz w:val="20"/>
          <w:szCs w:val="20"/>
        </w:rPr>
        <w:t>The change in the allowance for credit losses is attributable to</w:t>
      </w:r>
      <w:r>
        <w:rPr>
          <w:rFonts w:eastAsia="Times New Roman"/>
          <w:color w:val="000000"/>
          <w:sz w:val="20"/>
          <w:szCs w:val="20"/>
        </w:rPr>
        <w:t>:</w:t>
      </w:r>
    </w:p>
    <w:p w:rsidR="00000000" w:rsidRDefault="00775A8F">
      <w:pPr>
        <w:ind w:hanging="360"/>
        <w:divId w:val="1544098859"/>
        <w:rPr>
          <w:rFonts w:eastAsia="Times New Roman"/>
        </w:rPr>
      </w:pPr>
      <w:r>
        <w:rPr>
          <w:rFonts w:eastAsia="Times New Roman"/>
          <w:color w:val="000000"/>
          <w:sz w:val="20"/>
          <w:szCs w:val="20"/>
        </w:rPr>
        <w:t>•</w:t>
      </w:r>
      <w:r>
        <w:rPr>
          <w:rFonts w:eastAsia="Times New Roman"/>
          <w:color w:val="000000"/>
          <w:sz w:val="20"/>
          <w:szCs w:val="20"/>
        </w:rPr>
        <w:t>increases/decreases in the loan balance due to new originations, maturing mortgages, and loan amortization</w:t>
      </w:r>
      <w:r>
        <w:rPr>
          <w:rFonts w:eastAsia="Times New Roman"/>
          <w:color w:val="000000"/>
          <w:sz w:val="20"/>
          <w:szCs w:val="20"/>
        </w:rPr>
        <w:t>;</w:t>
      </w:r>
    </w:p>
    <w:p w:rsidR="00000000" w:rsidRDefault="00775A8F">
      <w:pPr>
        <w:ind w:hanging="360"/>
        <w:divId w:val="1329551486"/>
        <w:rPr>
          <w:rFonts w:eastAsia="Times New Roman"/>
        </w:rPr>
      </w:pPr>
      <w:r>
        <w:rPr>
          <w:rFonts w:eastAsia="Times New Roman"/>
          <w:color w:val="000000"/>
          <w:sz w:val="20"/>
          <w:szCs w:val="20"/>
        </w:rPr>
        <w:t>•</w:t>
      </w:r>
      <w:r>
        <w:rPr>
          <w:rFonts w:eastAsia="Times New Roman"/>
          <w:color w:val="000000"/>
          <w:sz w:val="20"/>
          <w:szCs w:val="20"/>
        </w:rPr>
        <w:t>changes in cred</w:t>
      </w:r>
      <w:r>
        <w:rPr>
          <w:rFonts w:eastAsia="Times New Roman"/>
          <w:color w:val="000000"/>
          <w:sz w:val="20"/>
          <w:szCs w:val="20"/>
        </w:rPr>
        <w:t>it quality; an</w:t>
      </w:r>
      <w:r>
        <w:rPr>
          <w:rFonts w:eastAsia="Times New Roman"/>
          <w:color w:val="000000"/>
          <w:sz w:val="20"/>
          <w:szCs w:val="20"/>
        </w:rPr>
        <w:t>d</w:t>
      </w:r>
    </w:p>
    <w:p w:rsidR="00000000" w:rsidRDefault="00775A8F">
      <w:pPr>
        <w:ind w:hanging="360"/>
        <w:divId w:val="1767772505"/>
        <w:rPr>
          <w:rFonts w:eastAsia="Times New Roman"/>
        </w:rPr>
      </w:pPr>
      <w:r>
        <w:rPr>
          <w:rFonts w:eastAsia="Times New Roman"/>
          <w:color w:val="000000"/>
          <w:sz w:val="20"/>
          <w:szCs w:val="20"/>
        </w:rPr>
        <w:t>•</w:t>
      </w:r>
      <w:r>
        <w:rPr>
          <w:rFonts w:eastAsia="Times New Roman"/>
          <w:color w:val="000000"/>
          <w:sz w:val="20"/>
          <w:szCs w:val="20"/>
        </w:rPr>
        <w:t>changes in market assumptions primarily related to COVID-19 driven economic changes</w:t>
      </w:r>
      <w:r>
        <w:rPr>
          <w:rFonts w:eastAsia="Times New Roman"/>
          <w:color w:val="000000"/>
          <w:sz w:val="20"/>
          <w:szCs w:val="20"/>
        </w:rPr>
        <w:t>.</w:t>
      </w:r>
    </w:p>
    <w:p w:rsidR="00000000" w:rsidRDefault="00775A8F">
      <w:pPr>
        <w:divId w:val="56708057"/>
        <w:rPr>
          <w:rFonts w:eastAsia="Times New Roman"/>
        </w:rPr>
      </w:pPr>
      <w:r>
        <w:rPr>
          <w:rFonts w:eastAsia="Times New Roman"/>
          <w:color w:val="000000"/>
          <w:sz w:val="20"/>
          <w:szCs w:val="20"/>
          <w:u w:val="single"/>
        </w:rPr>
        <w:t>Credit Quality Informatio</w:t>
      </w:r>
      <w:r>
        <w:rPr>
          <w:rFonts w:eastAsia="Times New Roman"/>
          <w:color w:val="000000"/>
          <w:sz w:val="20"/>
          <w:szCs w:val="20"/>
          <w:u w:val="single"/>
        </w:rPr>
        <w:t>n</w:t>
      </w:r>
    </w:p>
    <w:p w:rsidR="00000000" w:rsidRDefault="00775A8F">
      <w:pPr>
        <w:divId w:val="1864324849"/>
        <w:rPr>
          <w:rFonts w:eastAsia="Times New Roman"/>
        </w:rPr>
      </w:pPr>
      <w:r>
        <w:rPr>
          <w:rFonts w:eastAsia="Times New Roman"/>
          <w:color w:val="000000"/>
          <w:sz w:val="20"/>
          <w:szCs w:val="20"/>
        </w:rPr>
        <w:t>The following tables summarize the Company’</w:t>
      </w:r>
      <w:r>
        <w:rPr>
          <w:rFonts w:eastAsia="Times New Roman"/>
          <w:color w:val="000000"/>
          <w:sz w:val="20"/>
          <w:szCs w:val="20"/>
        </w:rPr>
        <w:t>s mortgage loans segregated by risk rating exposure at June 30, 2020</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LTV Ratios (1)(3</w:t>
      </w:r>
      <w:r>
        <w:rPr>
          <w:rFonts w:eastAsia="Times New Roman"/>
          <w:b/>
          <w:bCs/>
          <w:color w:val="000000"/>
          <w:sz w:val="20"/>
          <w:szCs w:val="20"/>
        </w:rPr>
        <w:t>)</w:t>
      </w:r>
    </w:p>
    <w:tbl>
      <w:tblPr>
        <w:tblW w:w="4853" w:type="pct"/>
        <w:jc w:val="center"/>
        <w:tblCellMar>
          <w:top w:w="15" w:type="dxa"/>
          <w:left w:w="15" w:type="dxa"/>
          <w:bottom w:w="15" w:type="dxa"/>
          <w:right w:w="15" w:type="dxa"/>
        </w:tblCellMar>
        <w:tblLook w:val="04A0" w:firstRow="1" w:lastRow="0" w:firstColumn="1" w:lastColumn="0" w:noHBand="0" w:noVBand="1"/>
      </w:tblPr>
      <w:tblGrid>
        <w:gridCol w:w="45"/>
        <w:gridCol w:w="1663"/>
        <w:gridCol w:w="45"/>
        <w:gridCol w:w="135"/>
        <w:gridCol w:w="407"/>
        <w:gridCol w:w="85"/>
        <w:gridCol w:w="36"/>
        <w:gridCol w:w="36"/>
        <w:gridCol w:w="36"/>
        <w:gridCol w:w="135"/>
        <w:gridCol w:w="383"/>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544489313"/>
          <w:jc w:val="center"/>
        </w:trPr>
        <w:tc>
          <w:tcPr>
            <w:tcW w:w="50" w:type="pct"/>
            <w:vAlign w:val="center"/>
            <w:hideMark/>
          </w:tcPr>
          <w:p w:rsidR="00000000" w:rsidRDefault="00775A8F">
            <w:pPr>
              <w:jc w:val="center"/>
              <w:rPr>
                <w:rFonts w:eastAsia="Times New Roman"/>
              </w:rPr>
            </w:pPr>
          </w:p>
        </w:tc>
        <w:tc>
          <w:tcPr>
            <w:tcW w:w="124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544489313"/>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At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Amortized Cost Basis by Origination Yea</w:t>
            </w:r>
            <w:r>
              <w:rPr>
                <w:rFonts w:eastAsia="Times New Roman"/>
                <w:b/>
                <w:bCs/>
                <w:color w:val="000000"/>
                <w:sz w:val="16"/>
                <w:szCs w:val="16"/>
              </w:rPr>
              <w:t>r</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Prio</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tcMar>
              <w:top w:w="30" w:type="dxa"/>
              <w:left w:w="20" w:type="dxa"/>
              <w:bottom w:w="30" w:type="dxa"/>
              <w:right w:w="20" w:type="dxa"/>
            </w:tcMar>
            <w:vAlign w:val="bottom"/>
            <w:hideMark/>
          </w:tcPr>
          <w:p w:rsidR="00000000" w:rsidRDefault="00775A8F">
            <w:pPr>
              <w:divId w:val="2059010603"/>
              <w:rPr>
                <w:rFonts w:eastAsia="Times New Roman"/>
              </w:rPr>
            </w:pPr>
            <w:r>
              <w:rPr>
                <w:rFonts w:eastAsia="Times New Roman"/>
                <w:b/>
                <w:bCs/>
                <w:color w:val="000000"/>
                <w:sz w:val="20"/>
                <w:szCs w:val="20"/>
              </w:rPr>
              <w:t>Mortgage loans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Commercial</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544489313"/>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613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759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2,501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1,714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7,158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544489313"/>
          <w:jc w:val="center"/>
        </w:trPr>
        <w:tc>
          <w:tcPr>
            <w:tcW w:w="0" w:type="auto"/>
            <w:gridSpan w:val="3"/>
            <w:shd w:val="clear" w:color="auto" w:fill="FFFFFF"/>
            <w:tcMar>
              <w:top w:w="30" w:type="dxa"/>
              <w:left w:w="240" w:type="dxa"/>
              <w:bottom w:w="30" w:type="dxa"/>
              <w:right w:w="20" w:type="dxa"/>
            </w:tcMar>
            <w:hideMark/>
          </w:tcPr>
          <w:p w:rsidR="00000000" w:rsidRDefault="00775A8F">
            <w:pPr>
              <w:rPr>
                <w:rFonts w:eastAsia="Times New Roman"/>
              </w:rPr>
            </w:pPr>
            <w:r>
              <w:rPr>
                <w:rFonts w:eastAsia="Times New Roman"/>
                <w:color w:val="000000"/>
                <w:sz w:val="20"/>
                <w:szCs w:val="20"/>
              </w:rPr>
              <w:t>Total commercia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746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797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1,248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1,201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2,772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3,082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9,846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44489313"/>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Agricultural</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544489313"/>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733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4984237"/>
        <w:rPr>
          <w:rFonts w:eastAsia="Times New Roman"/>
        </w:rPr>
      </w:pPr>
      <w:r>
        <w:rPr>
          <w:rFonts w:eastAsia="Times New Roman"/>
          <w:color w:val="000000"/>
          <w:sz w:val="20"/>
          <w:szCs w:val="20"/>
        </w:rPr>
        <w:t>2</w:t>
      </w:r>
      <w:r>
        <w:rPr>
          <w:rFonts w:eastAsia="Times New Roman"/>
          <w:color w:val="000000"/>
          <w:sz w:val="20"/>
          <w:szCs w:val="20"/>
        </w:rPr>
        <w:t>4</w:t>
      </w:r>
    </w:p>
    <w:p w:rsidR="00000000" w:rsidRDefault="00775A8F">
      <w:pPr>
        <w:rPr>
          <w:rFonts w:eastAsia="Times New Roman"/>
        </w:rPr>
      </w:pPr>
      <w:r>
        <w:rPr>
          <w:rFonts w:eastAsia="Times New Roman"/>
        </w:rPr>
        <w:pict>
          <v:rect id="_x0000_i1050" style="width:0;height:1.5pt" o:hralign="center" o:hrstd="t" o:hr="t" fillcolor="#a0a0a0" stroked="f"/>
        </w:pict>
      </w:r>
    </w:p>
    <w:p w:rsidR="00000000" w:rsidRDefault="00775A8F">
      <w:pPr>
        <w:jc w:val="center"/>
        <w:divId w:val="173593320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735933206"/>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853" w:type="pct"/>
        <w:jc w:val="center"/>
        <w:tblCellMar>
          <w:top w:w="15" w:type="dxa"/>
          <w:left w:w="15" w:type="dxa"/>
          <w:bottom w:w="15" w:type="dxa"/>
          <w:right w:w="15" w:type="dxa"/>
        </w:tblCellMar>
        <w:tblLook w:val="04A0" w:firstRow="1" w:lastRow="0" w:firstColumn="1" w:lastColumn="0" w:noHBand="0" w:noVBand="1"/>
      </w:tblPr>
      <w:tblGrid>
        <w:gridCol w:w="44"/>
        <w:gridCol w:w="1326"/>
        <w:gridCol w:w="43"/>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256640042"/>
          <w:jc w:val="center"/>
        </w:trPr>
        <w:tc>
          <w:tcPr>
            <w:tcW w:w="50" w:type="pct"/>
            <w:vAlign w:val="center"/>
            <w:hideMark/>
          </w:tcPr>
          <w:p w:rsidR="00000000" w:rsidRDefault="00775A8F">
            <w:pPr>
              <w:jc w:val="center"/>
              <w:rPr>
                <w:rFonts w:eastAsia="Times New Roman"/>
              </w:rPr>
            </w:pPr>
          </w:p>
        </w:tc>
        <w:tc>
          <w:tcPr>
            <w:tcW w:w="124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25664004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At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Amortized Cost Basis by Origination Yea</w:t>
            </w:r>
            <w:r>
              <w:rPr>
                <w:rFonts w:eastAsia="Times New Roman"/>
                <w:b/>
                <w:bCs/>
                <w:color w:val="000000"/>
                <w:sz w:val="16"/>
                <w:szCs w:val="16"/>
              </w:rPr>
              <w:t>r</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Prio</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394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256640042"/>
          <w:jc w:val="center"/>
        </w:trPr>
        <w:tc>
          <w:tcPr>
            <w:tcW w:w="0" w:type="auto"/>
            <w:gridSpan w:val="3"/>
            <w:shd w:val="clear" w:color="auto" w:fill="CCEEFF"/>
            <w:tcMar>
              <w:top w:w="30" w:type="dxa"/>
              <w:left w:w="240" w:type="dxa"/>
              <w:bottom w:w="30" w:type="dxa"/>
              <w:right w:w="20" w:type="dxa"/>
            </w:tcMar>
            <w:hideMark/>
          </w:tcPr>
          <w:p w:rsidR="00000000" w:rsidRDefault="00775A8F">
            <w:pPr>
              <w:rPr>
                <w:rFonts w:eastAsia="Times New Roman"/>
              </w:rPr>
            </w:pPr>
            <w:r>
              <w:rPr>
                <w:rFonts w:eastAsia="Times New Roman"/>
                <w:color w:val="000000"/>
                <w:sz w:val="20"/>
                <w:szCs w:val="20"/>
              </w:rPr>
              <w:t>Total agricultura</w:t>
            </w:r>
            <w:r>
              <w:rPr>
                <w:rFonts w:eastAsia="Times New Roman"/>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310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348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383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1,145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2,743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mortgage loans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256640042"/>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491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467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1,481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2,872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752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1,101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871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2,630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2,108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8,322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307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56640042"/>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256640042"/>
          <w:jc w:val="center"/>
        </w:trPr>
        <w:tc>
          <w:tcPr>
            <w:tcW w:w="0" w:type="auto"/>
            <w:gridSpan w:val="3"/>
            <w:shd w:val="clear" w:color="auto" w:fill="FFFFFF"/>
            <w:tcMar>
              <w:top w:w="30" w:type="dxa"/>
              <w:left w:w="240" w:type="dxa"/>
              <w:bottom w:w="30" w:type="dxa"/>
              <w:right w:w="20" w:type="dxa"/>
            </w:tcMar>
            <w:hideMark/>
          </w:tcPr>
          <w:p w:rsidR="00000000" w:rsidRDefault="00775A8F">
            <w:pPr>
              <w:rPr>
                <w:rFonts w:eastAsia="Times New Roman"/>
              </w:rPr>
            </w:pPr>
            <w:r>
              <w:rPr>
                <w:rFonts w:eastAsia="Times New Roman"/>
                <w:color w:val="000000"/>
                <w:sz w:val="20"/>
                <w:szCs w:val="20"/>
              </w:rPr>
              <w:t>Total mortgage loan</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1,056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1,075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1,596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1,480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3,155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4,227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rPr>
          <w:rFonts w:eastAsia="Times New Roman"/>
        </w:rPr>
      </w:pPr>
    </w:p>
    <w:p w:rsidR="00000000" w:rsidRDefault="00775A8F">
      <w:pPr>
        <w:jc w:val="center"/>
        <w:rPr>
          <w:rFonts w:eastAsia="Times New Roman"/>
        </w:rPr>
      </w:pPr>
      <w:r>
        <w:rPr>
          <w:rFonts w:eastAsia="Times New Roman"/>
          <w:b/>
          <w:bCs/>
          <w:color w:val="000000"/>
          <w:sz w:val="20"/>
          <w:szCs w:val="20"/>
        </w:rPr>
        <w:t>Debt Service Coverage Ratios (2)(3</w:t>
      </w:r>
      <w:r>
        <w:rPr>
          <w:rFonts w:eastAsia="Times New Roman"/>
          <w:b/>
          <w:bCs/>
          <w:color w:val="000000"/>
          <w:sz w:val="20"/>
          <w:szCs w:val="20"/>
        </w:rPr>
        <w:t>)</w:t>
      </w:r>
    </w:p>
    <w:tbl>
      <w:tblPr>
        <w:tblW w:w="4729" w:type="pct"/>
        <w:jc w:val="center"/>
        <w:tblCellMar>
          <w:top w:w="15" w:type="dxa"/>
          <w:left w:w="15" w:type="dxa"/>
          <w:bottom w:w="15" w:type="dxa"/>
          <w:right w:w="15" w:type="dxa"/>
        </w:tblCellMar>
        <w:tblLook w:val="04A0" w:firstRow="1" w:lastRow="0" w:firstColumn="1" w:lastColumn="0" w:noHBand="0" w:noVBand="1"/>
      </w:tblPr>
      <w:tblGrid>
        <w:gridCol w:w="45"/>
        <w:gridCol w:w="1117"/>
        <w:gridCol w:w="45"/>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104886182"/>
          <w:jc w:val="center"/>
        </w:trPr>
        <w:tc>
          <w:tcPr>
            <w:tcW w:w="50" w:type="pct"/>
            <w:vAlign w:val="center"/>
            <w:hideMark/>
          </w:tcPr>
          <w:p w:rsidR="00000000" w:rsidRDefault="00775A8F">
            <w:pPr>
              <w:jc w:val="center"/>
              <w:rPr>
                <w:rFonts w:eastAsia="Times New Roman"/>
              </w:rPr>
            </w:pPr>
          </w:p>
        </w:tc>
        <w:tc>
          <w:tcPr>
            <w:tcW w:w="125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0488618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At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Amortized Cost Basis by Origination Yea</w:t>
            </w:r>
            <w:r>
              <w:rPr>
                <w:rFonts w:eastAsia="Times New Roman"/>
                <w:b/>
                <w:bCs/>
                <w:color w:val="000000"/>
                <w:sz w:val="16"/>
                <w:szCs w:val="16"/>
              </w:rPr>
              <w:t>r</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8</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7</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6</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Prio</w:t>
            </w:r>
            <w:r>
              <w:rPr>
                <w:rFonts w:eastAsia="Times New Roman"/>
                <w:b/>
                <w:bCs/>
                <w:color w:val="000000"/>
                <w:sz w:val="16"/>
                <w:szCs w:val="16"/>
              </w:rPr>
              <w:t>r</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Mortgage loans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Commercial</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04886182"/>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Greater than 2.0</w:t>
            </w:r>
            <w:r>
              <w:rPr>
                <w:rFonts w:eastAsia="Times New Roman"/>
                <w:color w:val="000000"/>
                <w:sz w:val="20"/>
                <w:szCs w:val="20"/>
              </w:rPr>
              <w:t>x</w:t>
            </w: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621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2,151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5,638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1.8x to 2.0</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409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484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1,363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1.5x to 1.8</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230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302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1,911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05" w:type="dxa"/>
              <w:bottom w:w="30" w:type="dxa"/>
              <w:right w:w="20" w:type="dxa"/>
            </w:tcMar>
            <w:hideMark/>
          </w:tcPr>
          <w:p w:rsidR="00000000" w:rsidRDefault="00775A8F">
            <w:pPr>
              <w:rPr>
                <w:rFonts w:eastAsia="Times New Roman"/>
              </w:rPr>
            </w:pPr>
            <w:r>
              <w:rPr>
                <w:rFonts w:eastAsia="Times New Roman"/>
                <w:color w:val="000000"/>
                <w:sz w:val="20"/>
                <w:szCs w:val="20"/>
              </w:rPr>
              <w:t>1.2x to 1.5</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772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05" w:type="dxa"/>
              <w:bottom w:w="30" w:type="dxa"/>
              <w:right w:w="20" w:type="dxa"/>
            </w:tcMar>
            <w:vAlign w:val="center"/>
            <w:hideMark/>
          </w:tcPr>
          <w:p w:rsidR="00000000" w:rsidRDefault="00775A8F">
            <w:pPr>
              <w:rPr>
                <w:rFonts w:eastAsia="Times New Roman"/>
              </w:rPr>
            </w:pPr>
            <w:r>
              <w:rPr>
                <w:rFonts w:eastAsia="Times New Roman"/>
                <w:color w:val="000000"/>
                <w:sz w:val="20"/>
                <w:szCs w:val="20"/>
              </w:rPr>
              <w:t>1.0x to 1.2</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05" w:type="dxa"/>
              <w:bottom w:w="30" w:type="dxa"/>
              <w:right w:w="20" w:type="dxa"/>
            </w:tcMar>
            <w:vAlign w:val="center"/>
            <w:hideMark/>
          </w:tcPr>
          <w:p w:rsidR="00000000" w:rsidRDefault="00775A8F">
            <w:pPr>
              <w:rPr>
                <w:rFonts w:eastAsia="Times New Roman"/>
              </w:rPr>
            </w:pPr>
            <w:r>
              <w:rPr>
                <w:rFonts w:eastAsia="Times New Roman"/>
                <w:color w:val="000000"/>
                <w:sz w:val="20"/>
                <w:szCs w:val="20"/>
              </w:rPr>
              <w:t>Less than 1.0</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04886182"/>
          <w:jc w:val="center"/>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commercia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746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797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1,248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1,201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2,772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3,082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9,846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Agricultura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04886182"/>
          <w:jc w:val="center"/>
        </w:trPr>
        <w:tc>
          <w:tcPr>
            <w:tcW w:w="0" w:type="auto"/>
            <w:gridSpan w:val="3"/>
            <w:shd w:val="clear" w:color="auto" w:fill="CCEE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Greater than 2.0</w:t>
            </w:r>
            <w:r>
              <w:rPr>
                <w:rFonts w:eastAsia="Times New Roman"/>
                <w:color w:val="000000"/>
                <w:sz w:val="20"/>
                <w:szCs w:val="20"/>
              </w:rPr>
              <w:t>x</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385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1.8x to 2.0</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191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1.5x to 1.8</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232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1.2x to 1.5</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20" w:type="dxa"/>
              <w:bottom w:w="30" w:type="dxa"/>
              <w:right w:w="20" w:type="dxa"/>
            </w:tcMar>
            <w:vAlign w:val="center"/>
            <w:hideMark/>
          </w:tcPr>
          <w:p w:rsidR="00000000" w:rsidRDefault="00775A8F">
            <w:pPr>
              <w:rPr>
                <w:rFonts w:eastAsia="Times New Roman"/>
              </w:rPr>
            </w:pPr>
            <w:r>
              <w:rPr>
                <w:rFonts w:eastAsia="Times New Roman"/>
                <w:color w:val="000000"/>
                <w:sz w:val="20"/>
                <w:szCs w:val="20"/>
              </w:rPr>
              <w:t>1.0x to 1.2</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20" w:type="dxa"/>
              <w:bottom w:w="30" w:type="dxa"/>
              <w:right w:w="20" w:type="dxa"/>
            </w:tcMar>
            <w:vAlign w:val="center"/>
            <w:hideMark/>
          </w:tcPr>
          <w:p w:rsidR="00000000" w:rsidRDefault="00775A8F">
            <w:pPr>
              <w:rPr>
                <w:rFonts w:eastAsia="Times New Roman"/>
              </w:rPr>
            </w:pPr>
            <w:r>
              <w:rPr>
                <w:rFonts w:eastAsia="Times New Roman"/>
                <w:color w:val="000000"/>
                <w:sz w:val="20"/>
                <w:szCs w:val="20"/>
              </w:rPr>
              <w:t>Less than 1.0</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04886182"/>
          <w:jc w:val="center"/>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agricultura</w:t>
            </w:r>
            <w:r>
              <w:rPr>
                <w:rFonts w:eastAsia="Times New Roman"/>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310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348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383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1,145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2,743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mortgage loan</w:t>
            </w:r>
            <w:r>
              <w:rPr>
                <w:rFonts w:eastAsia="Times New Roman"/>
                <w:color w:val="000000"/>
                <w:sz w:val="20"/>
                <w:szCs w:val="20"/>
              </w:rPr>
              <w:t>s</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04886182"/>
          <w:jc w:val="center"/>
        </w:trPr>
        <w:tc>
          <w:tcPr>
            <w:tcW w:w="0" w:type="auto"/>
            <w:gridSpan w:val="3"/>
            <w:shd w:val="clear" w:color="auto" w:fill="CCEE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Greater than 2.0</w:t>
            </w:r>
            <w:r>
              <w:rPr>
                <w:rFonts w:eastAsia="Times New Roman"/>
                <w:color w:val="000000"/>
                <w:sz w:val="20"/>
                <w:szCs w:val="20"/>
              </w:rPr>
              <w:t>x</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401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2,227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1,477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6,023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1.8x to 2.0</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223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1,554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1.5x to 1.8</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345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603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842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2,398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20" w:type="dxa"/>
              <w:bottom w:w="30" w:type="dxa"/>
              <w:right w:w="20" w:type="dxa"/>
            </w:tcMar>
            <w:hideMark/>
          </w:tcPr>
          <w:p w:rsidR="00000000" w:rsidRDefault="00775A8F">
            <w:pPr>
              <w:rPr>
                <w:rFonts w:eastAsia="Times New Roman"/>
              </w:rPr>
            </w:pPr>
            <w:r>
              <w:rPr>
                <w:rFonts w:eastAsia="Times New Roman"/>
                <w:color w:val="000000"/>
                <w:sz w:val="20"/>
                <w:szCs w:val="20"/>
              </w:rPr>
              <w:t>1.2x to 1.5</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138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1,022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1,773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CCEEFF"/>
            <w:tcMar>
              <w:top w:w="30" w:type="dxa"/>
              <w:left w:w="120" w:type="dxa"/>
              <w:bottom w:w="30" w:type="dxa"/>
              <w:right w:w="20" w:type="dxa"/>
            </w:tcMar>
            <w:vAlign w:val="center"/>
            <w:hideMark/>
          </w:tcPr>
          <w:p w:rsidR="00000000" w:rsidRDefault="00775A8F">
            <w:pPr>
              <w:rPr>
                <w:rFonts w:eastAsia="Times New Roman"/>
              </w:rPr>
            </w:pPr>
            <w:r>
              <w:rPr>
                <w:rFonts w:eastAsia="Times New Roman"/>
                <w:color w:val="000000"/>
                <w:sz w:val="20"/>
                <w:szCs w:val="20"/>
              </w:rPr>
              <w:t>1.0x to 1.2</w:t>
            </w:r>
            <w:r>
              <w:rPr>
                <w:rFonts w:eastAsia="Times New Roman"/>
                <w:color w:val="000000"/>
                <w:sz w:val="20"/>
                <w:szCs w:val="20"/>
              </w:rPr>
              <w:t>x</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86182"/>
          <w:jc w:val="center"/>
        </w:trPr>
        <w:tc>
          <w:tcPr>
            <w:tcW w:w="0" w:type="auto"/>
            <w:gridSpan w:val="3"/>
            <w:shd w:val="clear" w:color="auto" w:fill="FFFFFF"/>
            <w:tcMar>
              <w:top w:w="30" w:type="dxa"/>
              <w:left w:w="120" w:type="dxa"/>
              <w:bottom w:w="30" w:type="dxa"/>
              <w:right w:w="20" w:type="dxa"/>
            </w:tcMar>
            <w:vAlign w:val="center"/>
            <w:hideMark/>
          </w:tcPr>
          <w:p w:rsidR="00000000" w:rsidRDefault="00775A8F">
            <w:pPr>
              <w:rPr>
                <w:rFonts w:eastAsia="Times New Roman"/>
              </w:rPr>
            </w:pPr>
            <w:r>
              <w:rPr>
                <w:rFonts w:eastAsia="Times New Roman"/>
                <w:color w:val="000000"/>
                <w:sz w:val="20"/>
                <w:szCs w:val="20"/>
              </w:rPr>
              <w:t>Less than 1.0</w:t>
            </w:r>
            <w:r>
              <w:rPr>
                <w:rFonts w:eastAsia="Times New Roman"/>
                <w:color w:val="000000"/>
                <w:sz w:val="20"/>
                <w:szCs w:val="20"/>
              </w:rPr>
              <w:t>x</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04886182"/>
          <w:jc w:val="center"/>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mortgage loan</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1,056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1,075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1,596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1,480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3,155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4,227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630"/>
        <w:divId w:val="1810320300"/>
        <w:rPr>
          <w:rFonts w:eastAsia="Times New Roman"/>
        </w:rPr>
      </w:pPr>
      <w:r>
        <w:rPr>
          <w:rFonts w:eastAsia="Times New Roman"/>
          <w:color w:val="000000"/>
          <w:sz w:val="18"/>
          <w:szCs w:val="18"/>
        </w:rPr>
        <w:t>______________</w:t>
      </w:r>
      <w:r>
        <w:rPr>
          <w:rFonts w:eastAsia="Times New Roman"/>
          <w:color w:val="000000"/>
          <w:sz w:val="18"/>
          <w:szCs w:val="18"/>
        </w:rPr>
        <w:t xml:space="preserve"> </w:t>
      </w:r>
    </w:p>
    <w:p w:rsidR="00000000" w:rsidRDefault="00775A8F">
      <w:pPr>
        <w:ind w:hanging="360"/>
        <w:divId w:val="53538580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 L</w:t>
      </w:r>
      <w:r>
        <w:rPr>
          <w:rFonts w:eastAsia="Times New Roman"/>
          <w:color w:val="000000"/>
          <w:sz w:val="18"/>
          <w:szCs w:val="18"/>
        </w:rPr>
        <w:t>TV ratio is derived from current loan balance divided by the fair value of the property. The fair value of the underlying commercial properties is updated annually for each mortgage loan</w:t>
      </w:r>
      <w:r>
        <w:rPr>
          <w:rFonts w:eastAsia="Times New Roman"/>
          <w:color w:val="000000"/>
          <w:sz w:val="18"/>
          <w:szCs w:val="18"/>
        </w:rPr>
        <w:t>.</w:t>
      </w:r>
    </w:p>
    <w:p w:rsidR="00000000" w:rsidRDefault="00775A8F">
      <w:pPr>
        <w:jc w:val="center"/>
        <w:divId w:val="1781534616"/>
        <w:rPr>
          <w:rFonts w:eastAsia="Times New Roman"/>
        </w:rPr>
      </w:pPr>
      <w:r>
        <w:rPr>
          <w:rFonts w:eastAsia="Times New Roman"/>
          <w:color w:val="000000"/>
          <w:sz w:val="20"/>
          <w:szCs w:val="20"/>
        </w:rPr>
        <w:t>2</w:t>
      </w:r>
      <w:r>
        <w:rPr>
          <w:rFonts w:eastAsia="Times New Roman"/>
          <w:color w:val="000000"/>
          <w:sz w:val="20"/>
          <w:szCs w:val="20"/>
        </w:rPr>
        <w:t>5</w:t>
      </w:r>
    </w:p>
    <w:p w:rsidR="00000000" w:rsidRDefault="00775A8F">
      <w:pPr>
        <w:rPr>
          <w:rFonts w:eastAsia="Times New Roman"/>
        </w:rPr>
      </w:pPr>
      <w:r>
        <w:rPr>
          <w:rFonts w:eastAsia="Times New Roman"/>
        </w:rPr>
        <w:pict>
          <v:rect id="_x0000_i1051" style="width:0;height:1.5pt" o:hralign="center" o:hrstd="t" o:hr="t" fillcolor="#a0a0a0" stroked="f"/>
        </w:pict>
      </w:r>
    </w:p>
    <w:p w:rsidR="00000000" w:rsidRDefault="00775A8F">
      <w:pPr>
        <w:jc w:val="center"/>
        <w:divId w:val="1871409631"/>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871409631"/>
        <w:rPr>
          <w:rFonts w:eastAsia="Times New Roman"/>
        </w:rPr>
      </w:pPr>
      <w:r>
        <w:rPr>
          <w:rFonts w:eastAsia="Times New Roman"/>
          <w:b/>
          <w:bCs/>
          <w:color w:val="000000"/>
          <w:sz w:val="20"/>
          <w:szCs w:val="20"/>
        </w:rPr>
        <w:t>Not</w:t>
      </w:r>
      <w:r>
        <w:rPr>
          <w:rFonts w:eastAsia="Times New Roman"/>
          <w:b/>
          <w:bCs/>
          <w:color w:val="000000"/>
          <w:sz w:val="20"/>
          <w:szCs w:val="20"/>
        </w:rPr>
        <w:t>es to Consolidated Financial Statements (Unaudited), Continue</w:t>
      </w:r>
      <w:r>
        <w:rPr>
          <w:rFonts w:eastAsia="Times New Roman"/>
          <w:b/>
          <w:bCs/>
          <w:color w:val="000000"/>
          <w:sz w:val="20"/>
          <w:szCs w:val="20"/>
        </w:rPr>
        <w:t>d</w:t>
      </w:r>
    </w:p>
    <w:p w:rsidR="00000000" w:rsidRDefault="00775A8F">
      <w:pPr>
        <w:ind w:hanging="360"/>
        <w:divId w:val="494304410"/>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The DSC ratio is calculated using the most recently reported operating income results from property operations divided by annual debt service</w:t>
      </w:r>
      <w:r>
        <w:rPr>
          <w:rFonts w:eastAsia="Times New Roman"/>
          <w:color w:val="000000"/>
          <w:sz w:val="18"/>
          <w:szCs w:val="18"/>
        </w:rPr>
        <w:t>.</w:t>
      </w:r>
    </w:p>
    <w:p w:rsidR="00000000" w:rsidRDefault="00775A8F">
      <w:pPr>
        <w:ind w:hanging="360"/>
        <w:divId w:val="1400445519"/>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Amounts presented at amortized cost basis</w:t>
      </w:r>
      <w:r>
        <w:rPr>
          <w:rFonts w:eastAsia="Times New Roman"/>
          <w:color w:val="000000"/>
          <w:sz w:val="18"/>
          <w:szCs w:val="18"/>
        </w:rPr>
        <w:t>.</w:t>
      </w:r>
    </w:p>
    <w:p w:rsidR="00000000" w:rsidRDefault="00775A8F">
      <w:pPr>
        <w:divId w:val="1486050839"/>
        <w:rPr>
          <w:rFonts w:eastAsia="Times New Roman"/>
        </w:rPr>
      </w:pPr>
      <w:r>
        <w:rPr>
          <w:rFonts w:eastAsia="Times New Roman"/>
          <w:color w:val="000000"/>
          <w:sz w:val="20"/>
          <w:szCs w:val="20"/>
        </w:rPr>
        <w:t>T</w:t>
      </w:r>
      <w:r>
        <w:rPr>
          <w:rFonts w:eastAsia="Times New Roman"/>
          <w:color w:val="000000"/>
          <w:sz w:val="20"/>
          <w:szCs w:val="20"/>
        </w:rPr>
        <w:t>he following tables provide information relating to the LTV and DSC ratios for commercial and agricultural mortgage loans at June 30, 2020 and December 31, 2019. The values used in these ratio calculations were developed as part of the periodic review of t</w:t>
      </w:r>
      <w:r>
        <w:rPr>
          <w:rFonts w:eastAsia="Times New Roman"/>
          <w:color w:val="000000"/>
          <w:sz w:val="20"/>
          <w:szCs w:val="20"/>
        </w:rPr>
        <w:t>he commercial and agricultural mortgage loan portfolio, which includes an evaluation of the underlying collateral value</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Mortgage Loans by LTV and DSC Ratio</w:t>
      </w:r>
      <w:r>
        <w:rPr>
          <w:rFonts w:eastAsia="Times New Roman"/>
          <w:b/>
          <w:bCs/>
          <w:color w:val="000000"/>
          <w:sz w:val="20"/>
          <w:szCs w:val="20"/>
        </w:rPr>
        <w:t>s</w:t>
      </w:r>
    </w:p>
    <w:tbl>
      <w:tblPr>
        <w:tblW w:w="4656" w:type="pct"/>
        <w:jc w:val="center"/>
        <w:tblCellMar>
          <w:top w:w="15" w:type="dxa"/>
          <w:left w:w="15" w:type="dxa"/>
          <w:bottom w:w="15" w:type="dxa"/>
          <w:right w:w="15" w:type="dxa"/>
        </w:tblCellMar>
        <w:tblLook w:val="04A0" w:firstRow="1" w:lastRow="0" w:firstColumn="1" w:lastColumn="0" w:noHBand="0" w:noVBand="1"/>
      </w:tblPr>
      <w:tblGrid>
        <w:gridCol w:w="56"/>
        <w:gridCol w:w="1374"/>
        <w:gridCol w:w="5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365"/>
        <w:gridCol w:w="85"/>
        <w:gridCol w:w="36"/>
        <w:gridCol w:w="36"/>
        <w:gridCol w:w="36"/>
        <w:gridCol w:w="135"/>
        <w:gridCol w:w="26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913931785"/>
          <w:jc w:val="center"/>
        </w:trPr>
        <w:tc>
          <w:tcPr>
            <w:tcW w:w="50" w:type="pct"/>
            <w:vAlign w:val="center"/>
            <w:hideMark/>
          </w:tcPr>
          <w:p w:rsidR="00000000" w:rsidRDefault="00775A8F">
            <w:pPr>
              <w:jc w:val="center"/>
              <w:rPr>
                <w:rFonts w:eastAsia="Times New Roman"/>
              </w:rPr>
            </w:pPr>
          </w:p>
        </w:tc>
        <w:tc>
          <w:tcPr>
            <w:tcW w:w="10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913931785"/>
          <w:jc w:val="center"/>
        </w:trPr>
        <w:tc>
          <w:tcPr>
            <w:tcW w:w="0" w:type="auto"/>
            <w:gridSpan w:val="3"/>
            <w:tcMar>
              <w:top w:w="30" w:type="dxa"/>
              <w:left w:w="20" w:type="dxa"/>
              <w:bottom w:w="30" w:type="dxa"/>
              <w:right w:w="20" w:type="dxa"/>
            </w:tcMar>
            <w:vAlign w:val="bottom"/>
            <w:hideMark/>
          </w:tcPr>
          <w:p w:rsidR="00000000" w:rsidRDefault="00775A8F">
            <w:pPr>
              <w:divId w:val="1347052392"/>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DSC Ratio (2) (3</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tcMar>
              <w:top w:w="30" w:type="dxa"/>
              <w:left w:w="20" w:type="dxa"/>
              <w:bottom w:w="30" w:type="dxa"/>
              <w:right w:w="20" w:type="dxa"/>
            </w:tcMar>
            <w:vAlign w:val="bottom"/>
            <w:hideMark/>
          </w:tcPr>
          <w:p w:rsidR="00000000" w:rsidRDefault="00775A8F">
            <w:pPr>
              <w:divId w:val="982152883"/>
              <w:rPr>
                <w:rFonts w:eastAsia="Times New Roman"/>
              </w:rPr>
            </w:pPr>
            <w:r>
              <w:rPr>
                <w:rFonts w:eastAsia="Times New Roman"/>
                <w:b/>
                <w:bCs/>
                <w:color w:val="000000"/>
                <w:sz w:val="16"/>
                <w:szCs w:val="16"/>
              </w:rPr>
              <w:t>LTV Ratio (1) (3)</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Greater than 2.0</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tcMar>
              <w:top w:w="30" w:type="dxa"/>
              <w:left w:w="20" w:type="dxa"/>
              <w:bottom w:w="30" w:type="dxa"/>
              <w:right w:w="20" w:type="dxa"/>
            </w:tcMar>
            <w:vAlign w:val="bottom"/>
            <w:hideMark/>
          </w:tcPr>
          <w:p w:rsidR="00000000" w:rsidRDefault="00775A8F">
            <w:pPr>
              <w:divId w:val="1410422049"/>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June 30, 2020</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Mortgage loans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Commercial</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913931785"/>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4,208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1,353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7,158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1,213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913931785"/>
          <w:jc w:val="center"/>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commercia</w:t>
            </w:r>
            <w:r>
              <w:rPr>
                <w:rFonts w:eastAsia="Times New Roman"/>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5,638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1,363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1,911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9,846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Agricultural</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913931785"/>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913931785"/>
          <w:jc w:val="center"/>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agricultura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2,743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mortgage loans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913931785"/>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2,872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1,585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947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8,322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913931785"/>
          <w:jc w:val="center"/>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mortgage loan</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6,023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1,554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2,398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3931785"/>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209416179"/>
        <w:rPr>
          <w:rFonts w:eastAsia="Times New Roman"/>
        </w:rPr>
      </w:pPr>
      <w:r>
        <w:rPr>
          <w:rFonts w:eastAsia="Times New Roman"/>
          <w:color w:val="000000"/>
          <w:sz w:val="20"/>
          <w:szCs w:val="20"/>
        </w:rPr>
        <w:t>2</w:t>
      </w:r>
      <w:r>
        <w:rPr>
          <w:rFonts w:eastAsia="Times New Roman"/>
          <w:color w:val="000000"/>
          <w:sz w:val="20"/>
          <w:szCs w:val="20"/>
        </w:rPr>
        <w:t>6</w:t>
      </w:r>
    </w:p>
    <w:p w:rsidR="00000000" w:rsidRDefault="00775A8F">
      <w:pPr>
        <w:rPr>
          <w:rFonts w:eastAsia="Times New Roman"/>
        </w:rPr>
      </w:pPr>
      <w:r>
        <w:rPr>
          <w:rFonts w:eastAsia="Times New Roman"/>
        </w:rPr>
        <w:pict>
          <v:rect id="_x0000_i1052" style="width:0;height:1.5pt" o:hralign="center" o:hrstd="t" o:hr="t" fillcolor="#a0a0a0" stroked="f"/>
        </w:pict>
      </w:r>
    </w:p>
    <w:p w:rsidR="00000000" w:rsidRDefault="00775A8F">
      <w:pPr>
        <w:jc w:val="center"/>
        <w:divId w:val="1199048127"/>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199048127"/>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56" w:type="pct"/>
        <w:jc w:val="center"/>
        <w:tblCellMar>
          <w:top w:w="15" w:type="dxa"/>
          <w:left w:w="15" w:type="dxa"/>
          <w:bottom w:w="15" w:type="dxa"/>
          <w:right w:w="15" w:type="dxa"/>
        </w:tblCellMar>
        <w:tblLook w:val="04A0" w:firstRow="1" w:lastRow="0" w:firstColumn="1" w:lastColumn="0" w:noHBand="0" w:noVBand="1"/>
      </w:tblPr>
      <w:tblGrid>
        <w:gridCol w:w="56"/>
        <w:gridCol w:w="1374"/>
        <w:gridCol w:w="5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515"/>
        <w:gridCol w:w="85"/>
        <w:gridCol w:w="36"/>
        <w:gridCol w:w="36"/>
        <w:gridCol w:w="36"/>
        <w:gridCol w:w="135"/>
        <w:gridCol w:w="365"/>
        <w:gridCol w:w="85"/>
        <w:gridCol w:w="36"/>
        <w:gridCol w:w="36"/>
        <w:gridCol w:w="36"/>
        <w:gridCol w:w="135"/>
        <w:gridCol w:w="26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1"/>
          <w:divId w:val="1129590432"/>
          <w:jc w:val="center"/>
        </w:trPr>
        <w:tc>
          <w:tcPr>
            <w:tcW w:w="50" w:type="pct"/>
            <w:vAlign w:val="center"/>
            <w:hideMark/>
          </w:tcPr>
          <w:p w:rsidR="00000000" w:rsidRDefault="00775A8F">
            <w:pPr>
              <w:jc w:val="center"/>
              <w:rPr>
                <w:rFonts w:eastAsia="Times New Roman"/>
              </w:rPr>
            </w:pPr>
          </w:p>
        </w:tc>
        <w:tc>
          <w:tcPr>
            <w:tcW w:w="10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129590432"/>
          <w:jc w:val="center"/>
        </w:trPr>
        <w:tc>
          <w:tcPr>
            <w:tcW w:w="0" w:type="auto"/>
            <w:gridSpan w:val="3"/>
            <w:tcMar>
              <w:top w:w="30" w:type="dxa"/>
              <w:left w:w="20" w:type="dxa"/>
              <w:bottom w:w="30" w:type="dxa"/>
              <w:right w:w="20" w:type="dxa"/>
            </w:tcMar>
            <w:vAlign w:val="bottom"/>
            <w:hideMark/>
          </w:tcPr>
          <w:p w:rsidR="00000000" w:rsidRDefault="00775A8F">
            <w:pPr>
              <w:divId w:val="2144155949"/>
              <w:rPr>
                <w:rFonts w:eastAsia="Times New Roman"/>
              </w:rPr>
            </w:pPr>
            <w:r>
              <w:rPr>
                <w:rFonts w:eastAsia="Times New Roman"/>
                <w:b/>
                <w:bCs/>
                <w:color w:val="000000"/>
                <w:sz w:val="16"/>
                <w:szCs w:val="16"/>
              </w:rPr>
              <w:t> </w:t>
            </w:r>
          </w:p>
        </w:tc>
        <w:tc>
          <w:tcPr>
            <w:tcW w:w="0" w:type="auto"/>
            <w:gridSpan w:val="3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DSC Ratio (2) (3</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tcMar>
              <w:top w:w="30" w:type="dxa"/>
              <w:left w:w="20" w:type="dxa"/>
              <w:bottom w:w="30" w:type="dxa"/>
              <w:right w:w="20" w:type="dxa"/>
            </w:tcMar>
            <w:vAlign w:val="bottom"/>
            <w:hideMark/>
          </w:tcPr>
          <w:p w:rsidR="00000000" w:rsidRDefault="00775A8F">
            <w:pPr>
              <w:divId w:val="389037301"/>
              <w:rPr>
                <w:rFonts w:eastAsia="Times New Roman"/>
              </w:rPr>
            </w:pPr>
            <w:r>
              <w:rPr>
                <w:rFonts w:eastAsia="Times New Roman"/>
                <w:b/>
                <w:bCs/>
                <w:color w:val="000000"/>
                <w:sz w:val="16"/>
                <w:szCs w:val="16"/>
              </w:rPr>
              <w:t>LTV Ratio (1) (3)</w:t>
            </w:r>
            <w:r>
              <w:rPr>
                <w:rFonts w:eastAsia="Times New Roman"/>
                <w:b/>
                <w:bCs/>
                <w:color w:val="000000"/>
                <w:sz w:val="16"/>
                <w:szCs w:val="16"/>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Greater than 2.0</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1.8x to</w:t>
            </w:r>
            <w:r>
              <w:rPr>
                <w:rFonts w:eastAsia="Times New Roman"/>
                <w:b/>
                <w:bCs/>
                <w:color w:val="000000"/>
                <w:sz w:val="16"/>
                <w:szCs w:val="16"/>
              </w:rPr>
              <w:br/>
              <w:t>2.0</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1.5x to</w:t>
            </w:r>
            <w:r>
              <w:rPr>
                <w:rFonts w:eastAsia="Times New Roman"/>
                <w:b/>
                <w:bCs/>
                <w:color w:val="000000"/>
                <w:sz w:val="16"/>
                <w:szCs w:val="16"/>
              </w:rPr>
              <w:br/>
              <w:t>1.8</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1.2x to</w:t>
            </w:r>
            <w:r>
              <w:rPr>
                <w:rFonts w:eastAsia="Times New Roman"/>
                <w:b/>
                <w:bCs/>
                <w:color w:val="000000"/>
                <w:sz w:val="16"/>
                <w:szCs w:val="16"/>
              </w:rPr>
              <w:br/>
              <w:t>1.5</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1.0x to</w:t>
            </w:r>
            <w:r>
              <w:rPr>
                <w:rFonts w:eastAsia="Times New Roman"/>
                <w:b/>
                <w:bCs/>
                <w:color w:val="000000"/>
                <w:sz w:val="16"/>
                <w:szCs w:val="16"/>
              </w:rPr>
              <w:br/>
              <w:t>1.2</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Less than</w:t>
            </w:r>
            <w:r>
              <w:rPr>
                <w:rFonts w:eastAsia="Times New Roman"/>
                <w:b/>
                <w:bCs/>
                <w:color w:val="000000"/>
                <w:sz w:val="16"/>
                <w:szCs w:val="16"/>
              </w:rPr>
              <w:br/>
              <w:t>1.0</w:t>
            </w:r>
            <w:r>
              <w:rPr>
                <w:rFonts w:eastAsia="Times New Roman"/>
                <w:b/>
                <w:bCs/>
                <w:color w:val="000000"/>
                <w:sz w:val="16"/>
                <w:szCs w:val="16"/>
              </w:rPr>
              <w:t>x</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tcMar>
              <w:top w:w="30" w:type="dxa"/>
              <w:left w:w="20" w:type="dxa"/>
              <w:bottom w:w="30" w:type="dxa"/>
              <w:right w:w="20" w:type="dxa"/>
            </w:tcMar>
            <w:vAlign w:val="bottom"/>
            <w:hideMark/>
          </w:tcPr>
          <w:p w:rsidR="00000000" w:rsidRDefault="00775A8F">
            <w:pPr>
              <w:divId w:val="283847768"/>
              <w:rPr>
                <w:rFonts w:eastAsia="Times New Roman"/>
              </w:rPr>
            </w:pPr>
            <w:r>
              <w:rPr>
                <w:rFonts w:eastAsia="Times New Roman"/>
                <w:b/>
                <w:bCs/>
                <w:color w:val="000000"/>
                <w:sz w:val="16"/>
                <w:szCs w:val="16"/>
              </w:rPr>
              <w:t> </w:t>
            </w: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December 31, 2019</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Mortgage loans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Commercial</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129590432"/>
          <w:jc w:val="center"/>
        </w:trPr>
        <w:tc>
          <w:tcPr>
            <w:tcW w:w="0" w:type="auto"/>
            <w:gridSpan w:val="3"/>
            <w:shd w:val="clear" w:color="auto" w:fill="FFFFFF"/>
            <w:tcMar>
              <w:top w:w="30" w:type="dxa"/>
              <w:left w:w="20" w:type="dxa"/>
              <w:bottom w:w="30" w:type="dxa"/>
              <w:right w:w="20" w:type="dxa"/>
            </w:tcMar>
            <w:hideMark/>
          </w:tcPr>
          <w:p w:rsidR="00000000" w:rsidRDefault="00775A8F">
            <w:pPr>
              <w:divId w:val="1152058590"/>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20" w:type="dxa"/>
              <w:bottom w:w="30" w:type="dxa"/>
              <w:right w:w="20" w:type="dxa"/>
            </w:tcMar>
            <w:hideMark/>
          </w:tcPr>
          <w:p w:rsidR="00000000" w:rsidRDefault="00775A8F">
            <w:pPr>
              <w:divId w:val="1202127823"/>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7,447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FFFFFF"/>
            <w:tcMar>
              <w:top w:w="30" w:type="dxa"/>
              <w:left w:w="20" w:type="dxa"/>
              <w:bottom w:w="30" w:type="dxa"/>
              <w:right w:w="20" w:type="dxa"/>
            </w:tcMar>
            <w:hideMark/>
          </w:tcPr>
          <w:p w:rsidR="00000000" w:rsidRDefault="00775A8F">
            <w:pPr>
              <w:divId w:val="472334278"/>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20" w:type="dxa"/>
              <w:bottom w:w="30" w:type="dxa"/>
              <w:right w:w="20" w:type="dxa"/>
            </w:tcMar>
            <w:hideMark/>
          </w:tcPr>
          <w:p w:rsidR="00000000" w:rsidRDefault="00775A8F">
            <w:pPr>
              <w:divId w:val="625620548"/>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129590432"/>
          <w:jc w:val="center"/>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commercia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5,251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1,331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9,390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trHeight w:val="280"/>
          <w:jc w:val="center"/>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Agricultural</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129590432"/>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129590432"/>
          <w:jc w:val="center"/>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agricultura</w:t>
            </w:r>
            <w:r>
              <w:rPr>
                <w:rFonts w:eastAsia="Times New Roman"/>
                <w:color w:val="000000"/>
                <w:sz w:val="20"/>
                <w:szCs w:val="20"/>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mortgage loans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129590432"/>
          <w:jc w:val="center"/>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0% - 50</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50% - 70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8,562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70% - 90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9590432"/>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90% plu</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129590432"/>
          <w:jc w:val="center"/>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Total mortgage loan</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720"/>
        <w:divId w:val="1277450350"/>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30273404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r>
        <w:rPr>
          <w:rFonts w:eastAsia="Times New Roman"/>
          <w:color w:val="000000"/>
          <w:sz w:val="18"/>
          <w:szCs w:val="18"/>
        </w:rPr>
        <w:t>.</w:t>
      </w:r>
    </w:p>
    <w:p w:rsidR="00000000" w:rsidRDefault="00775A8F">
      <w:pPr>
        <w:ind w:hanging="360"/>
        <w:divId w:val="588392642"/>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The DSC ratio is calculated using the most recently reported</w:t>
      </w:r>
      <w:r>
        <w:rPr>
          <w:rFonts w:eastAsia="Times New Roman"/>
          <w:color w:val="000000"/>
          <w:sz w:val="18"/>
          <w:szCs w:val="18"/>
        </w:rPr>
        <w:t xml:space="preserve"> operating income results from property operations divided by annual debt service</w:t>
      </w:r>
      <w:r>
        <w:rPr>
          <w:rFonts w:eastAsia="Times New Roman"/>
          <w:color w:val="000000"/>
          <w:sz w:val="18"/>
          <w:szCs w:val="18"/>
        </w:rPr>
        <w:t>.</w:t>
      </w:r>
    </w:p>
    <w:p w:rsidR="00000000" w:rsidRDefault="00775A8F">
      <w:pPr>
        <w:ind w:hanging="360"/>
        <w:divId w:val="1099789405"/>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Amounts presented at amortized cost basis.</w:t>
      </w:r>
      <w:r>
        <w:rPr>
          <w:rFonts w:eastAsia="Times New Roman"/>
          <w:color w:val="000000"/>
          <w:sz w:val="18"/>
          <w:szCs w:val="18"/>
        </w:rPr>
        <w:t xml:space="preserve"> </w:t>
      </w:r>
    </w:p>
    <w:p w:rsidR="00000000" w:rsidRDefault="00775A8F">
      <w:pPr>
        <w:divId w:val="1127090288"/>
        <w:rPr>
          <w:rFonts w:eastAsia="Times New Roman"/>
        </w:rPr>
      </w:pPr>
      <w:r>
        <w:rPr>
          <w:rFonts w:eastAsia="Times New Roman"/>
          <w:color w:val="000000"/>
          <w:sz w:val="20"/>
          <w:szCs w:val="20"/>
          <w:u w:val="single"/>
        </w:rPr>
        <w:t>Past-Due and Nonaccrual Mortgage Loan Statu</w:t>
      </w:r>
      <w:r>
        <w:rPr>
          <w:rFonts w:eastAsia="Times New Roman"/>
          <w:color w:val="000000"/>
          <w:sz w:val="20"/>
          <w:szCs w:val="20"/>
          <w:u w:val="single"/>
        </w:rPr>
        <w:t>s</w:t>
      </w:r>
    </w:p>
    <w:p w:rsidR="00000000" w:rsidRDefault="00775A8F">
      <w:pPr>
        <w:divId w:val="1202790066"/>
        <w:rPr>
          <w:rFonts w:eastAsia="Times New Roman"/>
        </w:rPr>
      </w:pPr>
      <w:r>
        <w:rPr>
          <w:rFonts w:eastAsia="Times New Roman"/>
          <w:color w:val="000000"/>
          <w:sz w:val="20"/>
          <w:szCs w:val="20"/>
        </w:rPr>
        <w:t>The following table provides information relating to the aging analysis of past-d</w:t>
      </w:r>
      <w:r>
        <w:rPr>
          <w:rFonts w:eastAsia="Times New Roman"/>
          <w:color w:val="000000"/>
          <w:sz w:val="20"/>
          <w:szCs w:val="20"/>
        </w:rPr>
        <w:t>ue mortgage loans at June 30, 2020 and December 31, 2019, respectively</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Age Analysis of Past Due Mortgage Loans (1</w:t>
      </w:r>
      <w:r>
        <w:rPr>
          <w:rFonts w:eastAsia="Times New Roman"/>
          <w:b/>
          <w:bCs/>
          <w:color w:val="000000"/>
          <w:sz w:val="20"/>
          <w:szCs w:val="20"/>
        </w:rPr>
        <w:t>)</w:t>
      </w:r>
    </w:p>
    <w:tbl>
      <w:tblPr>
        <w:tblW w:w="4634" w:type="pct"/>
        <w:tblCellMar>
          <w:top w:w="15" w:type="dxa"/>
          <w:left w:w="15" w:type="dxa"/>
          <w:bottom w:w="15" w:type="dxa"/>
          <w:right w:w="15" w:type="dxa"/>
        </w:tblCellMar>
        <w:tblLook w:val="04A0" w:firstRow="1" w:lastRow="0" w:firstColumn="1" w:lastColumn="0" w:noHBand="0" w:noVBand="1"/>
      </w:tblPr>
      <w:tblGrid>
        <w:gridCol w:w="59"/>
        <w:gridCol w:w="1027"/>
        <w:gridCol w:w="59"/>
        <w:gridCol w:w="135"/>
        <w:gridCol w:w="265"/>
        <w:gridCol w:w="85"/>
        <w:gridCol w:w="36"/>
        <w:gridCol w:w="36"/>
        <w:gridCol w:w="36"/>
        <w:gridCol w:w="135"/>
        <w:gridCol w:w="265"/>
        <w:gridCol w:w="85"/>
        <w:gridCol w:w="36"/>
        <w:gridCol w:w="36"/>
        <w:gridCol w:w="36"/>
        <w:gridCol w:w="135"/>
        <w:gridCol w:w="265"/>
        <w:gridCol w:w="85"/>
        <w:gridCol w:w="36"/>
        <w:gridCol w:w="36"/>
        <w:gridCol w:w="36"/>
        <w:gridCol w:w="135"/>
        <w:gridCol w:w="365"/>
        <w:gridCol w:w="85"/>
        <w:gridCol w:w="36"/>
        <w:gridCol w:w="36"/>
        <w:gridCol w:w="36"/>
        <w:gridCol w:w="135"/>
        <w:gridCol w:w="615"/>
        <w:gridCol w:w="85"/>
        <w:gridCol w:w="36"/>
        <w:gridCol w:w="36"/>
        <w:gridCol w:w="36"/>
        <w:gridCol w:w="135"/>
        <w:gridCol w:w="615"/>
        <w:gridCol w:w="85"/>
        <w:gridCol w:w="36"/>
        <w:gridCol w:w="36"/>
        <w:gridCol w:w="36"/>
        <w:gridCol w:w="135"/>
        <w:gridCol w:w="265"/>
        <w:gridCol w:w="85"/>
        <w:gridCol w:w="36"/>
        <w:gridCol w:w="36"/>
        <w:gridCol w:w="36"/>
        <w:gridCol w:w="135"/>
        <w:gridCol w:w="615"/>
        <w:gridCol w:w="85"/>
        <w:gridCol w:w="36"/>
        <w:gridCol w:w="36"/>
        <w:gridCol w:w="36"/>
        <w:gridCol w:w="135"/>
        <w:gridCol w:w="265"/>
        <w:gridCol w:w="85"/>
        <w:gridCol w:w="36"/>
        <w:gridCol w:w="36"/>
        <w:gridCol w:w="36"/>
        <w:gridCol w:w="135"/>
        <w:gridCol w:w="165"/>
        <w:gridCol w:w="85"/>
        <w:gridCol w:w="36"/>
        <w:gridCol w:w="36"/>
        <w:gridCol w:w="1275"/>
      </w:tblGrid>
      <w:tr w:rsidR="00000000">
        <w:trPr>
          <w:gridAfter w:val="3"/>
          <w:divId w:val="139230468"/>
        </w:trPr>
        <w:tc>
          <w:tcPr>
            <w:tcW w:w="50" w:type="pct"/>
            <w:vAlign w:val="center"/>
            <w:hideMark/>
          </w:tcPr>
          <w:p w:rsidR="00000000" w:rsidRDefault="00775A8F">
            <w:pPr>
              <w:jc w:val="center"/>
              <w:rPr>
                <w:rFonts w:eastAsia="Times New Roman"/>
              </w:rPr>
            </w:pPr>
          </w:p>
        </w:tc>
        <w:tc>
          <w:tcPr>
            <w:tcW w:w="87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8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1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3923046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Accruing Loan</w:t>
            </w:r>
            <w:r>
              <w:rPr>
                <w:rFonts w:eastAsia="Times New Roman"/>
                <w:b/>
                <w:bCs/>
                <w:color w:val="000000"/>
                <w:sz w:val="16"/>
                <w:szCs w:val="16"/>
              </w:rPr>
              <w:t>s</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jc w:val="center"/>
              <w:rPr>
                <w:rFonts w:eastAsia="Times New Roman"/>
              </w:rPr>
            </w:pPr>
            <w:r>
              <w:rPr>
                <w:rFonts w:eastAsia="Times New Roman"/>
                <w:b/>
                <w:bCs/>
                <w:color w:val="000000"/>
                <w:sz w:val="16"/>
                <w:szCs w:val="16"/>
              </w:rPr>
              <w:t>Non-accruing Loan</w:t>
            </w:r>
            <w:r>
              <w:rPr>
                <w:rFonts w:eastAsia="Times New Roman"/>
                <w:b/>
                <w:bCs/>
                <w:color w:val="000000"/>
                <w:sz w:val="16"/>
                <w:szCs w:val="16"/>
              </w:rPr>
              <w:t>s</w:t>
            </w:r>
          </w:p>
          <w:p w:rsidR="00000000" w:rsidRDefault="00775A8F">
            <w:pPr>
              <w:jc w:val="center"/>
              <w:rPr>
                <w:rFonts w:eastAsia="Times New Roman"/>
              </w:rPr>
            </w:pPr>
            <w:r>
              <w:rPr>
                <w:rFonts w:eastAsia="Times New Roman"/>
                <w:b/>
                <w:bCs/>
                <w:color w:val="000000"/>
                <w:sz w:val="16"/>
                <w:szCs w:val="16"/>
              </w:rPr>
              <w:t>Total Loan</w:t>
            </w:r>
            <w:r>
              <w:rPr>
                <w:rFonts w:eastAsia="Times New Roman"/>
                <w:b/>
                <w:bCs/>
                <w:color w:val="000000"/>
                <w:sz w:val="16"/>
                <w:szCs w:val="16"/>
              </w:rPr>
              <w:t>s</w:t>
            </w:r>
          </w:p>
          <w:p w:rsidR="00000000" w:rsidRDefault="00775A8F">
            <w:pPr>
              <w:jc w:val="center"/>
              <w:rPr>
                <w:rFonts w:eastAsia="Times New Roman"/>
              </w:rPr>
            </w:pPr>
            <w:r>
              <w:rPr>
                <w:rFonts w:eastAsia="Times New Roman"/>
                <w:b/>
                <w:bCs/>
                <w:color w:val="000000"/>
                <w:sz w:val="16"/>
                <w:szCs w:val="16"/>
              </w:rPr>
              <w:t>Non-accruing Loans with No Allowanc</w:t>
            </w:r>
            <w:r>
              <w:rPr>
                <w:rFonts w:eastAsia="Times New Roman"/>
                <w:b/>
                <w:bCs/>
                <w:color w:val="000000"/>
                <w:sz w:val="16"/>
                <w:szCs w:val="16"/>
              </w:rPr>
              <w:t>e</w:t>
            </w:r>
            <w:r>
              <w:rPr>
                <w:rFonts w:eastAsia="Times New Roman"/>
                <w:b/>
                <w:bCs/>
                <w:color w:val="000000"/>
                <w:sz w:val="16"/>
                <w:szCs w:val="16"/>
              </w:rPr>
              <w:t>Interest Income on Non-accruing Loans (2</w:t>
            </w:r>
            <w:r>
              <w:rPr>
                <w:rFonts w:eastAsia="Times New Roman"/>
                <w:b/>
                <w:bCs/>
                <w:color w:val="000000"/>
                <w:sz w:val="16"/>
                <w:szCs w:val="16"/>
              </w:rPr>
              <w:t>)</w:t>
            </w:r>
          </w:p>
        </w:tc>
      </w:tr>
      <w:tr w:rsidR="00000000">
        <w:trPr>
          <w:divId w:val="13923046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Past Du</w:t>
            </w:r>
            <w:r>
              <w:rPr>
                <w:rFonts w:eastAsia="Times New Roman"/>
                <w:b/>
                <w:bCs/>
                <w:color w:val="000000"/>
                <w:sz w:val="16"/>
                <w:szCs w:val="16"/>
              </w:rPr>
              <w:t>e</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Merge w:val="restart"/>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Curren</w:t>
            </w:r>
            <w:r>
              <w:rPr>
                <w:rFonts w:eastAsia="Times New Roman"/>
                <w:b/>
                <w:bCs/>
                <w:color w:val="000000"/>
                <w:sz w:val="16"/>
                <w:szCs w:val="16"/>
              </w:rPr>
              <w:t>t</w:t>
            </w:r>
          </w:p>
        </w:tc>
        <w:tc>
          <w:tcPr>
            <w:tcW w:w="0" w:type="auto"/>
            <w:gridSpan w:val="3"/>
            <w:vMerge w:val="restart"/>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vMerge w:val="restart"/>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23046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30-59 Day</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60-89 Day</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90 Days or Mor</w:t>
            </w:r>
            <w:r>
              <w:rPr>
                <w:rFonts w:eastAsia="Times New Roman"/>
                <w:b/>
                <w:bCs/>
                <w:color w:val="000000"/>
                <w:sz w:val="16"/>
                <w:szCs w:val="16"/>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Merge/>
            <w:tcBorders>
              <w:top w:val="single" w:sz="8" w:space="0" w:color="000000"/>
            </w:tcBorders>
            <w:vAlign w:val="center"/>
            <w:hideMark/>
          </w:tcPr>
          <w:p w:rsidR="00000000" w:rsidRDefault="00775A8F">
            <w:pPr>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775A8F">
            <w:pPr>
              <w:rPr>
                <w:rFonts w:eastAsia="Times New Roman"/>
              </w:rPr>
            </w:pPr>
          </w:p>
        </w:tc>
        <w:tc>
          <w:tcPr>
            <w:tcW w:w="0" w:type="auto"/>
            <w:gridSpan w:val="3"/>
            <w:vMerge/>
            <w:tcBorders>
              <w:top w:val="single" w:sz="8" w:space="0" w:color="000000"/>
            </w:tcBorders>
            <w:vAlign w:val="center"/>
            <w:hideMark/>
          </w:tcPr>
          <w:p w:rsidR="00000000" w:rsidRDefault="00775A8F">
            <w:pPr>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775A8F">
            <w:pPr>
              <w:rPr>
                <w:rFonts w:eastAsia="Times New Roman"/>
              </w:rPr>
            </w:pPr>
          </w:p>
        </w:tc>
        <w:tc>
          <w:tcPr>
            <w:tcW w:w="0" w:type="auto"/>
            <w:gridSpan w:val="3"/>
            <w:vMerge/>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23046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2"/>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r>
      <w:tr w:rsidR="00000000">
        <w:trPr>
          <w:divId w:val="139230468"/>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June 30, 2020</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230468"/>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Mortgage loans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39230468"/>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Commercia</w:t>
            </w:r>
            <w:r>
              <w:rPr>
                <w:rFonts w:eastAsia="Times New Roman"/>
                <w:color w:val="000000"/>
                <w:sz w:val="20"/>
                <w:szCs w:val="20"/>
              </w:rPr>
              <w:t>l</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39230468"/>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Agricultura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2,618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775A8F">
        <w:trPr>
          <w:divId w:val="139230468"/>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12,389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12,514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230468"/>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854923735"/>
        <w:rPr>
          <w:rFonts w:eastAsia="Times New Roman"/>
        </w:rPr>
      </w:pPr>
      <w:r>
        <w:rPr>
          <w:rFonts w:eastAsia="Times New Roman"/>
          <w:color w:val="000000"/>
          <w:sz w:val="20"/>
          <w:szCs w:val="20"/>
        </w:rPr>
        <w:t>2</w:t>
      </w:r>
      <w:r>
        <w:rPr>
          <w:rFonts w:eastAsia="Times New Roman"/>
          <w:color w:val="000000"/>
          <w:sz w:val="20"/>
          <w:szCs w:val="20"/>
        </w:rPr>
        <w:t>7</w:t>
      </w:r>
    </w:p>
    <w:p w:rsidR="00000000" w:rsidRDefault="00775A8F">
      <w:pPr>
        <w:rPr>
          <w:rFonts w:eastAsia="Times New Roman"/>
        </w:rPr>
      </w:pPr>
      <w:r>
        <w:rPr>
          <w:rFonts w:eastAsia="Times New Roman"/>
        </w:rPr>
        <w:pict>
          <v:rect id="_x0000_i1053" style="width:0;height:1.5pt" o:hralign="center" o:hrstd="t" o:hr="t" fillcolor="#a0a0a0" stroked="f"/>
        </w:pict>
      </w:r>
    </w:p>
    <w:p w:rsidR="00000000" w:rsidRDefault="00775A8F">
      <w:pPr>
        <w:jc w:val="center"/>
        <w:divId w:val="534776409"/>
        <w:rPr>
          <w:rFonts w:eastAsia="Times New Roman"/>
        </w:rPr>
      </w:pPr>
      <w:r>
        <w:rPr>
          <w:rFonts w:eastAsia="Times New Roman"/>
          <w:b/>
          <w:bCs/>
          <w:color w:val="000000"/>
          <w:sz w:val="20"/>
          <w:szCs w:val="20"/>
        </w:rPr>
        <w:t>EQUITABLE HO</w:t>
      </w:r>
      <w:r>
        <w:rPr>
          <w:rFonts w:eastAsia="Times New Roman"/>
          <w:b/>
          <w:bCs/>
          <w:color w:val="000000"/>
          <w:sz w:val="20"/>
          <w:szCs w:val="20"/>
        </w:rPr>
        <w:t>LDINGS, INC</w:t>
      </w:r>
      <w:r>
        <w:rPr>
          <w:rFonts w:eastAsia="Times New Roman"/>
          <w:b/>
          <w:bCs/>
          <w:color w:val="000000"/>
          <w:sz w:val="20"/>
          <w:szCs w:val="20"/>
        </w:rPr>
        <w:t>.</w:t>
      </w:r>
    </w:p>
    <w:p w:rsidR="00000000" w:rsidRDefault="00775A8F">
      <w:pPr>
        <w:jc w:val="center"/>
        <w:divId w:val="53477640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34" w:type="pct"/>
        <w:tblCellMar>
          <w:top w:w="15" w:type="dxa"/>
          <w:left w:w="15" w:type="dxa"/>
          <w:bottom w:w="15" w:type="dxa"/>
          <w:right w:w="15" w:type="dxa"/>
        </w:tblCellMar>
        <w:tblLook w:val="04A0" w:firstRow="1" w:lastRow="0" w:firstColumn="1" w:lastColumn="0" w:noHBand="0" w:noVBand="1"/>
      </w:tblPr>
      <w:tblGrid>
        <w:gridCol w:w="59"/>
        <w:gridCol w:w="1027"/>
        <w:gridCol w:w="59"/>
        <w:gridCol w:w="135"/>
        <w:gridCol w:w="265"/>
        <w:gridCol w:w="85"/>
        <w:gridCol w:w="36"/>
        <w:gridCol w:w="36"/>
        <w:gridCol w:w="36"/>
        <w:gridCol w:w="135"/>
        <w:gridCol w:w="265"/>
        <w:gridCol w:w="85"/>
        <w:gridCol w:w="36"/>
        <w:gridCol w:w="36"/>
        <w:gridCol w:w="36"/>
        <w:gridCol w:w="135"/>
        <w:gridCol w:w="265"/>
        <w:gridCol w:w="85"/>
        <w:gridCol w:w="36"/>
        <w:gridCol w:w="36"/>
        <w:gridCol w:w="36"/>
        <w:gridCol w:w="135"/>
        <w:gridCol w:w="365"/>
        <w:gridCol w:w="85"/>
        <w:gridCol w:w="36"/>
        <w:gridCol w:w="36"/>
        <w:gridCol w:w="36"/>
        <w:gridCol w:w="135"/>
        <w:gridCol w:w="615"/>
        <w:gridCol w:w="85"/>
        <w:gridCol w:w="36"/>
        <w:gridCol w:w="36"/>
        <w:gridCol w:w="36"/>
        <w:gridCol w:w="135"/>
        <w:gridCol w:w="615"/>
        <w:gridCol w:w="85"/>
        <w:gridCol w:w="36"/>
        <w:gridCol w:w="36"/>
        <w:gridCol w:w="36"/>
        <w:gridCol w:w="135"/>
        <w:gridCol w:w="265"/>
        <w:gridCol w:w="85"/>
        <w:gridCol w:w="36"/>
        <w:gridCol w:w="36"/>
        <w:gridCol w:w="36"/>
        <w:gridCol w:w="135"/>
        <w:gridCol w:w="615"/>
        <w:gridCol w:w="85"/>
        <w:gridCol w:w="36"/>
        <w:gridCol w:w="36"/>
        <w:gridCol w:w="36"/>
        <w:gridCol w:w="135"/>
        <w:gridCol w:w="265"/>
        <w:gridCol w:w="85"/>
        <w:gridCol w:w="36"/>
        <w:gridCol w:w="36"/>
        <w:gridCol w:w="36"/>
        <w:gridCol w:w="135"/>
        <w:gridCol w:w="265"/>
        <w:gridCol w:w="85"/>
      </w:tblGrid>
      <w:tr w:rsidR="00000000">
        <w:trPr>
          <w:divId w:val="1154688446"/>
        </w:trPr>
        <w:tc>
          <w:tcPr>
            <w:tcW w:w="50" w:type="pct"/>
            <w:vAlign w:val="center"/>
            <w:hideMark/>
          </w:tcPr>
          <w:p w:rsidR="00000000" w:rsidRDefault="00775A8F">
            <w:pPr>
              <w:jc w:val="center"/>
              <w:rPr>
                <w:rFonts w:eastAsia="Times New Roman"/>
              </w:rPr>
            </w:pPr>
          </w:p>
        </w:tc>
        <w:tc>
          <w:tcPr>
            <w:tcW w:w="87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8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1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15468844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December 31, 2019</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15468844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Mortgage loans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775A8F">
        <w:trPr>
          <w:divId w:val="115468844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Commercia</w:t>
            </w:r>
            <w:r>
              <w:rPr>
                <w:rFonts w:eastAsia="Times New Roman"/>
                <w:color w:val="000000"/>
                <w:sz w:val="20"/>
                <w:szCs w:val="20"/>
              </w:rPr>
              <w:t>l</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9,390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9,390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9,390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775A8F">
        <w:trPr>
          <w:divId w:val="115468844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Agricultura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775A8F">
        <w:trPr>
          <w:divId w:val="1154688446"/>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11,983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bl>
    <w:p w:rsidR="00000000" w:rsidRDefault="00775A8F">
      <w:pPr>
        <w:ind w:hanging="360"/>
        <w:divId w:val="108668496"/>
        <w:rPr>
          <w:rFonts w:eastAsia="Times New Roman"/>
        </w:rPr>
      </w:pPr>
      <w:r>
        <w:rPr>
          <w:rFonts w:eastAsia="Times New Roman"/>
          <w:color w:val="000000"/>
          <w:sz w:val="18"/>
          <w:szCs w:val="18"/>
        </w:rPr>
        <w:t>______________</w:t>
      </w:r>
      <w:r>
        <w:rPr>
          <w:rFonts w:eastAsia="Times New Roman"/>
          <w:color w:val="000000"/>
          <w:sz w:val="18"/>
          <w:szCs w:val="18"/>
        </w:rPr>
        <w:t>_</w:t>
      </w:r>
    </w:p>
    <w:p w:rsidR="00000000" w:rsidRDefault="00775A8F">
      <w:pPr>
        <w:ind w:hanging="360"/>
        <w:divId w:val="1898734511"/>
        <w:rPr>
          <w:rFonts w:eastAsia="Times New Roman"/>
        </w:rPr>
      </w:pPr>
      <w:r>
        <w:rPr>
          <w:rFonts w:eastAsia="Times New Roman"/>
          <w:color w:val="000000"/>
          <w:sz w:val="18"/>
          <w:szCs w:val="18"/>
        </w:rPr>
        <w:t>(1) A</w:t>
      </w:r>
      <w:r>
        <w:rPr>
          <w:rFonts w:eastAsia="Times New Roman"/>
          <w:color w:val="000000"/>
          <w:sz w:val="18"/>
          <w:szCs w:val="18"/>
        </w:rPr>
        <w:t>mounts presented at amortized cost basis.</w:t>
      </w:r>
      <w:r>
        <w:rPr>
          <w:rFonts w:eastAsia="Times New Roman"/>
          <w:color w:val="000000"/>
          <w:sz w:val="18"/>
          <w:szCs w:val="18"/>
        </w:rPr>
        <w:t xml:space="preserve"> </w:t>
      </w:r>
    </w:p>
    <w:p w:rsidR="00000000" w:rsidRDefault="00775A8F">
      <w:pPr>
        <w:ind w:hanging="360"/>
        <w:divId w:val="1729649399"/>
        <w:rPr>
          <w:rFonts w:eastAsia="Times New Roman"/>
        </w:rPr>
      </w:pPr>
      <w:r>
        <w:rPr>
          <w:rFonts w:eastAsia="Times New Roman"/>
          <w:color w:val="000000"/>
          <w:sz w:val="18"/>
          <w:szCs w:val="18"/>
        </w:rPr>
        <w:t>(2) Amounts for 2020 represent results for both the three and six months ended June 30, 2020</w:t>
      </w:r>
      <w:r>
        <w:rPr>
          <w:rFonts w:eastAsia="Times New Roman"/>
          <w:color w:val="000000"/>
          <w:sz w:val="18"/>
          <w:szCs w:val="18"/>
        </w:rPr>
        <w:t>.</w:t>
      </w:r>
    </w:p>
    <w:p w:rsidR="00000000" w:rsidRDefault="00775A8F">
      <w:pPr>
        <w:divId w:val="1487547218"/>
        <w:rPr>
          <w:rFonts w:eastAsia="Times New Roman"/>
        </w:rPr>
      </w:pPr>
      <w:r>
        <w:rPr>
          <w:rFonts w:eastAsia="Times New Roman"/>
          <w:color w:val="000000"/>
          <w:sz w:val="20"/>
          <w:szCs w:val="20"/>
        </w:rPr>
        <w:t>At June 30, 2020 and December 31, 2019, the carrying values of problem mortgage loans that had been classified as non-a</w:t>
      </w:r>
      <w:r>
        <w:rPr>
          <w:rFonts w:eastAsia="Times New Roman"/>
          <w:color w:val="000000"/>
          <w:sz w:val="20"/>
          <w:szCs w:val="20"/>
        </w:rPr>
        <w:t>ccrual loans were $75 million and $0 million, respectively</w:t>
      </w:r>
      <w:r>
        <w:rPr>
          <w:rFonts w:eastAsia="Times New Roman"/>
          <w:color w:val="000000"/>
          <w:sz w:val="20"/>
          <w:szCs w:val="20"/>
        </w:rPr>
        <w:t>.</w:t>
      </w:r>
    </w:p>
    <w:p w:rsidR="00000000" w:rsidRDefault="00775A8F">
      <w:pPr>
        <w:divId w:val="1846019563"/>
        <w:rPr>
          <w:rFonts w:eastAsia="Times New Roman"/>
        </w:rPr>
      </w:pPr>
      <w:r>
        <w:rPr>
          <w:rFonts w:eastAsia="Times New Roman"/>
          <w:color w:val="000000"/>
          <w:sz w:val="20"/>
          <w:szCs w:val="20"/>
          <w:u w:val="single"/>
        </w:rPr>
        <w:t>Troubled Debt Restructurin</w:t>
      </w:r>
      <w:r>
        <w:rPr>
          <w:rFonts w:eastAsia="Times New Roman"/>
          <w:color w:val="000000"/>
          <w:sz w:val="20"/>
          <w:szCs w:val="20"/>
          <w:u w:val="single"/>
        </w:rPr>
        <w:t>g</w:t>
      </w:r>
    </w:p>
    <w:p w:rsidR="00000000" w:rsidRDefault="00775A8F">
      <w:pPr>
        <w:divId w:val="515189778"/>
        <w:rPr>
          <w:rFonts w:eastAsia="Times New Roman"/>
        </w:rPr>
      </w:pPr>
      <w:r>
        <w:rPr>
          <w:rFonts w:eastAsia="Times New Roman"/>
          <w:color w:val="000000"/>
          <w:sz w:val="20"/>
          <w:szCs w:val="20"/>
        </w:rPr>
        <w:t>The Company invests in commercial and agricultural mortgage loans included in the balance sheet as Mortgage loans on real estate and privately negotiated fixed maturities included in the balance sheet as Fixed maturities AFS. Under certain circumstances, m</w:t>
      </w:r>
      <w:r>
        <w:rPr>
          <w:rFonts w:eastAsia="Times New Roman"/>
          <w:color w:val="000000"/>
          <w:sz w:val="20"/>
          <w:szCs w:val="20"/>
        </w:rPr>
        <w:t>odifications are granted to these contracts. Each modification is evaluated as to whether a troubled debt restructuring has occurred. A modification is a troubled debt restructuring when the borrower is in financial difficulty and the creditor makes conces</w:t>
      </w:r>
      <w:r>
        <w:rPr>
          <w:rFonts w:eastAsia="Times New Roman"/>
          <w:color w:val="000000"/>
          <w:sz w:val="20"/>
          <w:szCs w:val="20"/>
        </w:rPr>
        <w:t xml:space="preserve">sions. Generally, the types of concessions may include reducing the face amount or maturity amount of the debt as originally stated, reducing the contractual interest rate, extending the maturity date at an interest rate lower than current market interest </w:t>
      </w:r>
      <w:r>
        <w:rPr>
          <w:rFonts w:eastAsia="Times New Roman"/>
          <w:color w:val="000000"/>
          <w:sz w:val="20"/>
          <w:szCs w:val="20"/>
        </w:rPr>
        <w:t>rates and/or reducing accrued interest. The Company considers the amount, timing and extent of the concession granted in determining any impairment or changes in the specific credit allowance recorded in connection with the troubled debt restructuring. A c</w:t>
      </w:r>
      <w:r>
        <w:rPr>
          <w:rFonts w:eastAsia="Times New Roman"/>
          <w:color w:val="000000"/>
          <w:sz w:val="20"/>
          <w:szCs w:val="20"/>
        </w:rPr>
        <w:t>redit allowance may have been recorded prior to the quarter when the loan is modified in a troubled debt restructuring. Accordingly, the carrying value (net of the allowance) before and after modification through a troubled debt restructuring may not chang</w:t>
      </w:r>
      <w:r>
        <w:rPr>
          <w:rFonts w:eastAsia="Times New Roman"/>
          <w:color w:val="000000"/>
          <w:sz w:val="20"/>
          <w:szCs w:val="20"/>
        </w:rPr>
        <w:t>e significantly, or may increase if the expected recovery is higher than the pre-modification recovery assessment. At June 30, 2020, the Company did not have any commercial or agricultural mortgage loans accounted for as troubled debt restructurings. At Ju</w:t>
      </w:r>
      <w:r>
        <w:rPr>
          <w:rFonts w:eastAsia="Times New Roman"/>
          <w:color w:val="000000"/>
          <w:sz w:val="20"/>
          <w:szCs w:val="20"/>
        </w:rPr>
        <w:t>ne 30, 2020, the Company had four new privately negotiated fixed maturity troubled debt restructurings with a pre-modification cost basis of $42 million and post-modification carrying value of $37 million, these troubled debt restructurings did not have su</w:t>
      </w:r>
      <w:r>
        <w:rPr>
          <w:rFonts w:eastAsia="Times New Roman"/>
          <w:color w:val="000000"/>
          <w:sz w:val="20"/>
          <w:szCs w:val="20"/>
        </w:rPr>
        <w:t xml:space="preserve">bsequent payment defaults nor additional commitments to lend. The four privately negotiated fixed maturity troubled debt restructurings </w:t>
      </w:r>
      <w:r>
        <w:rPr>
          <w:rFonts w:eastAsia="Times New Roman"/>
          <w:color w:val="000000"/>
          <w:sz w:val="20"/>
          <w:szCs w:val="20"/>
        </w:rPr>
        <w:t>a</w:t>
      </w:r>
      <w:r>
        <w:rPr>
          <w:rFonts w:eastAsia="Times New Roman"/>
          <w:color w:val="000000"/>
          <w:sz w:val="20"/>
          <w:szCs w:val="20"/>
          <w:shd w:val="clear" w:color="auto" w:fill="FFFFFF"/>
        </w:rPr>
        <w:t>re 0.04%</w:t>
      </w:r>
      <w:r>
        <w:rPr>
          <w:rFonts w:eastAsia="Times New Roman"/>
          <w:color w:val="000000"/>
          <w:sz w:val="20"/>
          <w:szCs w:val="20"/>
          <w:shd w:val="clear" w:color="auto" w:fill="FFFFFF"/>
        </w:rPr>
        <w:t xml:space="preserve"> </w:t>
      </w:r>
      <w:r>
        <w:rPr>
          <w:rFonts w:eastAsia="Times New Roman"/>
          <w:color w:val="000000"/>
          <w:sz w:val="20"/>
          <w:szCs w:val="20"/>
        </w:rPr>
        <w:t>of the Company’s total invested assets.</w:t>
      </w:r>
      <w:r>
        <w:rPr>
          <w:rFonts w:eastAsia="Times New Roman"/>
          <w:color w:val="000000"/>
          <w:sz w:val="20"/>
          <w:szCs w:val="20"/>
        </w:rPr>
        <w:t xml:space="preserve"> </w:t>
      </w:r>
    </w:p>
    <w:p w:rsidR="00000000" w:rsidRDefault="00775A8F">
      <w:pPr>
        <w:divId w:val="1158885850"/>
        <w:rPr>
          <w:rFonts w:eastAsia="Times New Roman"/>
        </w:rPr>
      </w:pPr>
      <w:r>
        <w:rPr>
          <w:rFonts w:eastAsia="Times New Roman"/>
          <w:color w:val="000000"/>
          <w:sz w:val="20"/>
          <w:szCs w:val="20"/>
          <w:u w:val="single"/>
        </w:rPr>
        <w:t>Trading Securitie</w:t>
      </w:r>
      <w:r>
        <w:rPr>
          <w:rFonts w:eastAsia="Times New Roman"/>
          <w:color w:val="000000"/>
          <w:sz w:val="20"/>
          <w:szCs w:val="20"/>
          <w:u w:val="single"/>
        </w:rPr>
        <w:t>s</w:t>
      </w:r>
    </w:p>
    <w:p w:rsidR="00000000" w:rsidRDefault="00775A8F">
      <w:pPr>
        <w:divId w:val="383023697"/>
        <w:rPr>
          <w:rFonts w:eastAsia="Times New Roman"/>
        </w:rPr>
      </w:pPr>
      <w:r>
        <w:rPr>
          <w:rFonts w:eastAsia="Times New Roman"/>
          <w:color w:val="000000"/>
          <w:sz w:val="20"/>
          <w:szCs w:val="20"/>
        </w:rPr>
        <w:t>At June 30, 2020 and December 31, 2019, respective</w:t>
      </w:r>
      <w:r>
        <w:rPr>
          <w:rFonts w:eastAsia="Times New Roman"/>
          <w:color w:val="000000"/>
          <w:sz w:val="20"/>
          <w:szCs w:val="20"/>
        </w:rPr>
        <w:t>ly, the fair value of the Company’s trading securities was $6.6 billion and $7.0 billion. At June 30, 2020 and December 31, 2019, respectively, trading securities included the General Account’s investment in Separate Accounts which had carrying values o</w:t>
      </w:r>
      <w:r>
        <w:rPr>
          <w:rFonts w:eastAsia="Times New Roman"/>
          <w:color w:val="000000"/>
          <w:sz w:val="20"/>
          <w:szCs w:val="20"/>
        </w:rPr>
        <w:t>f</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38 million an</w:t>
      </w:r>
      <w:r>
        <w:rPr>
          <w:rFonts w:eastAsia="Times New Roman"/>
          <w:color w:val="000000"/>
          <w:sz w:val="20"/>
          <w:szCs w:val="20"/>
          <w:shd w:val="clear" w:color="auto" w:fill="FFFFFF"/>
        </w:rPr>
        <w:t>d</w:t>
      </w:r>
      <w:r>
        <w:rPr>
          <w:rFonts w:eastAsia="Times New Roman"/>
          <w:color w:val="000000"/>
          <w:sz w:val="20"/>
          <w:szCs w:val="20"/>
        </w:rPr>
        <w:t xml:space="preserve"> $58 million</w:t>
      </w:r>
      <w:r>
        <w:rPr>
          <w:rFonts w:eastAsia="Times New Roman"/>
          <w:color w:val="000000"/>
          <w:sz w:val="20"/>
          <w:szCs w:val="20"/>
        </w:rPr>
        <w:t>.</w:t>
      </w:r>
    </w:p>
    <w:p w:rsidR="00000000" w:rsidRDefault="00775A8F">
      <w:pPr>
        <w:divId w:val="665208047"/>
        <w:rPr>
          <w:rFonts w:eastAsia="Times New Roman"/>
        </w:rPr>
      </w:pPr>
      <w:r>
        <w:rPr>
          <w:rFonts w:eastAsia="Times New Roman"/>
          <w:color w:val="000000"/>
          <w:sz w:val="20"/>
          <w:szCs w:val="20"/>
        </w:rPr>
        <w:t>Net unrealized and realized gains (losses) on trading securities are included in Net investment income (loss) in the Consolidated Statements of Income (Loss). The table below shows a breakdown of Net investment income (loss) fro</w:t>
      </w:r>
      <w:r>
        <w:rPr>
          <w:rFonts w:eastAsia="Times New Roman"/>
          <w:color w:val="000000"/>
          <w:sz w:val="20"/>
          <w:szCs w:val="20"/>
        </w:rPr>
        <w:t>m trading securities during the three and six months ended June 30, 2020 and 2019</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Net Investment Income (Loss) from Trading Securitie</w:t>
      </w:r>
      <w:r>
        <w:rPr>
          <w:rFonts w:eastAsia="Times New Roman"/>
          <w:b/>
          <w:bCs/>
          <w:color w:val="000000"/>
          <w:sz w:val="20"/>
          <w:szCs w:val="20"/>
        </w:rPr>
        <w:t>s</w:t>
      </w:r>
    </w:p>
    <w:tbl>
      <w:tblPr>
        <w:tblW w:w="4641" w:type="pct"/>
        <w:tblCellMar>
          <w:top w:w="15" w:type="dxa"/>
          <w:left w:w="15" w:type="dxa"/>
          <w:bottom w:w="15" w:type="dxa"/>
          <w:right w:w="15" w:type="dxa"/>
        </w:tblCellMar>
        <w:tblLook w:val="04A0" w:firstRow="1" w:lastRow="0" w:firstColumn="1" w:lastColumn="0" w:noHBand="0" w:noVBand="1"/>
      </w:tblPr>
      <w:tblGrid>
        <w:gridCol w:w="37"/>
        <w:gridCol w:w="2994"/>
        <w:gridCol w:w="36"/>
        <w:gridCol w:w="135"/>
        <w:gridCol w:w="770"/>
        <w:gridCol w:w="85"/>
        <w:gridCol w:w="36"/>
        <w:gridCol w:w="36"/>
        <w:gridCol w:w="36"/>
        <w:gridCol w:w="135"/>
        <w:gridCol w:w="741"/>
        <w:gridCol w:w="85"/>
        <w:gridCol w:w="36"/>
        <w:gridCol w:w="36"/>
        <w:gridCol w:w="36"/>
        <w:gridCol w:w="135"/>
        <w:gridCol w:w="822"/>
        <w:gridCol w:w="85"/>
        <w:gridCol w:w="36"/>
        <w:gridCol w:w="36"/>
        <w:gridCol w:w="36"/>
        <w:gridCol w:w="135"/>
        <w:gridCol w:w="674"/>
        <w:gridCol w:w="85"/>
        <w:gridCol w:w="36"/>
        <w:gridCol w:w="36"/>
        <w:gridCol w:w="36"/>
        <w:gridCol w:w="36"/>
        <w:gridCol w:w="36"/>
        <w:gridCol w:w="36"/>
        <w:gridCol w:w="36"/>
        <w:gridCol w:w="36"/>
        <w:gridCol w:w="36"/>
        <w:gridCol w:w="36"/>
        <w:gridCol w:w="36"/>
        <w:gridCol w:w="36"/>
      </w:tblGrid>
      <w:tr w:rsidR="00000000">
        <w:trPr>
          <w:gridAfter w:val="12"/>
          <w:divId w:val="1341935245"/>
        </w:trPr>
        <w:tc>
          <w:tcPr>
            <w:tcW w:w="50" w:type="pct"/>
            <w:vAlign w:val="center"/>
            <w:hideMark/>
          </w:tcPr>
          <w:p w:rsidR="00000000" w:rsidRDefault="00775A8F">
            <w:pPr>
              <w:jc w:val="center"/>
              <w:rPr>
                <w:rFonts w:eastAsia="Times New Roman"/>
              </w:rPr>
            </w:pPr>
          </w:p>
        </w:tc>
        <w:tc>
          <w:tcPr>
            <w:tcW w:w="20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2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34193524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34193524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41935245"/>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4193524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gains (losses) recognized during the period on securities held at the end of the perio</w:t>
            </w:r>
            <w:r>
              <w:rPr>
                <w:rFonts w:eastAsia="Times New Roman"/>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287</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101</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4193524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gains (losses) recognized on securities sold during the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4193524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Unrealized and realized gains (losses) on trading securitie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4193524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Interest and dividend income from trading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4193524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income (loss) from trading securitie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93863156"/>
        <w:rPr>
          <w:rFonts w:eastAsia="Times New Roman"/>
        </w:rPr>
      </w:pPr>
    </w:p>
    <w:p w:rsidR="00000000" w:rsidRDefault="00775A8F">
      <w:pPr>
        <w:jc w:val="center"/>
        <w:divId w:val="1932736847"/>
        <w:rPr>
          <w:rFonts w:eastAsia="Times New Roman"/>
        </w:rPr>
      </w:pPr>
      <w:r>
        <w:rPr>
          <w:rFonts w:eastAsia="Times New Roman"/>
          <w:color w:val="000000"/>
          <w:sz w:val="20"/>
          <w:szCs w:val="20"/>
        </w:rPr>
        <w:t>2</w:t>
      </w:r>
      <w:r>
        <w:rPr>
          <w:rFonts w:eastAsia="Times New Roman"/>
          <w:color w:val="000000"/>
          <w:sz w:val="20"/>
          <w:szCs w:val="20"/>
        </w:rPr>
        <w:t>8</w:t>
      </w:r>
    </w:p>
    <w:p w:rsidR="00000000" w:rsidRDefault="00775A8F">
      <w:pPr>
        <w:rPr>
          <w:rFonts w:eastAsia="Times New Roman"/>
        </w:rPr>
      </w:pPr>
      <w:r>
        <w:rPr>
          <w:rFonts w:eastAsia="Times New Roman"/>
        </w:rPr>
        <w:pict>
          <v:rect id="_x0000_i1054" style="width:0;height:1.5pt" o:hralign="center" o:hrstd="t" o:hr="t" fillcolor="#a0a0a0" stroked="f"/>
        </w:pict>
      </w:r>
    </w:p>
    <w:p w:rsidR="00000000" w:rsidRDefault="00775A8F">
      <w:pPr>
        <w:jc w:val="center"/>
        <w:divId w:val="1729720965"/>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729720965"/>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987666753"/>
        <w:rPr>
          <w:rFonts w:eastAsia="Times New Roman"/>
        </w:rPr>
      </w:pPr>
      <w:r>
        <w:rPr>
          <w:rFonts w:eastAsia="Times New Roman"/>
          <w:b/>
          <w:bCs/>
          <w:color w:val="000000"/>
          <w:sz w:val="20"/>
          <w:szCs w:val="20"/>
        </w:rPr>
        <w:t>4)  DERIVATIVE</w:t>
      </w:r>
      <w:r>
        <w:rPr>
          <w:rFonts w:eastAsia="Times New Roman"/>
          <w:b/>
          <w:bCs/>
          <w:color w:val="000000"/>
          <w:sz w:val="20"/>
          <w:szCs w:val="20"/>
        </w:rPr>
        <w:t>S</w:t>
      </w:r>
    </w:p>
    <w:p w:rsidR="00000000" w:rsidRDefault="00775A8F">
      <w:pPr>
        <w:divId w:val="1704086905"/>
        <w:rPr>
          <w:rFonts w:eastAsia="Times New Roman"/>
        </w:rPr>
      </w:pPr>
      <w:r>
        <w:rPr>
          <w:rFonts w:eastAsia="Times New Roman"/>
          <w:color w:val="000000"/>
          <w:sz w:val="20"/>
          <w:szCs w:val="20"/>
        </w:rPr>
        <w:t>The Company uses derivatives as part of its overall asset/liability risk management primarily to reduce exposures to equity market and interest rate risks. Derivative hedging strategies are designed to reduce these risks from an economic perspective and ar</w:t>
      </w:r>
      <w:r>
        <w:rPr>
          <w:rFonts w:eastAsia="Times New Roman"/>
          <w:color w:val="000000"/>
          <w:sz w:val="20"/>
          <w:szCs w:val="20"/>
        </w:rPr>
        <w:t>e all executed within the framework of a “Derivative Use Plan” approved by applicable states’ insurance law. Derivatives are generally not accounted for using hedge accounting, with the exception of Treasury Inflation-Protected Securities (“TIPS”), which i</w:t>
      </w:r>
      <w:r>
        <w:rPr>
          <w:rFonts w:eastAsia="Times New Roman"/>
          <w:color w:val="000000"/>
          <w:sz w:val="20"/>
          <w:szCs w:val="20"/>
        </w:rPr>
        <w:t>s discussed further below. Operation of these hedging programs is based on models involving numerous estimates and assumptions, including, among others, mortality, lapse, surrender and withdrawal rates, election rates, fund performance, market volatility a</w:t>
      </w:r>
      <w:r>
        <w:rPr>
          <w:rFonts w:eastAsia="Times New Roman"/>
          <w:color w:val="000000"/>
          <w:sz w:val="20"/>
          <w:szCs w:val="20"/>
        </w:rPr>
        <w:t>nd interest rates. A wide range of derivative contracts are used in these hedging programs, including exchange traded equity, currency and interest rate futures contracts, total return and/or other equity swaps, interest rate swap and floor contracts, bond</w:t>
      </w:r>
      <w:r>
        <w:rPr>
          <w:rFonts w:eastAsia="Times New Roman"/>
          <w:color w:val="000000"/>
          <w:sz w:val="20"/>
          <w:szCs w:val="20"/>
        </w:rPr>
        <w:t xml:space="preserve"> and bond-index total return swaps, swaptions, variance swaps and equity options, credit and foreign exchange derivatives, as well as bond and repo transactions to support the hedging. The derivative contracts are collectively managed in an effort to reduc</w:t>
      </w:r>
      <w:r>
        <w:rPr>
          <w:rFonts w:eastAsia="Times New Roman"/>
          <w:color w:val="000000"/>
          <w:sz w:val="20"/>
          <w:szCs w:val="20"/>
        </w:rPr>
        <w:t>e the economic impact of unfavorable changes in guaranteed benefits’ exposures attributable to movements in capital markets. In addition, as part of its hedging strategy, the Company targets an asset level for all variable annuity products at or above a CT</w:t>
      </w:r>
      <w:r>
        <w:rPr>
          <w:rFonts w:eastAsia="Times New Roman"/>
          <w:color w:val="000000"/>
          <w:sz w:val="20"/>
          <w:szCs w:val="20"/>
        </w:rPr>
        <w:t xml:space="preserve">E98 level under most economic scenarios (Conditional Tail Expectation, or “CTE”, is a statistical measure of tail risk which quantifies the total asset requirement to sustain a loss if an event outside a given probability level has occurred. CTE98 denotes </w:t>
      </w:r>
      <w:r>
        <w:rPr>
          <w:rFonts w:eastAsia="Times New Roman"/>
          <w:color w:val="000000"/>
          <w:sz w:val="20"/>
          <w:szCs w:val="20"/>
        </w:rPr>
        <w:t>the financial resources a company would need to cover the average of the worst 2% of scenarios.)</w:t>
      </w:r>
      <w:r>
        <w:rPr>
          <w:rFonts w:eastAsia="Times New Roman"/>
          <w:color w:val="000000"/>
          <w:sz w:val="20"/>
          <w:szCs w:val="20"/>
        </w:rPr>
        <w:t xml:space="preserve"> </w:t>
      </w:r>
    </w:p>
    <w:p w:rsidR="00000000" w:rsidRDefault="00775A8F">
      <w:pPr>
        <w:divId w:val="760762171"/>
        <w:rPr>
          <w:rFonts w:eastAsia="Times New Roman"/>
        </w:rPr>
      </w:pPr>
      <w:r>
        <w:rPr>
          <w:rFonts w:eastAsia="Times New Roman"/>
          <w:color w:val="000000"/>
          <w:sz w:val="20"/>
          <w:szCs w:val="20"/>
          <w:u w:val="single"/>
        </w:rPr>
        <w:t>Derivatives Utilized to Hedge Exposure to Variable Annuities with Guarantee Features</w:t>
      </w:r>
      <w:r>
        <w:rPr>
          <w:rFonts w:eastAsia="Times New Roman"/>
          <w:color w:val="000000"/>
          <w:sz w:val="20"/>
          <w:szCs w:val="20"/>
          <w:u w:val="single"/>
        </w:rPr>
        <w:t xml:space="preserve"> </w:t>
      </w:r>
    </w:p>
    <w:p w:rsidR="00000000" w:rsidRDefault="00775A8F">
      <w:pPr>
        <w:divId w:val="420641043"/>
        <w:rPr>
          <w:rFonts w:eastAsia="Times New Roman"/>
        </w:rPr>
      </w:pPr>
      <w:r>
        <w:rPr>
          <w:rFonts w:eastAsia="Times New Roman"/>
          <w:color w:val="000000"/>
          <w:sz w:val="20"/>
          <w:szCs w:val="20"/>
        </w:rPr>
        <w:t xml:space="preserve">The Company has issued and continues to offer variable annuity products </w:t>
      </w:r>
      <w:r>
        <w:rPr>
          <w:rFonts w:eastAsia="Times New Roman"/>
          <w:color w:val="000000"/>
          <w:sz w:val="20"/>
          <w:szCs w:val="20"/>
        </w:rPr>
        <w:t>with GMxB features. The risk associated with the GMDB feature is that under-performance of the financial markets could result in GMDB benefits, in the event of death, being higher than what accumulated policyholders’ account balances would support. The ris</w:t>
      </w:r>
      <w:r>
        <w:rPr>
          <w:rFonts w:eastAsia="Times New Roman"/>
          <w:color w:val="000000"/>
          <w:sz w:val="20"/>
          <w:szCs w:val="20"/>
        </w:rPr>
        <w:t>k associated with the GMIB feature is that under-performance of the financial markets could result in the present value of GMIB, in the event of annuitization, being higher than what accumulated policyholders’ account balances would support, taking into ac</w:t>
      </w:r>
      <w:r>
        <w:rPr>
          <w:rFonts w:eastAsia="Times New Roman"/>
          <w:color w:val="000000"/>
          <w:sz w:val="20"/>
          <w:szCs w:val="20"/>
        </w:rPr>
        <w:t>count the relationship between current annuity purchase rates and the GMIB guaranteed annuity purchase rates. The risk associated with products that have a GMxB derivative features liability is that under-performance of the financial markets could result i</w:t>
      </w:r>
      <w:r>
        <w:rPr>
          <w:rFonts w:eastAsia="Times New Roman"/>
          <w:color w:val="000000"/>
          <w:sz w:val="20"/>
          <w:szCs w:val="20"/>
        </w:rPr>
        <w:t>n the GMxB derivative features’ benefits being higher than what accumulated policyholders’ account balances would support.</w:t>
      </w:r>
      <w:r>
        <w:rPr>
          <w:rFonts w:eastAsia="Times New Roman"/>
          <w:color w:val="000000"/>
          <w:sz w:val="20"/>
          <w:szCs w:val="20"/>
        </w:rPr>
        <w:t xml:space="preserve"> </w:t>
      </w:r>
    </w:p>
    <w:p w:rsidR="00000000" w:rsidRDefault="00775A8F">
      <w:pPr>
        <w:divId w:val="1963072817"/>
        <w:rPr>
          <w:rFonts w:eastAsia="Times New Roman"/>
        </w:rPr>
      </w:pPr>
      <w:r>
        <w:rPr>
          <w:rFonts w:eastAsia="Times New Roman"/>
          <w:color w:val="000000"/>
          <w:sz w:val="20"/>
          <w:szCs w:val="20"/>
        </w:rPr>
        <w:t>For GMxB features, the Company retains certain risks including basis, credit spread and some volatility risk and risk associated wit</w:t>
      </w:r>
      <w:r>
        <w:rPr>
          <w:rFonts w:eastAsia="Times New Roman"/>
          <w:color w:val="000000"/>
          <w:sz w:val="20"/>
          <w:szCs w:val="20"/>
        </w:rPr>
        <w:t xml:space="preserve">h actual versus expected actuarial assumptions for mortality, lapse and surrender, withdrawal and policyholder election rates, among other things. The derivative contracts are managed to correlate with changes in the value of the GMxB features that result </w:t>
      </w:r>
      <w:r>
        <w:rPr>
          <w:rFonts w:eastAsia="Times New Roman"/>
          <w:color w:val="000000"/>
          <w:sz w:val="20"/>
          <w:szCs w:val="20"/>
        </w:rPr>
        <w:t>from financial markets movements. A portion of exposure to realized equity volatility is hedged using equity options and variance swaps and a portion of exposure to credit risk is hedged using total return swaps on fixed income indices. Additionally, the C</w:t>
      </w:r>
      <w:r>
        <w:rPr>
          <w:rFonts w:eastAsia="Times New Roman"/>
          <w:color w:val="000000"/>
          <w:sz w:val="20"/>
          <w:szCs w:val="20"/>
        </w:rPr>
        <w:t xml:space="preserve">ompany is party to total return swaps for which the reference U.S. Treasury securities are contemporaneously purchased from the market and sold to the swap counterparty. As these transactions result in a transfer of control of the U.S. Treasury securities </w:t>
      </w:r>
      <w:r>
        <w:rPr>
          <w:rFonts w:eastAsia="Times New Roman"/>
          <w:color w:val="000000"/>
          <w:sz w:val="20"/>
          <w:szCs w:val="20"/>
        </w:rPr>
        <w:t>to the swap counterparty, the Company derecognizes these securities with consequent gain or loss from the sale. The Company has also purchased reinsurance contracts to mitigate the risks associated with GMDB features and the impact of potential market fluc</w:t>
      </w:r>
      <w:r>
        <w:rPr>
          <w:rFonts w:eastAsia="Times New Roman"/>
          <w:color w:val="000000"/>
          <w:sz w:val="20"/>
          <w:szCs w:val="20"/>
        </w:rPr>
        <w:t>tuations on future policyholder elections of GMIB features contained in certain annuity contracts issued by the Company. The reinsurance of the GMIB features is accounted for as a derivative</w:t>
      </w:r>
      <w:r>
        <w:rPr>
          <w:rFonts w:eastAsia="Times New Roman"/>
          <w:color w:val="000000"/>
          <w:sz w:val="20"/>
          <w:szCs w:val="20"/>
        </w:rPr>
        <w:t>.</w:t>
      </w:r>
    </w:p>
    <w:p w:rsidR="00000000" w:rsidRDefault="00775A8F">
      <w:pPr>
        <w:divId w:val="2131513344"/>
        <w:rPr>
          <w:rFonts w:eastAsia="Times New Roman"/>
        </w:rPr>
      </w:pPr>
      <w:r>
        <w:rPr>
          <w:rFonts w:eastAsia="Times New Roman"/>
          <w:color w:val="000000"/>
          <w:sz w:val="20"/>
          <w:szCs w:val="20"/>
        </w:rPr>
        <w:t>The Company has in place an economic hedge program using interes</w:t>
      </w:r>
      <w:r>
        <w:rPr>
          <w:rFonts w:eastAsia="Times New Roman"/>
          <w:color w:val="000000"/>
          <w:sz w:val="20"/>
          <w:szCs w:val="20"/>
        </w:rPr>
        <w:t>t rate swaps and U.S. Treasury futures to partially protect the overall profitability of future variable annuity sales against declining interest rates</w:t>
      </w:r>
      <w:r>
        <w:rPr>
          <w:rFonts w:eastAsia="Times New Roman"/>
          <w:color w:val="000000"/>
          <w:sz w:val="20"/>
          <w:szCs w:val="20"/>
        </w:rPr>
        <w:t>.</w:t>
      </w:r>
    </w:p>
    <w:p w:rsidR="00000000" w:rsidRDefault="00775A8F">
      <w:pPr>
        <w:divId w:val="637152623"/>
        <w:rPr>
          <w:rFonts w:eastAsia="Times New Roman"/>
        </w:rPr>
      </w:pPr>
      <w:r>
        <w:rPr>
          <w:rFonts w:eastAsia="Times New Roman"/>
          <w:color w:val="000000"/>
          <w:sz w:val="20"/>
          <w:szCs w:val="20"/>
          <w:u w:val="single"/>
        </w:rPr>
        <w:t>Derivatives Utilized to Hedge Crediting Rate Exposure on SCS, SIO, MSO and IUL Products/Investment Opti</w:t>
      </w:r>
      <w:r>
        <w:rPr>
          <w:rFonts w:eastAsia="Times New Roman"/>
          <w:color w:val="000000"/>
          <w:sz w:val="20"/>
          <w:szCs w:val="20"/>
          <w:u w:val="single"/>
        </w:rPr>
        <w:t>ons</w:t>
      </w:r>
      <w:r>
        <w:rPr>
          <w:rFonts w:eastAsia="Times New Roman"/>
          <w:color w:val="000000"/>
          <w:sz w:val="20"/>
          <w:szCs w:val="20"/>
          <w:u w:val="single"/>
        </w:rPr>
        <w:t xml:space="preserve"> </w:t>
      </w:r>
    </w:p>
    <w:p w:rsidR="00000000" w:rsidRDefault="00775A8F">
      <w:pPr>
        <w:divId w:val="224755276"/>
        <w:rPr>
          <w:rFonts w:eastAsia="Times New Roman"/>
        </w:rPr>
      </w:pPr>
      <w:r>
        <w:rPr>
          <w:rFonts w:eastAsia="Times New Roman"/>
          <w:color w:val="000000"/>
          <w:sz w:val="20"/>
          <w:szCs w:val="20"/>
        </w:rPr>
        <w:t>The Company hedges crediting rates in the Structured Capital Strategies (“SCS”) variable annuity, Structured Investment Option in the EQUI-VEST variable annuity series (“SIO”), Market Stabilizer Option (“MSO”) in the variable life insurance products a</w:t>
      </w:r>
      <w:r>
        <w:rPr>
          <w:rFonts w:eastAsia="Times New Roman"/>
          <w:color w:val="000000"/>
          <w:sz w:val="20"/>
          <w:szCs w:val="20"/>
        </w:rPr>
        <w:t>nd Indexed Universal Life (“IUL”) insurance products. These products permit the contract owner to participate in the performance of an index, Exchange Traded Fund (“ETF”) or commodity price movement up to a cap for a set period of time. They also contain a</w:t>
      </w:r>
      <w:r>
        <w:rPr>
          <w:rFonts w:eastAsia="Times New Roman"/>
          <w:color w:val="000000"/>
          <w:sz w:val="20"/>
          <w:szCs w:val="20"/>
        </w:rPr>
        <w:t xml:space="preserve"> protection feature, in which the Company will absorb, up to a certain percentage, the loss of value in an index, ETF or commodity price, which varies by product segment.</w:t>
      </w:r>
      <w:r>
        <w:rPr>
          <w:rFonts w:eastAsia="Times New Roman"/>
          <w:color w:val="000000"/>
          <w:sz w:val="20"/>
          <w:szCs w:val="20"/>
        </w:rPr>
        <w:t xml:space="preserve"> </w:t>
      </w:r>
    </w:p>
    <w:p w:rsidR="00000000" w:rsidRDefault="00775A8F">
      <w:pPr>
        <w:divId w:val="1207371545"/>
        <w:rPr>
          <w:rFonts w:eastAsia="Times New Roman"/>
        </w:rPr>
      </w:pPr>
      <w:r>
        <w:rPr>
          <w:rFonts w:eastAsia="Times New Roman"/>
          <w:color w:val="000000"/>
          <w:sz w:val="20"/>
          <w:szCs w:val="20"/>
        </w:rPr>
        <w:t>In order to support the returns associated with these features, the Company enters i</w:t>
      </w:r>
      <w:r>
        <w:rPr>
          <w:rFonts w:eastAsia="Times New Roman"/>
          <w:color w:val="000000"/>
          <w:sz w:val="20"/>
          <w:szCs w:val="20"/>
        </w:rPr>
        <w:t>nto derivative contracts whose payouts, in combination with fixed income investments, emulate those of the index, ETF or commodity price, subject to caps and buffers, thereby substantially reducing any exposure to market-related earnings volatility</w:t>
      </w:r>
      <w:r>
        <w:rPr>
          <w:rFonts w:eastAsia="Times New Roman"/>
          <w:color w:val="000000"/>
          <w:sz w:val="20"/>
          <w:szCs w:val="20"/>
        </w:rPr>
        <w:t>.</w:t>
      </w:r>
    </w:p>
    <w:p w:rsidR="00000000" w:rsidRDefault="00775A8F">
      <w:pPr>
        <w:jc w:val="center"/>
        <w:divId w:val="1440678424"/>
        <w:rPr>
          <w:rFonts w:eastAsia="Times New Roman"/>
        </w:rPr>
      </w:pPr>
      <w:r>
        <w:rPr>
          <w:rFonts w:eastAsia="Times New Roman"/>
          <w:color w:val="000000"/>
          <w:sz w:val="20"/>
          <w:szCs w:val="20"/>
        </w:rPr>
        <w:t>2</w:t>
      </w:r>
      <w:r>
        <w:rPr>
          <w:rFonts w:eastAsia="Times New Roman"/>
          <w:color w:val="000000"/>
          <w:sz w:val="20"/>
          <w:szCs w:val="20"/>
        </w:rPr>
        <w:t>9</w:t>
      </w:r>
    </w:p>
    <w:p w:rsidR="00000000" w:rsidRDefault="00775A8F">
      <w:pPr>
        <w:rPr>
          <w:rFonts w:eastAsia="Times New Roman"/>
        </w:rPr>
      </w:pPr>
      <w:r>
        <w:rPr>
          <w:rFonts w:eastAsia="Times New Roman"/>
        </w:rPr>
        <w:pict>
          <v:rect id="_x0000_i1055" style="width:0;height:1.5pt" o:hralign="center" o:hrstd="t" o:hr="t" fillcolor="#a0a0a0" stroked="f"/>
        </w:pict>
      </w:r>
    </w:p>
    <w:p w:rsidR="00000000" w:rsidRDefault="00775A8F">
      <w:pPr>
        <w:jc w:val="center"/>
        <w:divId w:val="505831362"/>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505831362"/>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653340905"/>
        <w:rPr>
          <w:rFonts w:eastAsia="Times New Roman"/>
        </w:rPr>
      </w:pPr>
      <w:r>
        <w:rPr>
          <w:rFonts w:eastAsia="Times New Roman"/>
          <w:color w:val="000000"/>
          <w:sz w:val="20"/>
          <w:szCs w:val="20"/>
          <w:u w:val="single"/>
        </w:rPr>
        <w:t>Derivatives Used to Hedge Equity Market Risks Associated with the General Account’s Seed Money Investments in Retail Mutual Fund</w:t>
      </w:r>
      <w:r>
        <w:rPr>
          <w:rFonts w:eastAsia="Times New Roman"/>
          <w:color w:val="000000"/>
          <w:sz w:val="20"/>
          <w:szCs w:val="20"/>
          <w:u w:val="single"/>
        </w:rPr>
        <w:t>s</w:t>
      </w:r>
    </w:p>
    <w:p w:rsidR="00000000" w:rsidRDefault="00775A8F">
      <w:pPr>
        <w:divId w:val="1847019878"/>
        <w:rPr>
          <w:rFonts w:eastAsia="Times New Roman"/>
        </w:rPr>
      </w:pPr>
      <w:r>
        <w:rPr>
          <w:rFonts w:eastAsia="Times New Roman"/>
          <w:color w:val="000000"/>
          <w:sz w:val="20"/>
          <w:szCs w:val="20"/>
        </w:rPr>
        <w:t>T</w:t>
      </w:r>
      <w:r>
        <w:rPr>
          <w:rFonts w:eastAsia="Times New Roman"/>
          <w:color w:val="000000"/>
          <w:sz w:val="20"/>
          <w:szCs w:val="20"/>
        </w:rPr>
        <w:t>he Company’s General Account seed money investments in retail mutual funds expose us to market risk, including equity market risk which is partially hedged through equity-index futures contracts to minimize such risk</w:t>
      </w:r>
      <w:r>
        <w:rPr>
          <w:rFonts w:eastAsia="Times New Roman"/>
          <w:color w:val="000000"/>
          <w:sz w:val="20"/>
          <w:szCs w:val="20"/>
        </w:rPr>
        <w:t>.</w:t>
      </w:r>
    </w:p>
    <w:p w:rsidR="00000000" w:rsidRDefault="00775A8F">
      <w:pPr>
        <w:divId w:val="1909226459"/>
        <w:rPr>
          <w:rFonts w:eastAsia="Times New Roman"/>
        </w:rPr>
      </w:pPr>
      <w:r>
        <w:rPr>
          <w:rFonts w:eastAsia="Times New Roman"/>
          <w:color w:val="000000"/>
          <w:sz w:val="20"/>
          <w:szCs w:val="20"/>
          <w:u w:val="single"/>
        </w:rPr>
        <w:t>Derivatives Used to Hedge Universal Li</w:t>
      </w:r>
      <w:r>
        <w:rPr>
          <w:rFonts w:eastAsia="Times New Roman"/>
          <w:color w:val="000000"/>
          <w:sz w:val="20"/>
          <w:szCs w:val="20"/>
          <w:u w:val="single"/>
        </w:rPr>
        <w:t>fe Products with Secondary Guarantee (“ULSG”) Polic</w:t>
      </w:r>
      <w:r>
        <w:rPr>
          <w:rFonts w:eastAsia="Times New Roman"/>
          <w:color w:val="000000"/>
          <w:sz w:val="20"/>
          <w:szCs w:val="20"/>
          <w:u w:val="single"/>
        </w:rPr>
        <w:t>y</w:t>
      </w:r>
    </w:p>
    <w:p w:rsidR="00000000" w:rsidRDefault="00775A8F">
      <w:pPr>
        <w:divId w:val="667561473"/>
        <w:rPr>
          <w:rFonts w:eastAsia="Times New Roman"/>
        </w:rPr>
      </w:pPr>
      <w:r>
        <w:rPr>
          <w:rFonts w:eastAsia="Times New Roman"/>
          <w:color w:val="000000"/>
          <w:sz w:val="20"/>
          <w:szCs w:val="20"/>
        </w:rPr>
        <w:t>The Company implemented a hedge program using fixed income total return swaps to mitigate the interest rate exposure in the ULSG policy statutory liability</w:t>
      </w:r>
      <w:r>
        <w:rPr>
          <w:rFonts w:eastAsia="Times New Roman"/>
          <w:color w:val="000000"/>
          <w:sz w:val="20"/>
          <w:szCs w:val="20"/>
        </w:rPr>
        <w:t>.</w:t>
      </w:r>
    </w:p>
    <w:p w:rsidR="00000000" w:rsidRDefault="00775A8F">
      <w:pPr>
        <w:divId w:val="1941839112"/>
        <w:rPr>
          <w:rFonts w:eastAsia="Times New Roman"/>
        </w:rPr>
      </w:pPr>
      <w:r>
        <w:rPr>
          <w:rFonts w:eastAsia="Times New Roman"/>
          <w:color w:val="000000"/>
          <w:sz w:val="20"/>
          <w:szCs w:val="20"/>
          <w:u w:val="single"/>
        </w:rPr>
        <w:t>Derivatives Used for General Account Investmen</w:t>
      </w:r>
      <w:r>
        <w:rPr>
          <w:rFonts w:eastAsia="Times New Roman"/>
          <w:color w:val="000000"/>
          <w:sz w:val="20"/>
          <w:szCs w:val="20"/>
          <w:u w:val="single"/>
        </w:rPr>
        <w:t>t Portfolio</w:t>
      </w:r>
      <w:r>
        <w:rPr>
          <w:rFonts w:eastAsia="Times New Roman"/>
          <w:color w:val="000000"/>
          <w:sz w:val="20"/>
          <w:szCs w:val="20"/>
          <w:u w:val="single"/>
        </w:rPr>
        <w:t xml:space="preserve"> </w:t>
      </w:r>
    </w:p>
    <w:p w:rsidR="00000000" w:rsidRDefault="00775A8F">
      <w:pPr>
        <w:divId w:val="1269661216"/>
        <w:rPr>
          <w:rFonts w:eastAsia="Times New Roman"/>
        </w:rPr>
      </w:pPr>
      <w:r>
        <w:rPr>
          <w:rFonts w:eastAsia="Times New Roman"/>
          <w:color w:val="000000"/>
          <w:sz w:val="20"/>
          <w:szCs w:val="20"/>
        </w:rPr>
        <w:t>The Company maintains a strategy in its General Account investment portfolio to replicate the credit exposure of fixed maturity securities otherwise permissible for investment under its investment guidelines through the sale of credit default swaps (“CDS”)</w:t>
      </w:r>
      <w:r>
        <w:rPr>
          <w:rFonts w:eastAsia="Times New Roman"/>
          <w:color w:val="000000"/>
          <w:sz w:val="20"/>
          <w:szCs w:val="20"/>
        </w:rPr>
        <w:t>. Under the terms of these swaps, the Company receives quarterly fixed premiums that, together with any initial amount paid or received at trade inception, replicate the credit spread otherwise currently obtainable by purchasing the referenced entity’s bon</w:t>
      </w:r>
      <w:r>
        <w:rPr>
          <w:rFonts w:eastAsia="Times New Roman"/>
          <w:color w:val="000000"/>
          <w:sz w:val="20"/>
          <w:szCs w:val="20"/>
        </w:rPr>
        <w:t>ds of similar maturity. These credit derivatives generally have remaining terms of five years or less and are recorded at fair value with changes in fair value, including the yield component that emerges from initial amounts paid or received, reported in N</w:t>
      </w:r>
      <w:r>
        <w:rPr>
          <w:rFonts w:eastAsia="Times New Roman"/>
          <w:color w:val="000000"/>
          <w:sz w:val="20"/>
          <w:szCs w:val="20"/>
        </w:rPr>
        <w:t>et derivative gains (losses).</w:t>
      </w:r>
      <w:r>
        <w:rPr>
          <w:rFonts w:eastAsia="Times New Roman"/>
          <w:color w:val="000000"/>
          <w:sz w:val="20"/>
          <w:szCs w:val="20"/>
        </w:rPr>
        <w:t xml:space="preserve"> </w:t>
      </w:r>
    </w:p>
    <w:p w:rsidR="00000000" w:rsidRDefault="00775A8F">
      <w:pPr>
        <w:divId w:val="783353926"/>
        <w:rPr>
          <w:rFonts w:eastAsia="Times New Roman"/>
        </w:rPr>
      </w:pPr>
      <w:r>
        <w:rPr>
          <w:rFonts w:eastAsia="Times New Roman"/>
          <w:color w:val="000000"/>
          <w:sz w:val="20"/>
          <w:szCs w:val="20"/>
        </w:rPr>
        <w:t>The Company manages its credit exposure taking into consideration both cash and derivatives based positions and selects the reference entities in its replicated credit exposures in a manner consistent with its selection of fi</w:t>
      </w:r>
      <w:r>
        <w:rPr>
          <w:rFonts w:eastAsia="Times New Roman"/>
          <w:color w:val="000000"/>
          <w:sz w:val="20"/>
          <w:szCs w:val="20"/>
        </w:rPr>
        <w:t>xed maturities. In addition, the Company generally transacts the sale of CDS in single name reference entities of investment grade credit quality and with counterparties subject to collateral posting requirements. If there is an event of default by the ref</w:t>
      </w:r>
      <w:r>
        <w:rPr>
          <w:rFonts w:eastAsia="Times New Roman"/>
          <w:color w:val="000000"/>
          <w:sz w:val="20"/>
          <w:szCs w:val="20"/>
        </w:rPr>
        <w:t>erence entity or other such credit event as defined under the terms of the swap contract, the Company is obligated to perform under the credit derivative and, at the counterparty’s option, either pay the referenced amount of the contract less an auction-de</w:t>
      </w:r>
      <w:r>
        <w:rPr>
          <w:rFonts w:eastAsia="Times New Roman"/>
          <w:color w:val="000000"/>
          <w:sz w:val="20"/>
          <w:szCs w:val="20"/>
        </w:rPr>
        <w:t>termined recovery amount or pay the referenced amount of the contract and receive in return the defaulted or similar security of the reference entity for recovery by sale at the contract settlement auction. The Company purchased CDS to mitigate its exposur</w:t>
      </w:r>
      <w:r>
        <w:rPr>
          <w:rFonts w:eastAsia="Times New Roman"/>
          <w:color w:val="000000"/>
          <w:sz w:val="20"/>
          <w:szCs w:val="20"/>
        </w:rPr>
        <w:t>e to a reference entity through cash positions. These positions do not replicate credit spreads</w:t>
      </w:r>
      <w:r>
        <w:rPr>
          <w:rFonts w:eastAsia="Times New Roman"/>
          <w:color w:val="000000"/>
          <w:sz w:val="20"/>
          <w:szCs w:val="20"/>
        </w:rPr>
        <w:t>.</w:t>
      </w:r>
    </w:p>
    <w:p w:rsidR="00000000" w:rsidRDefault="00775A8F">
      <w:pPr>
        <w:divId w:val="2025857745"/>
        <w:rPr>
          <w:rFonts w:eastAsia="Times New Roman"/>
        </w:rPr>
      </w:pPr>
      <w:r>
        <w:rPr>
          <w:rFonts w:eastAsia="Times New Roman"/>
          <w:color w:val="000000"/>
          <w:sz w:val="20"/>
          <w:szCs w:val="20"/>
        </w:rPr>
        <w:t xml:space="preserve">To date, there have been no events of default or circumstances indicative of a deterioration in the credit quality of the named referenced entities to require </w:t>
      </w:r>
      <w:r>
        <w:rPr>
          <w:rFonts w:eastAsia="Times New Roman"/>
          <w:color w:val="000000"/>
          <w:sz w:val="20"/>
          <w:szCs w:val="20"/>
        </w:rPr>
        <w:t>or suggest that the Company will have to perform under these CDS. The maximum potential amount of future payments the Company could be required to make under these credit derivatives is limited to the par value of the referenced securities which is the dol</w:t>
      </w:r>
      <w:r>
        <w:rPr>
          <w:rFonts w:eastAsia="Times New Roman"/>
          <w:color w:val="000000"/>
          <w:sz w:val="20"/>
          <w:szCs w:val="20"/>
        </w:rPr>
        <w:t>lar or euro-equivalent of the derivative’s notional amount. The Standard North American CDS Contract (“SNAC”) or Standard European Corporate Contract (“STEC”) under which the Company executes these CDS sales transactions does not contain recourse provision</w:t>
      </w:r>
      <w:r>
        <w:rPr>
          <w:rFonts w:eastAsia="Times New Roman"/>
          <w:color w:val="000000"/>
          <w:sz w:val="20"/>
          <w:szCs w:val="20"/>
        </w:rPr>
        <w:t>s for recovery of amounts paid under the credit derivative.</w:t>
      </w:r>
      <w:r>
        <w:rPr>
          <w:rFonts w:eastAsia="Times New Roman"/>
          <w:color w:val="000000"/>
          <w:sz w:val="20"/>
          <w:szCs w:val="20"/>
        </w:rPr>
        <w:t xml:space="preserve"> </w:t>
      </w:r>
    </w:p>
    <w:p w:rsidR="00000000" w:rsidRDefault="00775A8F">
      <w:pPr>
        <w:divId w:val="928388734"/>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w:t>
      </w:r>
      <w:r>
        <w:rPr>
          <w:rFonts w:eastAsia="Times New Roman"/>
          <w:color w:val="000000"/>
          <w:sz w:val="20"/>
          <w:szCs w:val="20"/>
        </w:rPr>
        <w:t>o result in payment of the given bond’s coupons and principal at maturity in the bond’s specified currency to the swap counterparty in return for fixed dollar amounts. These swaps, when considered in combination with the bonds, together result in a net pos</w:t>
      </w:r>
      <w:r>
        <w:rPr>
          <w:rFonts w:eastAsia="Times New Roman"/>
          <w:color w:val="000000"/>
          <w:sz w:val="20"/>
          <w:szCs w:val="20"/>
        </w:rPr>
        <w:t>ition that is intended to replicate a dollar-denominated fixed-coupon cash bond with a yield higher than a term-equivalent U.S. Treasury bond.</w:t>
      </w:r>
      <w:r>
        <w:rPr>
          <w:rFonts w:eastAsia="Times New Roman"/>
          <w:color w:val="000000"/>
          <w:sz w:val="20"/>
          <w:szCs w:val="20"/>
        </w:rPr>
        <w:t xml:space="preserve"> </w:t>
      </w:r>
    </w:p>
    <w:p w:rsidR="00000000" w:rsidRDefault="00775A8F">
      <w:pPr>
        <w:divId w:val="2018383033"/>
        <w:rPr>
          <w:rFonts w:eastAsia="Times New Roman"/>
        </w:rPr>
      </w:pPr>
      <w:r>
        <w:rPr>
          <w:rFonts w:eastAsia="Times New Roman"/>
          <w:color w:val="000000"/>
          <w:sz w:val="20"/>
          <w:szCs w:val="20"/>
        </w:rPr>
        <w:t>The tables below present quantitative disclosures about the Company’s derivative instruments, including those em</w:t>
      </w:r>
      <w:r>
        <w:rPr>
          <w:rFonts w:eastAsia="Times New Roman"/>
          <w:color w:val="000000"/>
          <w:sz w:val="20"/>
          <w:szCs w:val="20"/>
        </w:rPr>
        <w:t>bedded in other contracts required to be accounted for as derivative instruments</w:t>
      </w:r>
      <w:r>
        <w:rPr>
          <w:rFonts w:eastAsia="Times New Roman"/>
          <w:color w:val="000000"/>
          <w:sz w:val="20"/>
          <w:szCs w:val="20"/>
        </w:rPr>
        <w:t>.</w:t>
      </w:r>
    </w:p>
    <w:p w:rsidR="00000000" w:rsidRDefault="00775A8F">
      <w:pPr>
        <w:jc w:val="center"/>
        <w:divId w:val="510031330"/>
        <w:rPr>
          <w:rFonts w:eastAsia="Times New Roman"/>
        </w:rPr>
      </w:pPr>
      <w:r>
        <w:rPr>
          <w:rFonts w:eastAsia="Times New Roman"/>
          <w:color w:val="000000"/>
          <w:sz w:val="20"/>
          <w:szCs w:val="20"/>
        </w:rPr>
        <w:t>3</w:t>
      </w:r>
      <w:r>
        <w:rPr>
          <w:rFonts w:eastAsia="Times New Roman"/>
          <w:color w:val="000000"/>
          <w:sz w:val="20"/>
          <w:szCs w:val="20"/>
        </w:rPr>
        <w:t>0</w:t>
      </w:r>
    </w:p>
    <w:p w:rsidR="00000000" w:rsidRDefault="00775A8F">
      <w:pPr>
        <w:rPr>
          <w:rFonts w:eastAsia="Times New Roman"/>
        </w:rPr>
      </w:pPr>
      <w:r>
        <w:rPr>
          <w:rFonts w:eastAsia="Times New Roman"/>
        </w:rPr>
        <w:pict>
          <v:rect id="_x0000_i1056" style="width:0;height:1.5pt" o:hralign="center" o:hrstd="t" o:hr="t" fillcolor="#a0a0a0" stroked="f"/>
        </w:pict>
      </w:r>
    </w:p>
    <w:p w:rsidR="00000000" w:rsidRDefault="00775A8F">
      <w:pPr>
        <w:jc w:val="center"/>
        <w:divId w:val="953290267"/>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953290267"/>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jc w:val="center"/>
        <w:rPr>
          <w:rFonts w:eastAsia="Times New Roman"/>
        </w:rPr>
      </w:pPr>
      <w:r>
        <w:rPr>
          <w:rFonts w:eastAsia="Times New Roman"/>
          <w:b/>
          <w:bCs/>
          <w:color w:val="000000"/>
          <w:sz w:val="20"/>
          <w:szCs w:val="20"/>
        </w:rPr>
        <w:t>Derivative Instruments by Categor</w:t>
      </w:r>
      <w:r>
        <w:rPr>
          <w:rFonts w:eastAsia="Times New Roman"/>
          <w:b/>
          <w:bCs/>
          <w:color w:val="000000"/>
          <w:sz w:val="20"/>
          <w:szCs w:val="20"/>
        </w:rPr>
        <w:t>y</w:t>
      </w:r>
    </w:p>
    <w:tbl>
      <w:tblPr>
        <w:tblW w:w="4554" w:type="pct"/>
        <w:tblCellMar>
          <w:top w:w="15" w:type="dxa"/>
          <w:left w:w="15" w:type="dxa"/>
          <w:bottom w:w="15" w:type="dxa"/>
          <w:right w:w="15" w:type="dxa"/>
        </w:tblCellMar>
        <w:tblLook w:val="04A0" w:firstRow="1" w:lastRow="0" w:firstColumn="1" w:lastColumn="0" w:noHBand="0" w:noVBand="1"/>
      </w:tblPr>
      <w:tblGrid>
        <w:gridCol w:w="40"/>
        <w:gridCol w:w="2457"/>
        <w:gridCol w:w="39"/>
        <w:gridCol w:w="135"/>
        <w:gridCol w:w="715"/>
        <w:gridCol w:w="85"/>
        <w:gridCol w:w="36"/>
        <w:gridCol w:w="36"/>
        <w:gridCol w:w="36"/>
        <w:gridCol w:w="136"/>
        <w:gridCol w:w="668"/>
        <w:gridCol w:w="85"/>
        <w:gridCol w:w="36"/>
        <w:gridCol w:w="36"/>
        <w:gridCol w:w="36"/>
        <w:gridCol w:w="135"/>
        <w:gridCol w:w="615"/>
        <w:gridCol w:w="85"/>
        <w:gridCol w:w="36"/>
        <w:gridCol w:w="36"/>
        <w:gridCol w:w="36"/>
        <w:gridCol w:w="136"/>
        <w:gridCol w:w="720"/>
        <w:gridCol w:w="85"/>
        <w:gridCol w:w="36"/>
        <w:gridCol w:w="36"/>
        <w:gridCol w:w="36"/>
        <w:gridCol w:w="36"/>
        <w:gridCol w:w="36"/>
        <w:gridCol w:w="36"/>
        <w:gridCol w:w="36"/>
        <w:gridCol w:w="36"/>
        <w:gridCol w:w="36"/>
        <w:gridCol w:w="189"/>
        <w:gridCol w:w="188"/>
        <w:gridCol w:w="188"/>
        <w:gridCol w:w="36"/>
        <w:gridCol w:w="36"/>
        <w:gridCol w:w="36"/>
        <w:gridCol w:w="36"/>
        <w:gridCol w:w="36"/>
        <w:gridCol w:w="36"/>
      </w:tblGrid>
      <w:tr w:rsidR="00000000">
        <w:trPr>
          <w:gridAfter w:val="18"/>
          <w:divId w:val="1951008663"/>
        </w:trPr>
        <w:tc>
          <w:tcPr>
            <w:tcW w:w="50" w:type="pct"/>
            <w:vAlign w:val="center"/>
            <w:hideMark/>
          </w:tcPr>
          <w:p w:rsidR="00000000" w:rsidRDefault="00775A8F">
            <w:pPr>
              <w:jc w:val="center"/>
              <w:rPr>
                <w:rFonts w:eastAsia="Times New Roman"/>
              </w:rPr>
            </w:pPr>
          </w:p>
        </w:tc>
        <w:tc>
          <w:tcPr>
            <w:tcW w:w="197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7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95100866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At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r>
      <w:tr w:rsidR="00000000">
        <w:trPr>
          <w:gridAfter w:val="6"/>
          <w:divId w:val="1951008663"/>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divId w:val="562059564"/>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Merge/>
            <w:vAlign w:val="center"/>
            <w:hideMark/>
          </w:tcPr>
          <w:p w:rsidR="00000000" w:rsidRDefault="00775A8F">
            <w:pPr>
              <w:rPr>
                <w:rFonts w:eastAsia="Times New Roman"/>
              </w:rPr>
            </w:pPr>
          </w:p>
        </w:tc>
      </w:tr>
      <w:tr w:rsidR="00000000">
        <w:trPr>
          <w:gridAfter w:val="6"/>
          <w:divId w:val="1951008663"/>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Notional Amoun</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Derivative Asset</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Derivative Liabilitie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Derivative Gains (Losses) (2</w:t>
            </w:r>
            <w:r>
              <w:rPr>
                <w:rFonts w:eastAsia="Times New Roman"/>
                <w:b/>
                <w:bCs/>
                <w:color w:val="000000"/>
                <w:sz w:val="16"/>
                <w:szCs w:val="16"/>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951008663"/>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Derivative instruments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Freestanding derivatives (1)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Equity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Future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Swap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17,846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959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36,548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4,346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1,390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Interest rate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Swap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24,850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2,091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Future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23,993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Swaption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Credit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Credit default swap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freestanding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Margi</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Collatera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3,295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Embedded derivatives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GMIB reinsurance contracts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GMxB derivative features liability (4</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12,613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(3,994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FFFFFF"/>
            <w:tcMar>
              <w:top w:w="30" w:type="dxa"/>
              <w:left w:w="225" w:type="dxa"/>
              <w:bottom w:w="30" w:type="dxa"/>
              <w:right w:w="20" w:type="dxa"/>
            </w:tcMar>
            <w:vAlign w:val="center"/>
            <w:hideMark/>
          </w:tcPr>
          <w:p w:rsidR="00000000" w:rsidRDefault="00775A8F">
            <w:pPr>
              <w:rPr>
                <w:rFonts w:eastAsia="Times New Roman"/>
              </w:rPr>
            </w:pPr>
            <w:r>
              <w:rPr>
                <w:rFonts w:eastAsia="Times New Roman"/>
                <w:color w:val="000000"/>
                <w:sz w:val="20"/>
                <w:szCs w:val="20"/>
              </w:rPr>
              <w:t>SCS, SIO, MSO and IUL indexed features (5</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20" w:type="dxa"/>
              <w:bottom w:w="30" w:type="dxa"/>
              <w:right w:w="20" w:type="dxa"/>
            </w:tcMar>
            <w:vAlign w:val="bottom"/>
            <w:hideMark/>
          </w:tcPr>
          <w:p w:rsidR="00000000" w:rsidRDefault="00775A8F">
            <w:pPr>
              <w:divId w:val="309335803"/>
              <w:rPr>
                <w:rFonts w:eastAsia="Times New Roman"/>
              </w:rPr>
            </w:pPr>
            <w:r>
              <w:rPr>
                <w:rFonts w:eastAsia="Times New Roman"/>
                <w:b/>
                <w:bCs/>
                <w:color w:val="000000"/>
                <w:sz w:val="20"/>
                <w:szCs w:val="20"/>
              </w:rPr>
              <w:t>Total derivative instrument</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109,820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9,574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20,746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5100866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Net derivative gains (losses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3,368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720"/>
        <w:divId w:val="807166001"/>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35669146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Reported in Other invested assets in the consolidated balance sheets</w:t>
      </w:r>
      <w:r>
        <w:rPr>
          <w:rFonts w:eastAsia="Times New Roman"/>
          <w:color w:val="000000"/>
          <w:sz w:val="18"/>
          <w:szCs w:val="18"/>
        </w:rPr>
        <w:t>.</w:t>
      </w:r>
    </w:p>
    <w:p w:rsidR="00000000" w:rsidRDefault="00775A8F">
      <w:pPr>
        <w:ind w:hanging="360"/>
        <w:divId w:val="934241187"/>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Reported in Net derivative gains (losses) in the consolidated statements of income (loss)</w:t>
      </w:r>
      <w:r>
        <w:rPr>
          <w:rFonts w:eastAsia="Times New Roman"/>
          <w:color w:val="000000"/>
          <w:sz w:val="18"/>
          <w:szCs w:val="18"/>
        </w:rPr>
        <w:t>.</w:t>
      </w:r>
    </w:p>
    <w:p w:rsidR="00000000" w:rsidRDefault="00775A8F">
      <w:pPr>
        <w:ind w:hanging="360"/>
        <w:divId w:val="215049458"/>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Reported in GMIB reinsurance contract asset in the consolidated balance sheets</w:t>
      </w:r>
      <w:r>
        <w:rPr>
          <w:rFonts w:eastAsia="Times New Roman"/>
          <w:color w:val="000000"/>
          <w:sz w:val="18"/>
          <w:szCs w:val="18"/>
        </w:rPr>
        <w:t>.</w:t>
      </w:r>
    </w:p>
    <w:p w:rsidR="00000000" w:rsidRDefault="00775A8F">
      <w:pPr>
        <w:ind w:hanging="360"/>
        <w:divId w:val="1177890530"/>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Reported in Future policy benefits and other policyholders’ liabilities in the consolidated balance sheets</w:t>
      </w:r>
      <w:r>
        <w:rPr>
          <w:rFonts w:eastAsia="Times New Roman"/>
          <w:color w:val="000000"/>
          <w:sz w:val="18"/>
          <w:szCs w:val="18"/>
        </w:rPr>
        <w:t>.</w:t>
      </w:r>
    </w:p>
    <w:p w:rsidR="00000000" w:rsidRDefault="00775A8F">
      <w:pPr>
        <w:ind w:hanging="360"/>
        <w:divId w:val="385296499"/>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Reported in Policyholders’ account balances in the consolidated balance sheets</w:t>
      </w:r>
      <w:r>
        <w:rPr>
          <w:rFonts w:eastAsia="Times New Roman"/>
          <w:color w:val="000000"/>
          <w:sz w:val="18"/>
          <w:szCs w:val="18"/>
        </w:rPr>
        <w:t>.</w:t>
      </w:r>
    </w:p>
    <w:p w:rsidR="00000000" w:rsidRDefault="00775A8F">
      <w:pPr>
        <w:jc w:val="center"/>
        <w:divId w:val="1317996328"/>
        <w:rPr>
          <w:rFonts w:eastAsia="Times New Roman"/>
        </w:rPr>
      </w:pPr>
      <w:r>
        <w:rPr>
          <w:rFonts w:eastAsia="Times New Roman"/>
          <w:color w:val="000000"/>
          <w:sz w:val="20"/>
          <w:szCs w:val="20"/>
        </w:rPr>
        <w:t>3</w:t>
      </w:r>
      <w:r>
        <w:rPr>
          <w:rFonts w:eastAsia="Times New Roman"/>
          <w:color w:val="000000"/>
          <w:sz w:val="20"/>
          <w:szCs w:val="20"/>
        </w:rPr>
        <w:t>1</w:t>
      </w:r>
    </w:p>
    <w:p w:rsidR="00000000" w:rsidRDefault="00775A8F">
      <w:pPr>
        <w:rPr>
          <w:rFonts w:eastAsia="Times New Roman"/>
        </w:rPr>
      </w:pPr>
      <w:r>
        <w:rPr>
          <w:rFonts w:eastAsia="Times New Roman"/>
        </w:rPr>
        <w:pict>
          <v:rect id="_x0000_i1057" style="width:0;height:1.5pt" o:hralign="center" o:hrstd="t" o:hr="t" fillcolor="#a0a0a0" stroked="f"/>
        </w:pict>
      </w:r>
    </w:p>
    <w:p w:rsidR="00000000" w:rsidRDefault="00775A8F">
      <w:pPr>
        <w:jc w:val="center"/>
        <w:divId w:val="96084307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960843076"/>
        <w:rPr>
          <w:rFonts w:eastAsia="Times New Roman"/>
        </w:rPr>
      </w:pPr>
      <w:r>
        <w:rPr>
          <w:rFonts w:eastAsia="Times New Roman"/>
          <w:b/>
          <w:bCs/>
          <w:color w:val="000000"/>
          <w:sz w:val="20"/>
          <w:szCs w:val="20"/>
        </w:rPr>
        <w:t>N</w:t>
      </w:r>
      <w:r>
        <w:rPr>
          <w:rFonts w:eastAsia="Times New Roman"/>
          <w:b/>
          <w:bCs/>
          <w:color w:val="000000"/>
          <w:sz w:val="20"/>
          <w:szCs w:val="20"/>
        </w:rPr>
        <w:t>otes to Consolidated Financial Statements (Unaudited), Continue</w:t>
      </w:r>
      <w:r>
        <w:rPr>
          <w:rFonts w:eastAsia="Times New Roman"/>
          <w:b/>
          <w:bCs/>
          <w:color w:val="000000"/>
          <w:sz w:val="20"/>
          <w:szCs w:val="20"/>
        </w:rPr>
        <w:t>d</w:t>
      </w:r>
    </w:p>
    <w:p w:rsidR="00000000" w:rsidRDefault="00775A8F">
      <w:pPr>
        <w:jc w:val="center"/>
        <w:rPr>
          <w:rFonts w:eastAsia="Times New Roman"/>
        </w:rPr>
      </w:pPr>
      <w:r>
        <w:rPr>
          <w:rFonts w:eastAsia="Times New Roman"/>
          <w:b/>
          <w:bCs/>
          <w:color w:val="000000"/>
          <w:sz w:val="20"/>
          <w:szCs w:val="20"/>
        </w:rPr>
        <w:t>Derivative Instruments by Categor</w:t>
      </w:r>
      <w:r>
        <w:rPr>
          <w:rFonts w:eastAsia="Times New Roman"/>
          <w:b/>
          <w:bCs/>
          <w:color w:val="000000"/>
          <w:sz w:val="20"/>
          <w:szCs w:val="20"/>
        </w:rPr>
        <w:t>y</w:t>
      </w:r>
    </w:p>
    <w:tbl>
      <w:tblPr>
        <w:tblW w:w="4554" w:type="pct"/>
        <w:tblCellMar>
          <w:top w:w="15" w:type="dxa"/>
          <w:left w:w="15" w:type="dxa"/>
          <w:bottom w:w="15" w:type="dxa"/>
          <w:right w:w="15" w:type="dxa"/>
        </w:tblCellMar>
        <w:tblLook w:val="04A0" w:firstRow="1" w:lastRow="0" w:firstColumn="1" w:lastColumn="0" w:noHBand="0" w:noVBand="1"/>
      </w:tblPr>
      <w:tblGrid>
        <w:gridCol w:w="41"/>
        <w:gridCol w:w="2473"/>
        <w:gridCol w:w="40"/>
        <w:gridCol w:w="135"/>
        <w:gridCol w:w="715"/>
        <w:gridCol w:w="85"/>
        <w:gridCol w:w="36"/>
        <w:gridCol w:w="36"/>
        <w:gridCol w:w="36"/>
        <w:gridCol w:w="135"/>
        <w:gridCol w:w="550"/>
        <w:gridCol w:w="85"/>
        <w:gridCol w:w="36"/>
        <w:gridCol w:w="36"/>
        <w:gridCol w:w="36"/>
        <w:gridCol w:w="135"/>
        <w:gridCol w:w="615"/>
        <w:gridCol w:w="85"/>
        <w:gridCol w:w="36"/>
        <w:gridCol w:w="36"/>
        <w:gridCol w:w="36"/>
        <w:gridCol w:w="135"/>
        <w:gridCol w:w="858"/>
        <w:gridCol w:w="85"/>
        <w:gridCol w:w="36"/>
        <w:gridCol w:w="36"/>
        <w:gridCol w:w="36"/>
        <w:gridCol w:w="36"/>
        <w:gridCol w:w="36"/>
        <w:gridCol w:w="36"/>
        <w:gridCol w:w="36"/>
        <w:gridCol w:w="36"/>
        <w:gridCol w:w="36"/>
        <w:gridCol w:w="177"/>
        <w:gridCol w:w="176"/>
        <w:gridCol w:w="176"/>
        <w:gridCol w:w="36"/>
        <w:gridCol w:w="36"/>
        <w:gridCol w:w="36"/>
        <w:gridCol w:w="36"/>
        <w:gridCol w:w="36"/>
        <w:gridCol w:w="36"/>
      </w:tblGrid>
      <w:tr w:rsidR="00000000">
        <w:trPr>
          <w:gridAfter w:val="18"/>
          <w:divId w:val="333723437"/>
        </w:trPr>
        <w:tc>
          <w:tcPr>
            <w:tcW w:w="50" w:type="pct"/>
            <w:vAlign w:val="center"/>
            <w:hideMark/>
          </w:tcPr>
          <w:p w:rsidR="00000000" w:rsidRDefault="00775A8F">
            <w:pPr>
              <w:jc w:val="center"/>
              <w:rPr>
                <w:rFonts w:eastAsia="Times New Roman"/>
              </w:rPr>
            </w:pPr>
          </w:p>
        </w:tc>
        <w:tc>
          <w:tcPr>
            <w:tcW w:w="197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7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33372343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At December 31, 201</w:t>
            </w:r>
            <w:r>
              <w:rPr>
                <w:rFonts w:eastAsia="Times New Roman"/>
                <w:color w:val="000000"/>
                <w:sz w:val="16"/>
                <w:szCs w:val="16"/>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Six Months Ended June 30, 201</w:t>
            </w:r>
            <w:r>
              <w:rPr>
                <w:rFonts w:eastAsia="Times New Roman"/>
                <w:color w:val="000000"/>
                <w:sz w:val="16"/>
                <w:szCs w:val="16"/>
              </w:rPr>
              <w:t>9</w:t>
            </w:r>
          </w:p>
        </w:tc>
      </w:tr>
      <w:tr w:rsidR="00000000">
        <w:trPr>
          <w:gridAfter w:val="6"/>
          <w:divId w:val="333723437"/>
        </w:trPr>
        <w:tc>
          <w:tcPr>
            <w:tcW w:w="0" w:type="auto"/>
            <w:gridSpan w:val="3"/>
            <w:tcMar>
              <w:top w:w="30" w:type="dxa"/>
              <w:left w:w="20" w:type="dxa"/>
              <w:bottom w:w="30" w:type="dxa"/>
              <w:right w:w="20" w:type="dxa"/>
            </w:tcMar>
            <w:vAlign w:val="bottom"/>
            <w:hideMark/>
          </w:tcPr>
          <w:p w:rsidR="00000000" w:rsidRDefault="00775A8F">
            <w:pPr>
              <w:divId w:val="1362827342"/>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Fair Valu</w:t>
            </w:r>
            <w:r>
              <w:rPr>
                <w:rFonts w:eastAsia="Times New Roman"/>
                <w:color w:val="000000"/>
                <w:sz w:val="16"/>
                <w:szCs w:val="16"/>
              </w:rPr>
              <w:t>e</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Merge/>
            <w:vAlign w:val="center"/>
            <w:hideMark/>
          </w:tcPr>
          <w:p w:rsidR="00000000" w:rsidRDefault="00775A8F">
            <w:pPr>
              <w:rPr>
                <w:rFonts w:eastAsia="Times New Roman"/>
              </w:rPr>
            </w:pPr>
          </w:p>
        </w:tc>
      </w:tr>
      <w:tr w:rsidR="00000000">
        <w:trPr>
          <w:gridAfter w:val="6"/>
          <w:divId w:val="333723437"/>
        </w:trPr>
        <w:tc>
          <w:tcPr>
            <w:tcW w:w="0" w:type="auto"/>
            <w:gridSpan w:val="3"/>
            <w:tcMar>
              <w:top w:w="30" w:type="dxa"/>
              <w:left w:w="20" w:type="dxa"/>
              <w:bottom w:w="30" w:type="dxa"/>
              <w:right w:w="20" w:type="dxa"/>
            </w:tcMar>
            <w:vAlign w:val="bottom"/>
            <w:hideMark/>
          </w:tcPr>
          <w:p w:rsidR="00000000" w:rsidRDefault="00775A8F">
            <w:pPr>
              <w:divId w:val="1787506929"/>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 Notional Amoun</w:t>
            </w:r>
            <w:r>
              <w:rPr>
                <w:rFonts w:eastAsia="Times New Roman"/>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Derivative Asset</w:t>
            </w:r>
            <w:r>
              <w:rPr>
                <w:rFonts w:eastAsia="Times New Roman"/>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Derivative</w:t>
            </w:r>
            <w:r>
              <w:rPr>
                <w:rFonts w:eastAsia="Times New Roman"/>
                <w:color w:val="000000"/>
                <w:sz w:val="16"/>
                <w:szCs w:val="16"/>
              </w:rPr>
              <w:br/>
              <w:t>Liabilitie</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Net Derivative</w:t>
            </w:r>
            <w:r>
              <w:rPr>
                <w:rFonts w:eastAsia="Times New Roman"/>
                <w:color w:val="000000"/>
                <w:sz w:val="16"/>
                <w:szCs w:val="16"/>
              </w:rPr>
              <w:br/>
              <w:t>Gains (Losses) (2</w:t>
            </w:r>
            <w:r>
              <w:rPr>
                <w:rFonts w:eastAsia="Times New Roman"/>
                <w:color w:val="000000"/>
                <w:sz w:val="16"/>
                <w:szCs w:val="16"/>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333723437"/>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Derivative instruments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Freestanding derivatives (1)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Equity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Future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(954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Swap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17,156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1,276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47,861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Interest rate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Swap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23,793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Future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20,901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Swaption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Credit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Credit default swap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freestanding contracts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Foreign currency contract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Margi</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Collatera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Embedded derivatives:</w:t>
            </w:r>
            <w:r>
              <w:rPr>
                <w:rFonts w:eastAsia="Times New Roman"/>
                <w:color w:val="000000"/>
                <w:sz w:val="20"/>
                <w:szCs w:val="20"/>
              </w:rPr>
              <w:br/>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GMIB reinsurance contracts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GMxB derivative features liability (4</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FFFFFF"/>
            <w:tcMar>
              <w:top w:w="30" w:type="dxa"/>
              <w:left w:w="225" w:type="dxa"/>
              <w:bottom w:w="30" w:type="dxa"/>
              <w:right w:w="20" w:type="dxa"/>
            </w:tcMar>
            <w:vAlign w:val="center"/>
            <w:hideMark/>
          </w:tcPr>
          <w:p w:rsidR="00000000" w:rsidRDefault="00775A8F">
            <w:pPr>
              <w:rPr>
                <w:rFonts w:eastAsia="Times New Roman"/>
              </w:rPr>
            </w:pPr>
            <w:r>
              <w:rPr>
                <w:rFonts w:eastAsia="Times New Roman"/>
                <w:color w:val="000000"/>
                <w:sz w:val="20"/>
                <w:szCs w:val="20"/>
              </w:rPr>
              <w:t>SCS, SIO, MSO and IUL indexed features (5</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(1,588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derivative instrument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119,128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7,993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17,291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33723437"/>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Net derivative gains (losses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(1,866</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557203284"/>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53395481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Reported in Other invested assets in the consolidated balance sheets</w:t>
      </w:r>
      <w:r>
        <w:rPr>
          <w:rFonts w:eastAsia="Times New Roman"/>
          <w:color w:val="000000"/>
          <w:sz w:val="18"/>
          <w:szCs w:val="18"/>
        </w:rPr>
        <w:t>.</w:t>
      </w:r>
    </w:p>
    <w:p w:rsidR="00000000" w:rsidRDefault="00775A8F">
      <w:pPr>
        <w:ind w:hanging="360"/>
        <w:divId w:val="159588392"/>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Reported in Net derivative gains (losses) in the consolidated statements of income (loss)</w:t>
      </w:r>
      <w:r>
        <w:rPr>
          <w:rFonts w:eastAsia="Times New Roman"/>
          <w:color w:val="000000"/>
          <w:sz w:val="18"/>
          <w:szCs w:val="18"/>
        </w:rPr>
        <w:t>.</w:t>
      </w:r>
    </w:p>
    <w:p w:rsidR="00000000" w:rsidRDefault="00775A8F">
      <w:pPr>
        <w:ind w:hanging="360"/>
        <w:divId w:val="1030956233"/>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Reported in GMIB reinsurance contract asset in the consolidated balance sheets</w:t>
      </w:r>
      <w:r>
        <w:rPr>
          <w:rFonts w:eastAsia="Times New Roman"/>
          <w:color w:val="000000"/>
          <w:sz w:val="18"/>
          <w:szCs w:val="18"/>
        </w:rPr>
        <w:t>.</w:t>
      </w:r>
    </w:p>
    <w:p w:rsidR="00000000" w:rsidRDefault="00775A8F">
      <w:pPr>
        <w:ind w:hanging="360"/>
        <w:divId w:val="1206675983"/>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Reported in Future policy benefits and other policyholders’ liabilities in the consolidated balance sheets.</w:t>
      </w:r>
      <w:r>
        <w:rPr>
          <w:rFonts w:eastAsia="Times New Roman"/>
          <w:color w:val="000000"/>
          <w:sz w:val="18"/>
          <w:szCs w:val="18"/>
        </w:rPr>
        <w:t xml:space="preserve"> </w:t>
      </w:r>
    </w:p>
    <w:p w:rsidR="00000000" w:rsidRDefault="00775A8F">
      <w:pPr>
        <w:ind w:hanging="360"/>
        <w:divId w:val="1540624212"/>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Reported in Policyholders’ account balances in the consolidated balance sheets</w:t>
      </w:r>
      <w:r>
        <w:rPr>
          <w:rFonts w:eastAsia="Times New Roman"/>
          <w:color w:val="000000"/>
          <w:sz w:val="18"/>
          <w:szCs w:val="18"/>
        </w:rPr>
        <w:t>.</w:t>
      </w:r>
    </w:p>
    <w:p w:rsidR="00000000" w:rsidRDefault="00775A8F">
      <w:pPr>
        <w:divId w:val="71391485"/>
        <w:rPr>
          <w:rFonts w:eastAsia="Times New Roman"/>
        </w:rPr>
      </w:pPr>
      <w:r>
        <w:rPr>
          <w:rFonts w:eastAsia="Times New Roman"/>
          <w:color w:val="000000"/>
          <w:sz w:val="20"/>
          <w:szCs w:val="20"/>
          <w:u w:val="single"/>
        </w:rPr>
        <w:t>Equity-Based and Treasury Futures Contracts Margi</w:t>
      </w:r>
      <w:r>
        <w:rPr>
          <w:rFonts w:eastAsia="Times New Roman"/>
          <w:color w:val="000000"/>
          <w:sz w:val="20"/>
          <w:szCs w:val="20"/>
          <w:u w:val="single"/>
        </w:rPr>
        <w:t>n</w:t>
      </w:r>
    </w:p>
    <w:p w:rsidR="00000000" w:rsidRDefault="00775A8F">
      <w:pPr>
        <w:divId w:val="184947217"/>
        <w:rPr>
          <w:rFonts w:eastAsia="Times New Roman"/>
        </w:rPr>
      </w:pPr>
      <w:r>
        <w:rPr>
          <w:rFonts w:eastAsia="Times New Roman"/>
          <w:color w:val="000000"/>
          <w:sz w:val="20"/>
          <w:szCs w:val="20"/>
        </w:rPr>
        <w:t>All outstanding equity-based and treasury futures contracts at June 30, 2020 and December 31, 2019 are exchange-traded and net settled daily in cash. At June 30, 2020 and December 31, 2019, respectively, the Company had open exchange-traded futures positio</w:t>
      </w:r>
      <w:r>
        <w:rPr>
          <w:rFonts w:eastAsia="Times New Roman"/>
          <w:color w:val="000000"/>
          <w:sz w:val="20"/>
          <w:szCs w:val="20"/>
        </w:rPr>
        <w:t>ns on: (i) the S&amp;P 500, Russell 2000 and Emerging Market indices, having initial margin requirements of $490 million and $252 million, (ii) the 2-year, 5-year and 10-year U.S. Treasury Notes on U.S. Treasury bonds and ultra-long bonds, having initial margi</w:t>
      </w:r>
      <w:r>
        <w:rPr>
          <w:rFonts w:eastAsia="Times New Roman"/>
          <w:color w:val="000000"/>
          <w:sz w:val="20"/>
          <w:szCs w:val="20"/>
        </w:rPr>
        <w:t>n requirements of $405 million and $166 million, and (iii) the Euro Stoxx, FTSE 100, Topix, ASX 200 and European, Australasia, and Far East (“EAFE”) indices as well as corresponding currency futures on the Euro/U.S. dollar, Pound/U.S. dollar, Australian do</w:t>
      </w:r>
      <w:r>
        <w:rPr>
          <w:rFonts w:eastAsia="Times New Roman"/>
          <w:color w:val="000000"/>
          <w:sz w:val="20"/>
          <w:szCs w:val="20"/>
        </w:rPr>
        <w:t>llar/U.S. dollar, and Yen/U.S. dollar, having initial margin requirements of $43 million and $60 million</w:t>
      </w:r>
      <w:r>
        <w:rPr>
          <w:rFonts w:eastAsia="Times New Roman"/>
          <w:color w:val="000000"/>
          <w:sz w:val="20"/>
          <w:szCs w:val="20"/>
        </w:rPr>
        <w:t>.</w:t>
      </w:r>
    </w:p>
    <w:p w:rsidR="00000000" w:rsidRDefault="00775A8F">
      <w:pPr>
        <w:divId w:val="730809278"/>
        <w:rPr>
          <w:rFonts w:eastAsia="Times New Roman"/>
        </w:rPr>
      </w:pPr>
      <w:r>
        <w:rPr>
          <w:rFonts w:eastAsia="Times New Roman"/>
          <w:color w:val="000000"/>
          <w:sz w:val="20"/>
          <w:szCs w:val="20"/>
          <w:u w:val="single"/>
        </w:rPr>
        <w:t>Collateral Arrangement</w:t>
      </w:r>
      <w:r>
        <w:rPr>
          <w:rFonts w:eastAsia="Times New Roman"/>
          <w:color w:val="000000"/>
          <w:sz w:val="20"/>
          <w:szCs w:val="20"/>
          <w:u w:val="single"/>
        </w:rPr>
        <w:t>s</w:t>
      </w:r>
    </w:p>
    <w:p w:rsidR="00000000" w:rsidRDefault="00775A8F">
      <w:pPr>
        <w:divId w:val="1898592544"/>
        <w:rPr>
          <w:rFonts w:eastAsia="Times New Roman"/>
        </w:rPr>
      </w:pPr>
      <w:r>
        <w:rPr>
          <w:rFonts w:eastAsia="Times New Roman"/>
          <w:color w:val="000000"/>
          <w:sz w:val="20"/>
          <w:szCs w:val="20"/>
        </w:rPr>
        <w:t>The Company generally has executed a Credit Support Annex (“CSA”) under the International Swaps and Derivatives Association Ma</w:t>
      </w:r>
      <w:r>
        <w:rPr>
          <w:rFonts w:eastAsia="Times New Roman"/>
          <w:color w:val="000000"/>
          <w:sz w:val="20"/>
          <w:szCs w:val="20"/>
        </w:rPr>
        <w:t>ster Agreement (“ISDA Master Agreement”) it maintains with each of its over-the-counter (“OTC”) derivative counterparties that requires both posting and accepting collateral either in the form of cash or high-quality securities, such as U.S. Treasury secur</w:t>
      </w:r>
      <w:r>
        <w:rPr>
          <w:rFonts w:eastAsia="Times New Roman"/>
          <w:color w:val="000000"/>
          <w:sz w:val="20"/>
          <w:szCs w:val="20"/>
        </w:rPr>
        <w:t>ities, U.S. government and government agency securities and investment grade corporate bonds. The Company nets the fair value of all derivative financial instruments with counterparties for which</w:t>
      </w:r>
      <w:r>
        <w:rPr>
          <w:rFonts w:eastAsia="Times New Roman"/>
          <w:color w:val="000000"/>
          <w:sz w:val="20"/>
          <w:szCs w:val="20"/>
        </w:rPr>
        <w:t xml:space="preserve"> </w:t>
      </w:r>
    </w:p>
    <w:p w:rsidR="00000000" w:rsidRDefault="00775A8F">
      <w:pPr>
        <w:jc w:val="center"/>
        <w:divId w:val="316345227"/>
        <w:rPr>
          <w:rFonts w:eastAsia="Times New Roman"/>
        </w:rPr>
      </w:pPr>
      <w:r>
        <w:rPr>
          <w:rFonts w:eastAsia="Times New Roman"/>
          <w:color w:val="000000"/>
          <w:sz w:val="20"/>
          <w:szCs w:val="20"/>
        </w:rPr>
        <w:t>3</w:t>
      </w:r>
      <w:r>
        <w:rPr>
          <w:rFonts w:eastAsia="Times New Roman"/>
          <w:color w:val="000000"/>
          <w:sz w:val="20"/>
          <w:szCs w:val="20"/>
        </w:rPr>
        <w:t>2</w:t>
      </w:r>
    </w:p>
    <w:p w:rsidR="00000000" w:rsidRDefault="00775A8F">
      <w:pPr>
        <w:rPr>
          <w:rFonts w:eastAsia="Times New Roman"/>
        </w:rPr>
      </w:pPr>
      <w:r>
        <w:rPr>
          <w:rFonts w:eastAsia="Times New Roman"/>
        </w:rPr>
        <w:pict>
          <v:rect id="_x0000_i1058" style="width:0;height:1.5pt" o:hralign="center" o:hrstd="t" o:hr="t" fillcolor="#a0a0a0" stroked="f"/>
        </w:pict>
      </w:r>
    </w:p>
    <w:p w:rsidR="00000000" w:rsidRDefault="00775A8F">
      <w:pPr>
        <w:jc w:val="center"/>
        <w:divId w:val="1811626084"/>
        <w:rPr>
          <w:rFonts w:eastAsia="Times New Roman"/>
        </w:rPr>
      </w:pPr>
      <w:r>
        <w:rPr>
          <w:rFonts w:eastAsia="Times New Roman"/>
          <w:b/>
          <w:bCs/>
          <w:color w:val="000000"/>
          <w:sz w:val="20"/>
          <w:szCs w:val="20"/>
        </w:rPr>
        <w:t xml:space="preserve">EQUITABLE HOLDINGS, </w:t>
      </w:r>
      <w:r>
        <w:rPr>
          <w:rFonts w:eastAsia="Times New Roman"/>
          <w:b/>
          <w:bCs/>
          <w:color w:val="000000"/>
          <w:sz w:val="20"/>
          <w:szCs w:val="20"/>
        </w:rPr>
        <w:t>INC</w:t>
      </w:r>
      <w:r>
        <w:rPr>
          <w:rFonts w:eastAsia="Times New Roman"/>
          <w:b/>
          <w:bCs/>
          <w:color w:val="000000"/>
          <w:sz w:val="20"/>
          <w:szCs w:val="20"/>
        </w:rPr>
        <w:t>.</w:t>
      </w:r>
    </w:p>
    <w:p w:rsidR="00000000" w:rsidRDefault="00775A8F">
      <w:pPr>
        <w:jc w:val="center"/>
        <w:divId w:val="1811626084"/>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851214847"/>
        <w:rPr>
          <w:rFonts w:eastAsia="Times New Roman"/>
        </w:rPr>
      </w:pPr>
      <w:r>
        <w:rPr>
          <w:rFonts w:eastAsia="Times New Roman"/>
          <w:color w:val="000000"/>
          <w:sz w:val="20"/>
          <w:szCs w:val="20"/>
        </w:rPr>
        <w:t xml:space="preserve">an ISDA Master Agreement and related CSA have been executed. At June 30, 2020 and December 31, 2019, respectively, the Company held $3.3 billion and $3.0 billion in cash and securities </w:t>
      </w:r>
      <w:r>
        <w:rPr>
          <w:rFonts w:eastAsia="Times New Roman"/>
          <w:color w:val="000000"/>
          <w:sz w:val="20"/>
          <w:szCs w:val="20"/>
        </w:rPr>
        <w:t xml:space="preserve">collateral delivered by trade counterparties, representing the fair value of the related derivative agreements. The unrestricted cash collateral is reported in Other invested assets. The Company posted collateral of $14 million and $74 million at June 30, </w:t>
      </w:r>
      <w:r>
        <w:rPr>
          <w:rFonts w:eastAsia="Times New Roman"/>
          <w:color w:val="000000"/>
          <w:sz w:val="20"/>
          <w:szCs w:val="20"/>
        </w:rPr>
        <w:t>2020 and December 31, 2019, respectively, in the normal operation of its collateral arrangements.</w:t>
      </w:r>
      <w:r>
        <w:rPr>
          <w:rFonts w:eastAsia="Times New Roman"/>
          <w:color w:val="000000"/>
          <w:sz w:val="20"/>
          <w:szCs w:val="20"/>
        </w:rPr>
        <w:t xml:space="preserve"> </w:t>
      </w:r>
    </w:p>
    <w:p w:rsidR="00000000" w:rsidRDefault="00775A8F">
      <w:pPr>
        <w:divId w:val="606733928"/>
        <w:rPr>
          <w:rFonts w:eastAsia="Times New Roman"/>
        </w:rPr>
      </w:pPr>
      <w:r>
        <w:rPr>
          <w:rFonts w:eastAsia="Times New Roman"/>
          <w:color w:val="000000"/>
          <w:sz w:val="20"/>
          <w:szCs w:val="20"/>
        </w:rPr>
        <w:t>The following table presents information about the Company’s offsetting of financial assets and liabilities and derivative instruments at June 30, 2020</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Offs</w:t>
      </w:r>
      <w:r>
        <w:rPr>
          <w:rFonts w:eastAsia="Times New Roman"/>
          <w:b/>
          <w:bCs/>
          <w:color w:val="000000"/>
          <w:sz w:val="20"/>
          <w:szCs w:val="20"/>
        </w:rPr>
        <w:t>etting of Financial Assets and Liabilities and Derivative Instrument</w:t>
      </w:r>
      <w:r>
        <w:rPr>
          <w:rFonts w:eastAsia="Times New Roman"/>
          <w:b/>
          <w:bCs/>
          <w:color w:val="000000"/>
          <w:sz w:val="20"/>
          <w:szCs w:val="20"/>
        </w:rPr>
        <w:t>s</w:t>
      </w:r>
    </w:p>
    <w:p w:rsidR="00000000" w:rsidRDefault="00775A8F">
      <w:pPr>
        <w:jc w:val="center"/>
        <w:rPr>
          <w:rFonts w:eastAsia="Times New Roman"/>
        </w:rPr>
      </w:pPr>
      <w:r>
        <w:rPr>
          <w:rFonts w:eastAsia="Times New Roman"/>
          <w:b/>
          <w:bCs/>
          <w:color w:val="000000"/>
          <w:sz w:val="20"/>
          <w:szCs w:val="20"/>
        </w:rPr>
        <w:t>At June 30, 2020</w:t>
      </w:r>
      <w:r>
        <w:rPr>
          <w:rFonts w:eastAsia="Times New Roman"/>
          <w:b/>
          <w:bCs/>
          <w:color w:val="000000"/>
          <w:sz w:val="20"/>
          <w:szCs w:val="20"/>
        </w:rPr>
        <w:t xml:space="preserve"> </w:t>
      </w:r>
    </w:p>
    <w:tbl>
      <w:tblPr>
        <w:tblW w:w="4583" w:type="pct"/>
        <w:tblCellMar>
          <w:top w:w="15" w:type="dxa"/>
          <w:left w:w="15" w:type="dxa"/>
          <w:bottom w:w="15" w:type="dxa"/>
          <w:right w:w="15" w:type="dxa"/>
        </w:tblCellMar>
        <w:tblLook w:val="04A0" w:firstRow="1" w:lastRow="0" w:firstColumn="1" w:lastColumn="0" w:noHBand="0" w:noVBand="1"/>
      </w:tblPr>
      <w:tblGrid>
        <w:gridCol w:w="42"/>
        <w:gridCol w:w="1597"/>
        <w:gridCol w:w="40"/>
        <w:gridCol w:w="136"/>
        <w:gridCol w:w="700"/>
        <w:gridCol w:w="85"/>
        <w:gridCol w:w="36"/>
        <w:gridCol w:w="36"/>
        <w:gridCol w:w="36"/>
        <w:gridCol w:w="136"/>
        <w:gridCol w:w="899"/>
        <w:gridCol w:w="85"/>
        <w:gridCol w:w="36"/>
        <w:gridCol w:w="36"/>
        <w:gridCol w:w="36"/>
        <w:gridCol w:w="136"/>
        <w:gridCol w:w="972"/>
        <w:gridCol w:w="85"/>
        <w:gridCol w:w="36"/>
        <w:gridCol w:w="36"/>
        <w:gridCol w:w="36"/>
        <w:gridCol w:w="135"/>
        <w:gridCol w:w="449"/>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444764673"/>
        </w:trPr>
        <w:tc>
          <w:tcPr>
            <w:tcW w:w="50" w:type="pct"/>
            <w:vAlign w:val="center"/>
            <w:hideMark/>
          </w:tcPr>
          <w:p w:rsidR="00000000" w:rsidRDefault="00775A8F">
            <w:pPr>
              <w:jc w:val="center"/>
              <w:rPr>
                <w:rFonts w:eastAsia="Times New Roman"/>
              </w:rPr>
            </w:pPr>
          </w:p>
        </w:tc>
        <w:tc>
          <w:tcPr>
            <w:tcW w:w="13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144476467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Amount Recognize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Amount Offset in the Balance Sheet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Amount not Offset in the Balance Sheets (3</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Amoun</w:t>
            </w:r>
            <w:r>
              <w:rPr>
                <w:rFonts w:eastAsia="Times New Roman"/>
                <w:b/>
                <w:bCs/>
                <w:color w:val="000000"/>
                <w:sz w:val="16"/>
                <w:szCs w:val="16"/>
              </w:rPr>
              <w:t>t</w:t>
            </w:r>
          </w:p>
        </w:tc>
      </w:tr>
      <w:tr w:rsidR="00000000">
        <w:trPr>
          <w:divId w:val="1444764673"/>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444764673"/>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Assets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Derivative assets (1</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FFFFFF"/>
            <w:tcMar>
              <w:top w:w="30" w:type="dxa"/>
              <w:left w:w="15" w:type="dxa"/>
              <w:bottom w:w="30" w:type="dxa"/>
              <w:right w:w="20" w:type="dxa"/>
            </w:tcMar>
            <w:hideMark/>
          </w:tcPr>
          <w:p w:rsidR="00000000" w:rsidRDefault="00775A8F">
            <w:pPr>
              <w:rPr>
                <w:rFonts w:eastAsia="Times New Roman"/>
              </w:rPr>
            </w:pPr>
            <w:r>
              <w:rPr>
                <w:rFonts w:eastAsia="Times New Roman"/>
                <w:color w:val="000000"/>
                <w:sz w:val="20"/>
                <w:szCs w:val="20"/>
              </w:rPr>
              <w:t>Other financial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CCEEFF"/>
            <w:tcMar>
              <w:top w:w="30" w:type="dxa"/>
              <w:left w:w="240" w:type="dxa"/>
              <w:bottom w:w="30" w:type="dxa"/>
              <w:right w:w="20" w:type="dxa"/>
            </w:tcMar>
            <w:hideMark/>
          </w:tcPr>
          <w:p w:rsidR="00000000" w:rsidRDefault="00775A8F">
            <w:pPr>
              <w:rPr>
                <w:rFonts w:eastAsia="Times New Roman"/>
              </w:rPr>
            </w:pPr>
            <w:r>
              <w:rPr>
                <w:rFonts w:eastAsia="Times New Roman"/>
                <w:color w:val="000000"/>
                <w:sz w:val="20"/>
                <w:szCs w:val="20"/>
              </w:rPr>
              <w:t>Other invested asset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8,453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6,173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2,280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2,162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Liabilities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Derivative liabilities (2</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financial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3,597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3,597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3,597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44764673"/>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9,839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6,173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3,666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3,666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703403238"/>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48389082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Excludes Investment Management and Research segment’s derivative assets of consolidated VIEs/VOEs</w:t>
      </w:r>
      <w:r>
        <w:rPr>
          <w:rFonts w:eastAsia="Times New Roman"/>
          <w:color w:val="000000"/>
          <w:sz w:val="18"/>
          <w:szCs w:val="18"/>
        </w:rPr>
        <w:t>.</w:t>
      </w:r>
    </w:p>
    <w:p w:rsidR="00000000" w:rsidRDefault="00775A8F">
      <w:pPr>
        <w:ind w:hanging="360"/>
        <w:divId w:val="326790548"/>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Excludes Investment Management and Research segment’s derivative liabili</w:t>
      </w:r>
      <w:r>
        <w:rPr>
          <w:rFonts w:eastAsia="Times New Roman"/>
          <w:color w:val="000000"/>
          <w:sz w:val="18"/>
          <w:szCs w:val="18"/>
        </w:rPr>
        <w:t>ties of consolidated VIEs/VOEs</w:t>
      </w:r>
      <w:r>
        <w:rPr>
          <w:rFonts w:eastAsia="Times New Roman"/>
          <w:color w:val="000000"/>
          <w:sz w:val="18"/>
          <w:szCs w:val="18"/>
        </w:rPr>
        <w:t>.</w:t>
      </w:r>
    </w:p>
    <w:p w:rsidR="00000000" w:rsidRDefault="00775A8F">
      <w:pPr>
        <w:ind w:hanging="360"/>
        <w:divId w:val="1863276674"/>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Financial instruments sent (held).</w:t>
      </w:r>
      <w:r>
        <w:rPr>
          <w:rFonts w:eastAsia="Times New Roman"/>
          <w:color w:val="000000"/>
          <w:sz w:val="18"/>
          <w:szCs w:val="18"/>
        </w:rPr>
        <w:t xml:space="preserve"> </w:t>
      </w:r>
    </w:p>
    <w:p w:rsidR="00000000" w:rsidRDefault="00775A8F">
      <w:pPr>
        <w:divId w:val="676663093"/>
        <w:rPr>
          <w:rFonts w:eastAsia="Times New Roman"/>
        </w:rPr>
      </w:pPr>
      <w:r>
        <w:rPr>
          <w:rFonts w:eastAsia="Times New Roman"/>
          <w:color w:val="000000"/>
          <w:sz w:val="20"/>
          <w:szCs w:val="20"/>
        </w:rPr>
        <w:t>The following table presents information about the Company’s offsetting of financial assets and liabilities and derivative instruments at December 31, 2019</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Offsetting of Financial Asse</w:t>
      </w:r>
      <w:r>
        <w:rPr>
          <w:rFonts w:eastAsia="Times New Roman"/>
          <w:b/>
          <w:bCs/>
          <w:color w:val="000000"/>
          <w:sz w:val="20"/>
          <w:szCs w:val="20"/>
        </w:rPr>
        <w:t>ts and Liabilities and Derivative Instrument</w:t>
      </w:r>
      <w:r>
        <w:rPr>
          <w:rFonts w:eastAsia="Times New Roman"/>
          <w:b/>
          <w:bCs/>
          <w:color w:val="000000"/>
          <w:sz w:val="20"/>
          <w:szCs w:val="20"/>
        </w:rPr>
        <w:t>s</w:t>
      </w:r>
    </w:p>
    <w:p w:rsidR="00000000" w:rsidRDefault="00775A8F">
      <w:pPr>
        <w:jc w:val="center"/>
        <w:rPr>
          <w:rFonts w:eastAsia="Times New Roman"/>
        </w:rPr>
      </w:pPr>
      <w:r>
        <w:rPr>
          <w:rFonts w:eastAsia="Times New Roman"/>
          <w:b/>
          <w:bCs/>
          <w:color w:val="000000"/>
          <w:sz w:val="20"/>
          <w:szCs w:val="20"/>
        </w:rPr>
        <w:t>At December 31, 201</w:t>
      </w:r>
      <w:r>
        <w:rPr>
          <w:rFonts w:eastAsia="Times New Roman"/>
          <w:b/>
          <w:bCs/>
          <w:color w:val="000000"/>
          <w:sz w:val="20"/>
          <w:szCs w:val="20"/>
        </w:rPr>
        <w:t>9</w:t>
      </w:r>
    </w:p>
    <w:tbl>
      <w:tblPr>
        <w:tblW w:w="4692" w:type="pct"/>
        <w:jc w:val="center"/>
        <w:tblCellMar>
          <w:top w:w="15" w:type="dxa"/>
          <w:left w:w="15" w:type="dxa"/>
          <w:bottom w:w="15" w:type="dxa"/>
          <w:right w:w="15" w:type="dxa"/>
        </w:tblCellMar>
        <w:tblLook w:val="04A0" w:firstRow="1" w:lastRow="0" w:firstColumn="1" w:lastColumn="0" w:noHBand="0" w:noVBand="1"/>
      </w:tblPr>
      <w:tblGrid>
        <w:gridCol w:w="40"/>
        <w:gridCol w:w="2065"/>
        <w:gridCol w:w="38"/>
        <w:gridCol w:w="136"/>
        <w:gridCol w:w="659"/>
        <w:gridCol w:w="85"/>
        <w:gridCol w:w="36"/>
        <w:gridCol w:w="36"/>
        <w:gridCol w:w="36"/>
        <w:gridCol w:w="136"/>
        <w:gridCol w:w="840"/>
        <w:gridCol w:w="86"/>
        <w:gridCol w:w="36"/>
        <w:gridCol w:w="36"/>
        <w:gridCol w:w="36"/>
        <w:gridCol w:w="136"/>
        <w:gridCol w:w="885"/>
        <w:gridCol w:w="88"/>
        <w:gridCol w:w="36"/>
        <w:gridCol w:w="36"/>
        <w:gridCol w:w="36"/>
        <w:gridCol w:w="135"/>
        <w:gridCol w:w="349"/>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071199473"/>
          <w:jc w:val="center"/>
        </w:trPr>
        <w:tc>
          <w:tcPr>
            <w:tcW w:w="50" w:type="pct"/>
            <w:vAlign w:val="center"/>
            <w:hideMark/>
          </w:tcPr>
          <w:p w:rsidR="00000000" w:rsidRDefault="00775A8F">
            <w:pPr>
              <w:jc w:val="center"/>
              <w:rPr>
                <w:rFonts w:eastAsia="Times New Roman"/>
              </w:rPr>
            </w:pPr>
          </w:p>
        </w:tc>
        <w:tc>
          <w:tcPr>
            <w:tcW w:w="17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1071199473"/>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Gross Amount Recognize</w:t>
            </w:r>
            <w:r>
              <w:rPr>
                <w:rFonts w:eastAsia="Times New Roman"/>
                <w:color w:val="000000"/>
                <w:sz w:val="16"/>
                <w:szCs w:val="16"/>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Gross Amount Offset in the Balance Sheet</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Net Amount Presented in the Balance Sheet</w:t>
            </w:r>
            <w:r>
              <w:rPr>
                <w:rFonts w:eastAsia="Times New Roman"/>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Gross Amount not Offset in the Balance Sheets (3</w:t>
            </w: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Net Amoun</w:t>
            </w:r>
            <w:r>
              <w:rPr>
                <w:rFonts w:eastAsia="Times New Roman"/>
                <w:color w:val="000000"/>
                <w:sz w:val="16"/>
                <w:szCs w:val="16"/>
              </w:rPr>
              <w:t>t</w:t>
            </w:r>
          </w:p>
        </w:tc>
      </w:tr>
      <w:tr w:rsidR="00000000">
        <w:trPr>
          <w:divId w:val="1071199473"/>
          <w:jc w:val="center"/>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071199473"/>
          <w:jc w:val="center"/>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Derivative assets (1</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financial instrument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Other invested asset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8,246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Derivative liabilities (2</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financial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1199473"/>
          <w:jc w:val="center"/>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443886535"/>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40619787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Excludes Investment Management and Research segment’s derivative assets of consolidated VIEs/VOEs</w:t>
      </w:r>
      <w:r>
        <w:rPr>
          <w:rFonts w:eastAsia="Times New Roman"/>
          <w:color w:val="000000"/>
          <w:sz w:val="18"/>
          <w:szCs w:val="18"/>
        </w:rPr>
        <w:t>.</w:t>
      </w:r>
    </w:p>
    <w:p w:rsidR="00000000" w:rsidRDefault="00775A8F">
      <w:pPr>
        <w:ind w:hanging="360"/>
        <w:divId w:val="526942059"/>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Excludes Investment Management and Research segment’s derivative l</w:t>
      </w:r>
      <w:r>
        <w:rPr>
          <w:rFonts w:eastAsia="Times New Roman"/>
          <w:color w:val="000000"/>
          <w:sz w:val="18"/>
          <w:szCs w:val="18"/>
        </w:rPr>
        <w:t>iabilities of consolidated VIEs/VOEs</w:t>
      </w:r>
      <w:r>
        <w:rPr>
          <w:rFonts w:eastAsia="Times New Roman"/>
          <w:color w:val="000000"/>
          <w:sz w:val="18"/>
          <w:szCs w:val="18"/>
        </w:rPr>
        <w:t>.</w:t>
      </w:r>
    </w:p>
    <w:p w:rsidR="00000000" w:rsidRDefault="00775A8F">
      <w:pPr>
        <w:ind w:hanging="360"/>
        <w:divId w:val="1198855762"/>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Financial instruments sent (held)</w:t>
      </w:r>
      <w:r>
        <w:rPr>
          <w:rFonts w:eastAsia="Times New Roman"/>
          <w:color w:val="000000"/>
          <w:sz w:val="18"/>
          <w:szCs w:val="18"/>
        </w:rPr>
        <w:t>.</w:t>
      </w:r>
    </w:p>
    <w:p w:rsidR="00000000" w:rsidRDefault="00775A8F">
      <w:pPr>
        <w:divId w:val="1489245715"/>
        <w:rPr>
          <w:rFonts w:eastAsia="Times New Roman"/>
        </w:rPr>
      </w:pPr>
    </w:p>
    <w:p w:rsidR="00000000" w:rsidRDefault="00775A8F">
      <w:pPr>
        <w:jc w:val="center"/>
        <w:divId w:val="1569536798"/>
        <w:rPr>
          <w:rFonts w:eastAsia="Times New Roman"/>
        </w:rPr>
      </w:pPr>
      <w:r>
        <w:rPr>
          <w:rFonts w:eastAsia="Times New Roman"/>
          <w:color w:val="000000"/>
          <w:sz w:val="20"/>
          <w:szCs w:val="20"/>
        </w:rPr>
        <w:t>3</w:t>
      </w:r>
      <w:r>
        <w:rPr>
          <w:rFonts w:eastAsia="Times New Roman"/>
          <w:color w:val="000000"/>
          <w:sz w:val="20"/>
          <w:szCs w:val="20"/>
        </w:rPr>
        <w:t>3</w:t>
      </w:r>
    </w:p>
    <w:p w:rsidR="00000000" w:rsidRDefault="00775A8F">
      <w:pPr>
        <w:rPr>
          <w:rFonts w:eastAsia="Times New Roman"/>
        </w:rPr>
      </w:pPr>
      <w:r>
        <w:rPr>
          <w:rFonts w:eastAsia="Times New Roman"/>
        </w:rPr>
        <w:pict>
          <v:rect id="_x0000_i1059" style="width:0;height:1.5pt" o:hralign="center" o:hrstd="t" o:hr="t" fillcolor="#a0a0a0" stroked="f"/>
        </w:pict>
      </w:r>
    </w:p>
    <w:p w:rsidR="00000000" w:rsidRDefault="00775A8F">
      <w:pPr>
        <w:jc w:val="center"/>
        <w:divId w:val="1112554841"/>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112554841"/>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271204389"/>
        <w:rPr>
          <w:rFonts w:eastAsia="Times New Roman"/>
        </w:rPr>
      </w:pPr>
      <w:r>
        <w:rPr>
          <w:rFonts w:eastAsia="Times New Roman"/>
          <w:b/>
          <w:bCs/>
          <w:color w:val="000000"/>
          <w:sz w:val="20"/>
          <w:szCs w:val="20"/>
        </w:rPr>
        <w:t>5) GOODWILL</w:t>
      </w:r>
      <w:r>
        <w:rPr>
          <w:rFonts w:eastAsia="Times New Roman"/>
          <w:b/>
          <w:bCs/>
          <w:color w:val="000000"/>
          <w:sz w:val="20"/>
          <w:szCs w:val="20"/>
        </w:rPr>
        <w:t xml:space="preserve"> </w:t>
      </w:r>
    </w:p>
    <w:p w:rsidR="00000000" w:rsidRDefault="00775A8F">
      <w:pPr>
        <w:divId w:val="2040625963"/>
        <w:rPr>
          <w:rFonts w:eastAsia="Times New Roman"/>
        </w:rPr>
      </w:pPr>
      <w:r>
        <w:rPr>
          <w:rFonts w:eastAsia="Times New Roman"/>
          <w:color w:val="000000"/>
          <w:sz w:val="20"/>
          <w:szCs w:val="20"/>
        </w:rPr>
        <w:t>Goodwill represents the excess of purchase price over the estimated fair value of identifiable net assets acquired i</w:t>
      </w:r>
      <w:r>
        <w:rPr>
          <w:rFonts w:eastAsia="Times New Roman"/>
          <w:color w:val="000000"/>
          <w:sz w:val="20"/>
          <w:szCs w:val="20"/>
        </w:rPr>
        <w:t xml:space="preserve">n a business combination. The Company tests goodwill for recoverability each annual reporting period at December 31 and at interim periods if facts or circumstances are indicative of potential impairment. See Note 2 for information on the Company’s change </w:t>
      </w:r>
      <w:r>
        <w:rPr>
          <w:rFonts w:eastAsia="Times New Roman"/>
          <w:color w:val="000000"/>
          <w:sz w:val="20"/>
          <w:szCs w:val="20"/>
        </w:rPr>
        <w:t>in fair value measurement methodology for testing goodwill impairment.</w:t>
      </w:r>
      <w:r>
        <w:rPr>
          <w:rFonts w:eastAsia="Times New Roman"/>
          <w:color w:val="000000"/>
          <w:sz w:val="20"/>
          <w:szCs w:val="20"/>
        </w:rPr>
        <w:t xml:space="preserve"> </w:t>
      </w:r>
    </w:p>
    <w:p w:rsidR="00000000" w:rsidRDefault="00775A8F">
      <w:pPr>
        <w:divId w:val="1309506699"/>
        <w:rPr>
          <w:rFonts w:eastAsia="Times New Roman"/>
        </w:rPr>
      </w:pPr>
      <w:r>
        <w:rPr>
          <w:rFonts w:eastAsia="Times New Roman"/>
          <w:color w:val="000000"/>
          <w:sz w:val="20"/>
          <w:szCs w:val="20"/>
        </w:rPr>
        <w:t>The carrying value of goodwill from the Company’s Investment Management and Research reporting unit totaled $4.6 billion at both June 30, 2020 and December 31, 2019, resulting primaril</w:t>
      </w:r>
      <w:r>
        <w:rPr>
          <w:rFonts w:eastAsia="Times New Roman"/>
          <w:color w:val="000000"/>
          <w:sz w:val="20"/>
          <w:szCs w:val="20"/>
        </w:rPr>
        <w:t>y from its investment in AB as well as direct strategic acquisitions of AB, including its purchase of Sanford C. Bernstein, Inc.</w:t>
      </w:r>
      <w:r>
        <w:rPr>
          <w:rFonts w:eastAsia="Times New Roman"/>
          <w:color w:val="000000"/>
          <w:sz w:val="20"/>
          <w:szCs w:val="20"/>
        </w:rPr>
        <w:t xml:space="preserve"> </w:t>
      </w:r>
    </w:p>
    <w:p w:rsidR="00000000" w:rsidRDefault="00775A8F">
      <w:pPr>
        <w:divId w:val="48041986"/>
        <w:rPr>
          <w:rFonts w:eastAsia="Times New Roman"/>
        </w:rPr>
      </w:pPr>
      <w:r>
        <w:rPr>
          <w:rFonts w:eastAsia="Times New Roman"/>
          <w:color w:val="000000"/>
          <w:sz w:val="20"/>
          <w:szCs w:val="20"/>
        </w:rPr>
        <w:t>For purpose of testing this goodwill for impairment, the Company has historically applied a discounted cash flow valuation tec</w:t>
      </w:r>
      <w:r>
        <w:rPr>
          <w:rFonts w:eastAsia="Times New Roman"/>
          <w:color w:val="000000"/>
          <w:sz w:val="20"/>
          <w:szCs w:val="20"/>
        </w:rPr>
        <w:t>hnique to measure the fair value of the reporting unit, sourcing the underlying cash flows and assumptions from AB’s current business plan projections and adjusting the result to reflect the noncontrolling interest in AB as well as incremental taxes at the</w:t>
      </w:r>
      <w:r>
        <w:rPr>
          <w:rFonts w:eastAsia="Times New Roman"/>
          <w:color w:val="000000"/>
          <w:sz w:val="20"/>
          <w:szCs w:val="20"/>
        </w:rPr>
        <w:t xml:space="preserve"> Company level as related to the form and structure of its investment in AB. During the first quarter of 2020, the unit price of AB declined significantly in response to the precipitous decline in the financial markets. As such, the Company performed an in</w:t>
      </w:r>
      <w:r>
        <w:rPr>
          <w:rFonts w:eastAsia="Times New Roman"/>
          <w:color w:val="000000"/>
          <w:sz w:val="20"/>
          <w:szCs w:val="20"/>
        </w:rPr>
        <w:t>terim impairment evaluation of goodwill utilizing the discounted cash flow valuation technique and considered the results along with a number of other factors (including current market conditions) and determined that the fair value of the reporting unit ex</w:t>
      </w:r>
      <w:r>
        <w:rPr>
          <w:rFonts w:eastAsia="Times New Roman"/>
          <w:color w:val="000000"/>
          <w:sz w:val="20"/>
          <w:szCs w:val="20"/>
        </w:rPr>
        <w:t>ceeded its carrying value at March 31, 2020. As such, no goodwill impairment existed. The Company will continue to monitor and evaluate any events that may indicate an impairment of goodwill</w:t>
      </w:r>
      <w:r>
        <w:rPr>
          <w:rFonts w:eastAsia="Times New Roman"/>
          <w:color w:val="000000"/>
          <w:sz w:val="20"/>
          <w:szCs w:val="20"/>
        </w:rPr>
        <w:t>.</w:t>
      </w:r>
    </w:p>
    <w:p w:rsidR="00000000" w:rsidRDefault="00775A8F">
      <w:pPr>
        <w:divId w:val="394743341"/>
        <w:rPr>
          <w:rFonts w:eastAsia="Times New Roman"/>
        </w:rPr>
      </w:pPr>
      <w:r>
        <w:rPr>
          <w:rFonts w:eastAsia="Times New Roman"/>
          <w:b/>
          <w:bCs/>
          <w:color w:val="000000"/>
          <w:sz w:val="20"/>
          <w:szCs w:val="20"/>
        </w:rPr>
        <w:t>6) CLOSED BLOC</w:t>
      </w:r>
      <w:r>
        <w:rPr>
          <w:rFonts w:eastAsia="Times New Roman"/>
          <w:b/>
          <w:bCs/>
          <w:color w:val="000000"/>
          <w:sz w:val="20"/>
          <w:szCs w:val="20"/>
        </w:rPr>
        <w:t>K</w:t>
      </w:r>
    </w:p>
    <w:p w:rsidR="00000000" w:rsidRDefault="00775A8F">
      <w:pPr>
        <w:divId w:val="1011834673"/>
        <w:rPr>
          <w:rFonts w:eastAsia="Times New Roman"/>
        </w:rPr>
      </w:pPr>
      <w:r>
        <w:rPr>
          <w:rFonts w:eastAsia="Times New Roman"/>
          <w:color w:val="000000"/>
          <w:sz w:val="20"/>
          <w:szCs w:val="20"/>
        </w:rPr>
        <w:t>As a result of demutualization, the Company’s Cl</w:t>
      </w:r>
      <w:r>
        <w:rPr>
          <w:rFonts w:eastAsia="Times New Roman"/>
          <w:color w:val="000000"/>
          <w:sz w:val="20"/>
          <w:szCs w:val="20"/>
        </w:rPr>
        <w:t>osed Block was established in 1992 for the benefit of certain individual participating policies that were in force on that date. Assets, liabilities and earnings of the Closed Block are specifically identified to support its participating policyholders</w:t>
      </w:r>
      <w:r>
        <w:rPr>
          <w:rFonts w:eastAsia="Times New Roman"/>
          <w:color w:val="000000"/>
          <w:sz w:val="20"/>
          <w:szCs w:val="20"/>
        </w:rPr>
        <w:t>.</w:t>
      </w:r>
    </w:p>
    <w:p w:rsidR="00000000" w:rsidRDefault="00775A8F">
      <w:pPr>
        <w:divId w:val="276183144"/>
        <w:rPr>
          <w:rFonts w:eastAsia="Times New Roman"/>
        </w:rPr>
      </w:pPr>
      <w:r>
        <w:rPr>
          <w:rFonts w:eastAsia="Times New Roman"/>
          <w:color w:val="000000"/>
          <w:sz w:val="20"/>
          <w:szCs w:val="20"/>
        </w:rPr>
        <w:t>As</w:t>
      </w:r>
      <w:r>
        <w:rPr>
          <w:rFonts w:eastAsia="Times New Roman"/>
          <w:color w:val="000000"/>
          <w:sz w:val="20"/>
          <w:szCs w:val="20"/>
        </w:rPr>
        <w:t>sets allocated to the Closed Block inure solely to the benefit of the Closed Block policyholders and will not revert to the benefit of the Company. No reallocation, transfer, borrowing or lending of assets can be made between the Closed Block and other por</w:t>
      </w:r>
      <w:r>
        <w:rPr>
          <w:rFonts w:eastAsia="Times New Roman"/>
          <w:color w:val="000000"/>
          <w:sz w:val="20"/>
          <w:szCs w:val="20"/>
        </w:rPr>
        <w:t>tions of the Company’s General Account, any of its Separate Accounts or any affiliate of the Company without the approval of the New York State Department of Financial Services (the “NYDFS”). Closed Block assets and liabilities are carried on the same basi</w:t>
      </w:r>
      <w:r>
        <w:rPr>
          <w:rFonts w:eastAsia="Times New Roman"/>
          <w:color w:val="000000"/>
          <w:sz w:val="20"/>
          <w:szCs w:val="20"/>
        </w:rPr>
        <w:t>s as similar assets and liabilities held in the General Account. For more information on the Closed Block, see Note 6 to the Company’s consolidated financial statements included in the Annual Report on Form 10-K for the year ended December 31, 2019</w:t>
      </w:r>
      <w:r>
        <w:rPr>
          <w:rFonts w:eastAsia="Times New Roman"/>
          <w:color w:val="000000"/>
          <w:sz w:val="20"/>
          <w:szCs w:val="20"/>
        </w:rPr>
        <w:t>.</w:t>
      </w:r>
    </w:p>
    <w:p w:rsidR="00000000" w:rsidRDefault="00775A8F">
      <w:pPr>
        <w:divId w:val="1980959008"/>
        <w:rPr>
          <w:rFonts w:eastAsia="Times New Roman"/>
        </w:rPr>
      </w:pPr>
      <w:r>
        <w:rPr>
          <w:rFonts w:eastAsia="Times New Roman"/>
          <w:color w:val="000000"/>
          <w:sz w:val="20"/>
          <w:szCs w:val="20"/>
        </w:rPr>
        <w:t>Summar</w:t>
      </w:r>
      <w:r>
        <w:rPr>
          <w:rFonts w:eastAsia="Times New Roman"/>
          <w:color w:val="000000"/>
          <w:sz w:val="20"/>
          <w:szCs w:val="20"/>
        </w:rPr>
        <w:t>ized financial information for the Company’s Closed Block is as follows</w:t>
      </w:r>
      <w:r>
        <w:rPr>
          <w:rFonts w:eastAsia="Times New Roman"/>
          <w:color w:val="000000"/>
          <w:sz w:val="20"/>
          <w:szCs w:val="20"/>
        </w:rPr>
        <w:t>:</w:t>
      </w:r>
    </w:p>
    <w:tbl>
      <w:tblPr>
        <w:tblW w:w="4641" w:type="pct"/>
        <w:tblCellMar>
          <w:top w:w="15" w:type="dxa"/>
          <w:left w:w="15" w:type="dxa"/>
          <w:bottom w:w="15" w:type="dxa"/>
          <w:right w:w="15" w:type="dxa"/>
        </w:tblCellMar>
        <w:tblLook w:val="04A0" w:firstRow="1" w:lastRow="0" w:firstColumn="1" w:lastColumn="0" w:noHBand="0" w:noVBand="1"/>
      </w:tblPr>
      <w:tblGrid>
        <w:gridCol w:w="43"/>
        <w:gridCol w:w="5211"/>
        <w:gridCol w:w="43"/>
        <w:gridCol w:w="135"/>
        <w:gridCol w:w="772"/>
        <w:gridCol w:w="85"/>
        <w:gridCol w:w="36"/>
        <w:gridCol w:w="36"/>
        <w:gridCol w:w="36"/>
        <w:gridCol w:w="135"/>
        <w:gridCol w:w="877"/>
        <w:gridCol w:w="85"/>
        <w:gridCol w:w="36"/>
        <w:gridCol w:w="36"/>
        <w:gridCol w:w="36"/>
        <w:gridCol w:w="36"/>
        <w:gridCol w:w="36"/>
        <w:gridCol w:w="36"/>
      </w:tblGrid>
      <w:tr w:rsidR="00000000">
        <w:trPr>
          <w:gridAfter w:val="6"/>
          <w:divId w:val="1595168523"/>
        </w:trPr>
        <w:tc>
          <w:tcPr>
            <w:tcW w:w="50" w:type="pct"/>
            <w:vAlign w:val="center"/>
            <w:hideMark/>
          </w:tcPr>
          <w:p w:rsidR="00000000" w:rsidRDefault="00775A8F">
            <w:pPr>
              <w:rPr>
                <w:rFonts w:eastAsia="Times New Roman"/>
              </w:rPr>
            </w:pPr>
          </w:p>
        </w:tc>
        <w:tc>
          <w:tcPr>
            <w:tcW w:w="349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2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595168523"/>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r>
      <w:tr w:rsidR="00000000">
        <w:trPr>
          <w:divId w:val="1595168523"/>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595168523"/>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Closed Block Liabilities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Future policy benefits, policyholders’ account balances and othe</w:t>
            </w:r>
            <w:r>
              <w:rPr>
                <w:rFonts w:eastAsia="Times New Roman"/>
                <w:color w:val="000000"/>
                <w:sz w:val="20"/>
                <w:szCs w:val="20"/>
              </w:rPr>
              <w:t>r</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6,327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6,478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Policyholder dividend obligatio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Closed Block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6,577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Assets Designated to the Closed Block</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Fixed maturities available-for-sale, at fair value (amortized cost of $3,490 and $3,558) (allowance for credit losses of $0 at June 30, 2020</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3,838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3,754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Mortgage loans on real estate (net of allowance for credit losses of $7 at June 30, 2020</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Policy loan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Cash and other invested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assets designated to the Closed Bloc</w:t>
            </w:r>
            <w:r>
              <w:rPr>
                <w:rFonts w:eastAsia="Times New Roman"/>
                <w:color w:val="000000"/>
                <w:sz w:val="20"/>
                <w:szCs w:val="20"/>
              </w:rPr>
              <w:t>k</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6,507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95168523"/>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826389471"/>
        <w:rPr>
          <w:rFonts w:eastAsia="Times New Roman"/>
        </w:rPr>
      </w:pPr>
      <w:r>
        <w:rPr>
          <w:rFonts w:eastAsia="Times New Roman"/>
          <w:color w:val="000000"/>
          <w:sz w:val="20"/>
          <w:szCs w:val="20"/>
        </w:rPr>
        <w:t>3</w:t>
      </w:r>
      <w:r>
        <w:rPr>
          <w:rFonts w:eastAsia="Times New Roman"/>
          <w:color w:val="000000"/>
          <w:sz w:val="20"/>
          <w:szCs w:val="20"/>
        </w:rPr>
        <w:t>4</w:t>
      </w:r>
    </w:p>
    <w:p w:rsidR="00000000" w:rsidRDefault="00775A8F">
      <w:pPr>
        <w:rPr>
          <w:rFonts w:eastAsia="Times New Roman"/>
        </w:rPr>
      </w:pPr>
      <w:r>
        <w:rPr>
          <w:rFonts w:eastAsia="Times New Roman"/>
        </w:rPr>
        <w:pict>
          <v:rect id="_x0000_i1060" style="width:0;height:1.5pt" o:hralign="center" o:hrstd="t" o:hr="t" fillcolor="#a0a0a0" stroked="f"/>
        </w:pict>
      </w:r>
    </w:p>
    <w:p w:rsidR="00000000" w:rsidRDefault="00775A8F">
      <w:pPr>
        <w:jc w:val="center"/>
        <w:divId w:val="15885491"/>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5885491"/>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1" w:type="pct"/>
        <w:tblCellMar>
          <w:top w:w="15" w:type="dxa"/>
          <w:left w:w="15" w:type="dxa"/>
          <w:bottom w:w="15" w:type="dxa"/>
          <w:right w:w="15" w:type="dxa"/>
        </w:tblCellMar>
        <w:tblLook w:val="04A0" w:firstRow="1" w:lastRow="0" w:firstColumn="1" w:lastColumn="0" w:noHBand="0" w:noVBand="1"/>
      </w:tblPr>
      <w:tblGrid>
        <w:gridCol w:w="42"/>
        <w:gridCol w:w="5211"/>
        <w:gridCol w:w="43"/>
        <w:gridCol w:w="135"/>
        <w:gridCol w:w="772"/>
        <w:gridCol w:w="85"/>
        <w:gridCol w:w="36"/>
        <w:gridCol w:w="36"/>
        <w:gridCol w:w="36"/>
        <w:gridCol w:w="136"/>
        <w:gridCol w:w="877"/>
        <w:gridCol w:w="85"/>
        <w:gridCol w:w="36"/>
        <w:gridCol w:w="36"/>
        <w:gridCol w:w="36"/>
        <w:gridCol w:w="36"/>
        <w:gridCol w:w="36"/>
        <w:gridCol w:w="36"/>
      </w:tblGrid>
      <w:tr w:rsidR="00000000">
        <w:trPr>
          <w:gridAfter w:val="6"/>
          <w:divId w:val="111292345"/>
        </w:trPr>
        <w:tc>
          <w:tcPr>
            <w:tcW w:w="50" w:type="pct"/>
            <w:vAlign w:val="center"/>
            <w:hideMark/>
          </w:tcPr>
          <w:p w:rsidR="00000000" w:rsidRDefault="00775A8F">
            <w:pPr>
              <w:jc w:val="center"/>
              <w:rPr>
                <w:rFonts w:eastAsia="Times New Roman"/>
              </w:rPr>
            </w:pPr>
          </w:p>
        </w:tc>
        <w:tc>
          <w:tcPr>
            <w:tcW w:w="349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2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1129234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r>
      <w:tr w:rsidR="00000000">
        <w:trPr>
          <w:divId w:val="111292345"/>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1129234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Excess of Closed Block liabilities over assets designated to the Closed Bloc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29234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Amounts included in accumulated other comprehensive income (loss)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292345"/>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unrealized investment gains (losses), net of policyholders’ dividend obligation: $150 and $2; and net of income tax: $42 and $4</w:t>
            </w:r>
            <w:r>
              <w:rPr>
                <w:rFonts w:eastAsia="Times New Roman"/>
                <w:color w:val="000000"/>
                <w:sz w:val="20"/>
                <w:szCs w:val="20"/>
              </w:rPr>
              <w:t>1</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29234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Maximum future earnings to be recognized from Closed Block assets and liabilitie</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764760183"/>
        <w:rPr>
          <w:rFonts w:eastAsia="Times New Roman"/>
        </w:rPr>
      </w:pPr>
    </w:p>
    <w:p w:rsidR="00000000" w:rsidRDefault="00775A8F">
      <w:pPr>
        <w:divId w:val="1167869133"/>
        <w:rPr>
          <w:rFonts w:eastAsia="Times New Roman"/>
        </w:rPr>
      </w:pPr>
      <w:r>
        <w:rPr>
          <w:rFonts w:eastAsia="Times New Roman"/>
          <w:color w:val="000000"/>
          <w:sz w:val="20"/>
          <w:szCs w:val="20"/>
        </w:rPr>
        <w:t>The Company’s Closed Block revenues and expenses were as follows</w:t>
      </w:r>
      <w:r>
        <w:rPr>
          <w:rFonts w:eastAsia="Times New Roman"/>
          <w:color w:val="000000"/>
          <w:sz w:val="20"/>
          <w:szCs w:val="20"/>
        </w:rPr>
        <w:t>:</w:t>
      </w:r>
    </w:p>
    <w:tbl>
      <w:tblPr>
        <w:tblW w:w="4576" w:type="pct"/>
        <w:tblCellMar>
          <w:top w:w="15" w:type="dxa"/>
          <w:left w:w="15" w:type="dxa"/>
          <w:bottom w:w="15" w:type="dxa"/>
          <w:right w:w="15" w:type="dxa"/>
        </w:tblCellMar>
        <w:tblLook w:val="04A0" w:firstRow="1" w:lastRow="0" w:firstColumn="1" w:lastColumn="0" w:noHBand="0" w:noVBand="1"/>
      </w:tblPr>
      <w:tblGrid>
        <w:gridCol w:w="39"/>
        <w:gridCol w:w="3264"/>
        <w:gridCol w:w="38"/>
        <w:gridCol w:w="135"/>
        <w:gridCol w:w="520"/>
        <w:gridCol w:w="85"/>
        <w:gridCol w:w="36"/>
        <w:gridCol w:w="36"/>
        <w:gridCol w:w="36"/>
        <w:gridCol w:w="135"/>
        <w:gridCol w:w="553"/>
        <w:gridCol w:w="85"/>
        <w:gridCol w:w="135"/>
        <w:gridCol w:w="553"/>
        <w:gridCol w:w="85"/>
        <w:gridCol w:w="36"/>
        <w:gridCol w:w="36"/>
        <w:gridCol w:w="36"/>
        <w:gridCol w:w="135"/>
        <w:gridCol w:w="495"/>
        <w:gridCol w:w="85"/>
        <w:gridCol w:w="252"/>
        <w:gridCol w:w="252"/>
        <w:gridCol w:w="36"/>
        <w:gridCol w:w="36"/>
        <w:gridCol w:w="36"/>
        <w:gridCol w:w="36"/>
        <w:gridCol w:w="36"/>
        <w:gridCol w:w="36"/>
        <w:gridCol w:w="36"/>
        <w:gridCol w:w="36"/>
        <w:gridCol w:w="36"/>
        <w:gridCol w:w="36"/>
        <w:gridCol w:w="36"/>
        <w:gridCol w:w="36"/>
        <w:gridCol w:w="36"/>
        <w:gridCol w:w="36"/>
        <w:gridCol w:w="36"/>
      </w:tblGrid>
      <w:tr w:rsidR="00000000">
        <w:trPr>
          <w:gridAfter w:val="15"/>
          <w:divId w:val="1945578464"/>
        </w:trPr>
        <w:tc>
          <w:tcPr>
            <w:tcW w:w="50" w:type="pct"/>
            <w:vAlign w:val="center"/>
            <w:hideMark/>
          </w:tcPr>
          <w:p w:rsidR="00000000" w:rsidRDefault="00775A8F">
            <w:pPr>
              <w:rPr>
                <w:rFonts w:eastAsia="Times New Roman"/>
              </w:rPr>
            </w:pPr>
          </w:p>
        </w:tc>
        <w:tc>
          <w:tcPr>
            <w:tcW w:w="255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94557846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94557846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945578464"/>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Revenues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Premiums and other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Benefits and Other Deductions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Policyholders’ benefits and dividend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benefits and other deduction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4557846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Net income (loss</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146896535"/>
        <w:rPr>
          <w:rFonts w:eastAsia="Times New Roman"/>
        </w:rPr>
      </w:pPr>
    </w:p>
    <w:p w:rsidR="00000000" w:rsidRDefault="00775A8F">
      <w:pPr>
        <w:divId w:val="1842890795"/>
        <w:rPr>
          <w:rFonts w:eastAsia="Times New Roman"/>
        </w:rPr>
      </w:pPr>
      <w:r>
        <w:rPr>
          <w:rFonts w:eastAsia="Times New Roman"/>
          <w:b/>
          <w:bCs/>
          <w:color w:val="000000"/>
          <w:sz w:val="20"/>
          <w:szCs w:val="20"/>
        </w:rPr>
        <w:t>7) INSURANCE LIABILITIES</w:t>
      </w:r>
      <w:r>
        <w:rPr>
          <w:rFonts w:eastAsia="Times New Roman"/>
          <w:b/>
          <w:bCs/>
          <w:color w:val="000000"/>
          <w:sz w:val="20"/>
          <w:szCs w:val="20"/>
        </w:rPr>
        <w:t xml:space="preserve"> </w:t>
      </w:r>
    </w:p>
    <w:p w:rsidR="00000000" w:rsidRDefault="00775A8F">
      <w:pPr>
        <w:divId w:val="904486448"/>
        <w:rPr>
          <w:rFonts w:eastAsia="Times New Roman"/>
        </w:rPr>
      </w:pPr>
      <w:r>
        <w:rPr>
          <w:rFonts w:eastAsia="Times New Roman"/>
          <w:color w:val="000000"/>
          <w:sz w:val="20"/>
          <w:szCs w:val="20"/>
          <w:u w:val="single"/>
        </w:rPr>
        <w:t>Variable Annuity Contracts – GMDB, GMIB, GIB and GWBL and Other Feature</w:t>
      </w:r>
      <w:r>
        <w:rPr>
          <w:rFonts w:eastAsia="Times New Roman"/>
          <w:color w:val="000000"/>
          <w:sz w:val="20"/>
          <w:szCs w:val="20"/>
          <w:u w:val="single"/>
        </w:rPr>
        <w:t>s</w:t>
      </w:r>
    </w:p>
    <w:p w:rsidR="00000000" w:rsidRDefault="00775A8F">
      <w:pPr>
        <w:divId w:val="40637200"/>
        <w:rPr>
          <w:rFonts w:eastAsia="Times New Roman"/>
        </w:rPr>
      </w:pPr>
      <w:r>
        <w:rPr>
          <w:rFonts w:eastAsia="Times New Roman"/>
          <w:color w:val="000000"/>
          <w:sz w:val="20"/>
          <w:szCs w:val="20"/>
        </w:rPr>
        <w:t>The Company has certain variable annuity contracts with GMDB, GMIB, GIB and GWBL and ot</w:t>
      </w:r>
      <w:r>
        <w:rPr>
          <w:rFonts w:eastAsia="Times New Roman"/>
          <w:color w:val="000000"/>
          <w:sz w:val="20"/>
          <w:szCs w:val="20"/>
        </w:rPr>
        <w:t>her features in-force that guarantee one of the following</w:t>
      </w:r>
      <w:r>
        <w:rPr>
          <w:rFonts w:eastAsia="Times New Roman"/>
          <w:color w:val="000000"/>
          <w:sz w:val="20"/>
          <w:szCs w:val="20"/>
        </w:rPr>
        <w:t>:</w:t>
      </w:r>
    </w:p>
    <w:p w:rsidR="00000000" w:rsidRDefault="00775A8F">
      <w:pPr>
        <w:ind w:hanging="360"/>
        <w:jc w:val="both"/>
        <w:divId w:val="1332676911"/>
        <w:rPr>
          <w:rFonts w:eastAsia="Times New Roman"/>
        </w:rPr>
      </w:pPr>
      <w:r>
        <w:rPr>
          <w:rFonts w:eastAsia="Times New Roman"/>
          <w:color w:val="000000"/>
          <w:sz w:val="20"/>
          <w:szCs w:val="20"/>
        </w:rPr>
        <w:t>•</w:t>
      </w:r>
      <w:r>
        <w:rPr>
          <w:rFonts w:eastAsia="Times New Roman"/>
          <w:color w:val="000000"/>
          <w:sz w:val="20"/>
          <w:szCs w:val="20"/>
        </w:rPr>
        <w:t>Return of Premium: the benefit is the greater of current account value or premiums paid (adjusted for withdrawals)</w:t>
      </w:r>
      <w:r>
        <w:rPr>
          <w:rFonts w:eastAsia="Times New Roman"/>
          <w:color w:val="000000"/>
          <w:sz w:val="20"/>
          <w:szCs w:val="20"/>
        </w:rPr>
        <w:t>;</w:t>
      </w:r>
    </w:p>
    <w:p w:rsidR="00000000" w:rsidRDefault="00775A8F">
      <w:pPr>
        <w:ind w:hanging="360"/>
        <w:jc w:val="both"/>
        <w:divId w:val="1450515189"/>
        <w:rPr>
          <w:rFonts w:eastAsia="Times New Roman"/>
        </w:rPr>
      </w:pPr>
      <w:r>
        <w:rPr>
          <w:rFonts w:eastAsia="Times New Roman"/>
          <w:color w:val="000000"/>
          <w:sz w:val="20"/>
          <w:szCs w:val="20"/>
        </w:rPr>
        <w:t>•</w:t>
      </w:r>
      <w:r>
        <w:rPr>
          <w:rFonts w:eastAsia="Times New Roman"/>
          <w:color w:val="000000"/>
          <w:sz w:val="20"/>
          <w:szCs w:val="20"/>
        </w:rPr>
        <w:t>Ratchet: the benefit is the greatest of current account value, premiums paid (adjusted for withdrawals), or the highest account value on an</w:t>
      </w:r>
      <w:r>
        <w:rPr>
          <w:rFonts w:eastAsia="Times New Roman"/>
          <w:color w:val="000000"/>
          <w:sz w:val="20"/>
          <w:szCs w:val="20"/>
        </w:rPr>
        <w:t>y anniversary up to contractually specified ages (adjusted for withdrawals)</w:t>
      </w:r>
      <w:r>
        <w:rPr>
          <w:rFonts w:eastAsia="Times New Roman"/>
          <w:color w:val="000000"/>
          <w:sz w:val="20"/>
          <w:szCs w:val="20"/>
        </w:rPr>
        <w:t>;</w:t>
      </w:r>
    </w:p>
    <w:p w:rsidR="00000000" w:rsidRDefault="00775A8F">
      <w:pPr>
        <w:ind w:hanging="360"/>
        <w:jc w:val="both"/>
        <w:divId w:val="914246065"/>
        <w:rPr>
          <w:rFonts w:eastAsia="Times New Roman"/>
        </w:rPr>
      </w:pPr>
      <w:r>
        <w:rPr>
          <w:rFonts w:eastAsia="Times New Roman"/>
          <w:color w:val="000000"/>
          <w:sz w:val="20"/>
          <w:szCs w:val="20"/>
        </w:rPr>
        <w:t>•</w:t>
      </w:r>
      <w:r>
        <w:rPr>
          <w:rFonts w:eastAsia="Times New Roman"/>
          <w:color w:val="000000"/>
          <w:sz w:val="20"/>
          <w:szCs w:val="20"/>
        </w:rPr>
        <w:t>Roll-Up: the benefit is the greater of current account value or premiums paid (adjusted for withdrawals) accumulated at contractually specified interest rates up to specified age</w:t>
      </w:r>
      <w:r>
        <w:rPr>
          <w:rFonts w:eastAsia="Times New Roman"/>
          <w:color w:val="000000"/>
          <w:sz w:val="20"/>
          <w:szCs w:val="20"/>
        </w:rPr>
        <w:t>s</w:t>
      </w:r>
      <w:r>
        <w:rPr>
          <w:rFonts w:eastAsia="Times New Roman"/>
          <w:color w:val="000000"/>
          <w:sz w:val="20"/>
          <w:szCs w:val="20"/>
        </w:rPr>
        <w:t>;</w:t>
      </w:r>
    </w:p>
    <w:p w:rsidR="00000000" w:rsidRDefault="00775A8F">
      <w:pPr>
        <w:ind w:hanging="360"/>
        <w:jc w:val="both"/>
        <w:divId w:val="826823663"/>
        <w:rPr>
          <w:rFonts w:eastAsia="Times New Roman"/>
        </w:rPr>
      </w:pPr>
      <w:r>
        <w:rPr>
          <w:rFonts w:eastAsia="Times New Roman"/>
          <w:color w:val="000000"/>
          <w:sz w:val="20"/>
          <w:szCs w:val="20"/>
        </w:rPr>
        <w:t>•</w:t>
      </w:r>
      <w:r>
        <w:rPr>
          <w:rFonts w:eastAsia="Times New Roman"/>
          <w:color w:val="000000"/>
          <w:sz w:val="20"/>
          <w:szCs w:val="20"/>
        </w:rPr>
        <w:t>Combo: the benefit is the greater of the ratchet benefit or the roll-up benefit, which may include either a five year or an annual reset; o</w:t>
      </w:r>
      <w:r>
        <w:rPr>
          <w:rFonts w:eastAsia="Times New Roman"/>
          <w:color w:val="000000"/>
          <w:sz w:val="20"/>
          <w:szCs w:val="20"/>
        </w:rPr>
        <w:t>r</w:t>
      </w:r>
    </w:p>
    <w:p w:rsidR="00000000" w:rsidRDefault="00775A8F">
      <w:pPr>
        <w:ind w:hanging="360"/>
        <w:divId w:val="725615134"/>
        <w:rPr>
          <w:rFonts w:eastAsia="Times New Roman"/>
        </w:rPr>
      </w:pPr>
      <w:r>
        <w:rPr>
          <w:rFonts w:eastAsia="Times New Roman"/>
          <w:color w:val="000000"/>
          <w:sz w:val="20"/>
          <w:szCs w:val="20"/>
        </w:rPr>
        <w:t>•</w:t>
      </w:r>
      <w:r>
        <w:rPr>
          <w:rFonts w:eastAsia="Times New Roman"/>
          <w:color w:val="000000"/>
          <w:sz w:val="20"/>
          <w:szCs w:val="20"/>
        </w:rPr>
        <w:t>Withdrawal: the withdrawal is guaranteed up to a maximum amount per year for life.</w:t>
      </w:r>
      <w:r>
        <w:rPr>
          <w:rFonts w:eastAsia="Times New Roman"/>
          <w:color w:val="000000"/>
          <w:sz w:val="20"/>
          <w:szCs w:val="20"/>
        </w:rPr>
        <w:t xml:space="preserve"> </w:t>
      </w:r>
    </w:p>
    <w:p w:rsidR="00000000" w:rsidRDefault="00775A8F">
      <w:pPr>
        <w:jc w:val="both"/>
        <w:divId w:val="1299529408"/>
        <w:rPr>
          <w:rFonts w:eastAsia="Times New Roman"/>
        </w:rPr>
      </w:pPr>
      <w:r>
        <w:rPr>
          <w:rFonts w:eastAsia="Times New Roman"/>
          <w:b/>
          <w:bCs/>
          <w:i/>
          <w:iCs/>
          <w:color w:val="000000"/>
          <w:sz w:val="20"/>
          <w:szCs w:val="20"/>
        </w:rPr>
        <w:t>Liabilities for Variable A</w:t>
      </w:r>
      <w:r>
        <w:rPr>
          <w:rFonts w:eastAsia="Times New Roman"/>
          <w:b/>
          <w:bCs/>
          <w:i/>
          <w:iCs/>
          <w:color w:val="000000"/>
          <w:sz w:val="20"/>
          <w:szCs w:val="20"/>
        </w:rPr>
        <w:t>nnuity Contracts with GMDB and GMIB Features without No-Lapse Guarantee Rider (“NLG”) Featur</w:t>
      </w:r>
      <w:r>
        <w:rPr>
          <w:rFonts w:eastAsia="Times New Roman"/>
          <w:b/>
          <w:bCs/>
          <w:i/>
          <w:iCs/>
          <w:color w:val="000000"/>
          <w:sz w:val="20"/>
          <w:szCs w:val="20"/>
        </w:rPr>
        <w:t>e</w:t>
      </w:r>
    </w:p>
    <w:p w:rsidR="00000000" w:rsidRDefault="00775A8F">
      <w:pPr>
        <w:divId w:val="1759138118"/>
        <w:rPr>
          <w:rFonts w:eastAsia="Times New Roman"/>
        </w:rPr>
      </w:pPr>
      <w:r>
        <w:rPr>
          <w:rFonts w:eastAsia="Times New Roman"/>
          <w:color w:val="000000"/>
          <w:sz w:val="20"/>
          <w:szCs w:val="20"/>
        </w:rPr>
        <w:t>The change in the liabilities for variable annuity contracts with GMDB and GMIB features and without a NLG feature are summarized in the tables below. The amounts</w:t>
      </w:r>
      <w:r>
        <w:rPr>
          <w:rFonts w:eastAsia="Times New Roman"/>
          <w:color w:val="000000"/>
          <w:sz w:val="20"/>
          <w:szCs w:val="20"/>
        </w:rPr>
        <w:t xml:space="preserve"> for the direct contracts (before reinsurance ceded) and assumed contracts are reflected in the consolidated balance sheets in Future policy benefits and other policyholders’ liabilities. The amounts for the ceded contracts are reflected in the consolidate</w:t>
      </w:r>
      <w:r>
        <w:rPr>
          <w:rFonts w:eastAsia="Times New Roman"/>
          <w:color w:val="000000"/>
          <w:sz w:val="20"/>
          <w:szCs w:val="20"/>
        </w:rPr>
        <w:t>d balance sheets in Amounts due from reinsurers</w:t>
      </w:r>
      <w:r>
        <w:rPr>
          <w:rFonts w:eastAsia="Times New Roman"/>
          <w:color w:val="000000"/>
          <w:sz w:val="20"/>
          <w:szCs w:val="20"/>
        </w:rPr>
        <w:t>.</w:t>
      </w:r>
    </w:p>
    <w:p w:rsidR="00000000" w:rsidRDefault="00775A8F">
      <w:pPr>
        <w:jc w:val="center"/>
        <w:divId w:val="220480573"/>
        <w:rPr>
          <w:rFonts w:eastAsia="Times New Roman"/>
        </w:rPr>
      </w:pPr>
      <w:r>
        <w:rPr>
          <w:rFonts w:eastAsia="Times New Roman"/>
          <w:color w:val="000000"/>
          <w:sz w:val="20"/>
          <w:szCs w:val="20"/>
        </w:rPr>
        <w:t>3</w:t>
      </w:r>
      <w:r>
        <w:rPr>
          <w:rFonts w:eastAsia="Times New Roman"/>
          <w:color w:val="000000"/>
          <w:sz w:val="20"/>
          <w:szCs w:val="20"/>
        </w:rPr>
        <w:t>5</w:t>
      </w:r>
    </w:p>
    <w:p w:rsidR="00000000" w:rsidRDefault="00775A8F">
      <w:pPr>
        <w:rPr>
          <w:rFonts w:eastAsia="Times New Roman"/>
        </w:rPr>
      </w:pPr>
      <w:r>
        <w:rPr>
          <w:rFonts w:eastAsia="Times New Roman"/>
        </w:rPr>
        <w:pict>
          <v:rect id="_x0000_i1061" style="width:0;height:1.5pt" o:hralign="center" o:hrstd="t" o:hr="t" fillcolor="#a0a0a0" stroked="f"/>
        </w:pict>
      </w:r>
    </w:p>
    <w:p w:rsidR="00000000" w:rsidRDefault="00775A8F">
      <w:pPr>
        <w:jc w:val="center"/>
        <w:divId w:val="46851854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468518546"/>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jc w:val="center"/>
        <w:rPr>
          <w:rFonts w:eastAsia="Times New Roman"/>
        </w:rPr>
      </w:pPr>
      <w:r>
        <w:rPr>
          <w:rFonts w:eastAsia="Times New Roman"/>
          <w:b/>
          <w:bCs/>
          <w:color w:val="000000"/>
          <w:sz w:val="20"/>
          <w:szCs w:val="20"/>
        </w:rPr>
        <w:t>Change in Liability for Variable Annuity Contracts with GMDB and GMIB Feature</w:t>
      </w:r>
      <w:r>
        <w:rPr>
          <w:rFonts w:eastAsia="Times New Roman"/>
          <w:b/>
          <w:bCs/>
          <w:color w:val="000000"/>
          <w:sz w:val="20"/>
          <w:szCs w:val="20"/>
        </w:rPr>
        <w:t>s and No NLG Featur</w:t>
      </w:r>
      <w:r>
        <w:rPr>
          <w:rFonts w:eastAsia="Times New Roman"/>
          <w:b/>
          <w:bCs/>
          <w:color w:val="000000"/>
          <w:sz w:val="20"/>
          <w:szCs w:val="20"/>
        </w:rPr>
        <w:t>e</w:t>
      </w:r>
    </w:p>
    <w:p w:rsidR="00000000" w:rsidRDefault="00775A8F">
      <w:pPr>
        <w:jc w:val="center"/>
        <w:rPr>
          <w:rFonts w:eastAsia="Times New Roman"/>
        </w:rPr>
      </w:pPr>
      <w:r>
        <w:rPr>
          <w:rFonts w:eastAsia="Times New Roman"/>
          <w:b/>
          <w:bCs/>
          <w:color w:val="000000"/>
          <w:sz w:val="20"/>
          <w:szCs w:val="20"/>
        </w:rPr>
        <w:t>For the Three and Six Months Ended June 30, 2020 and 2019</w:t>
      </w:r>
      <w:r>
        <w:rPr>
          <w:rFonts w:eastAsia="Times New Roman"/>
          <w:b/>
          <w:bCs/>
          <w:color w:val="000000"/>
          <w:sz w:val="20"/>
          <w:szCs w:val="20"/>
        </w:rPr>
        <w:t xml:space="preserve"> </w:t>
      </w:r>
    </w:p>
    <w:tbl>
      <w:tblPr>
        <w:tblW w:w="4590" w:type="pct"/>
        <w:tblCellMar>
          <w:top w:w="15" w:type="dxa"/>
          <w:left w:w="15" w:type="dxa"/>
          <w:bottom w:w="15" w:type="dxa"/>
          <w:right w:w="15" w:type="dxa"/>
        </w:tblCellMar>
        <w:tblLook w:val="04A0" w:firstRow="1" w:lastRow="0" w:firstColumn="1" w:lastColumn="0" w:noHBand="0" w:noVBand="1"/>
      </w:tblPr>
      <w:tblGrid>
        <w:gridCol w:w="38"/>
        <w:gridCol w:w="1638"/>
        <w:gridCol w:w="37"/>
        <w:gridCol w:w="135"/>
        <w:gridCol w:w="515"/>
        <w:gridCol w:w="85"/>
        <w:gridCol w:w="36"/>
        <w:gridCol w:w="36"/>
        <w:gridCol w:w="36"/>
        <w:gridCol w:w="136"/>
        <w:gridCol w:w="500"/>
        <w:gridCol w:w="85"/>
        <w:gridCol w:w="36"/>
        <w:gridCol w:w="36"/>
        <w:gridCol w:w="36"/>
        <w:gridCol w:w="135"/>
        <w:gridCol w:w="449"/>
        <w:gridCol w:w="85"/>
        <w:gridCol w:w="36"/>
        <w:gridCol w:w="36"/>
        <w:gridCol w:w="36"/>
        <w:gridCol w:w="135"/>
        <w:gridCol w:w="515"/>
        <w:gridCol w:w="85"/>
        <w:gridCol w:w="36"/>
        <w:gridCol w:w="36"/>
        <w:gridCol w:w="36"/>
        <w:gridCol w:w="136"/>
        <w:gridCol w:w="500"/>
        <w:gridCol w:w="85"/>
        <w:gridCol w:w="36"/>
        <w:gridCol w:w="36"/>
        <w:gridCol w:w="36"/>
        <w:gridCol w:w="135"/>
        <w:gridCol w:w="599"/>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2046516158"/>
        </w:trPr>
        <w:tc>
          <w:tcPr>
            <w:tcW w:w="50" w:type="pct"/>
            <w:vAlign w:val="center"/>
            <w:hideMark/>
          </w:tcPr>
          <w:p w:rsidR="00000000" w:rsidRDefault="00775A8F">
            <w:pPr>
              <w:jc w:val="center"/>
              <w:rPr>
                <w:rFonts w:eastAsia="Times New Roman"/>
              </w:rPr>
            </w:pPr>
          </w:p>
        </w:tc>
        <w:tc>
          <w:tcPr>
            <w:tcW w:w="226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3"/>
          <w:divId w:val="20465161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GMD</w:t>
            </w:r>
            <w:r>
              <w:rPr>
                <w:rFonts w:eastAsia="Times New Roman"/>
                <w:b/>
                <w:bCs/>
                <w:color w:val="000000"/>
                <w:sz w:val="16"/>
                <w:szCs w:val="16"/>
              </w:rPr>
              <w:t>B</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GMI</w:t>
            </w:r>
            <w:r>
              <w:rPr>
                <w:rFonts w:eastAsia="Times New Roman"/>
                <w:b/>
                <w:bCs/>
                <w:color w:val="000000"/>
                <w:sz w:val="16"/>
                <w:szCs w:val="16"/>
              </w:rPr>
              <w:t>B</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20465161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Direc</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Assume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Cede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Direc</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Assume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Cede</w:t>
            </w:r>
            <w:r>
              <w:rPr>
                <w:rFonts w:eastAsia="Times New Roman"/>
                <w:b/>
                <w:bCs/>
                <w:color w:val="000000"/>
                <w:sz w:val="16"/>
                <w:szCs w:val="16"/>
              </w:rPr>
              <w:t>d</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at April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5,052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(111</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6,299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(2,823</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Paid guarantee benefit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changes in reserv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at June 30, 202</w:t>
            </w:r>
            <w:r>
              <w:rPr>
                <w:rFonts w:eastAsia="Times New Roman"/>
                <w:b/>
                <w:bCs/>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5,015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6,153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at April 1,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Paid guarantee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changes in reserv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46516158"/>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at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(1,896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890381755"/>
        <w:rPr>
          <w:rFonts w:eastAsia="Times New Roman"/>
        </w:rPr>
      </w:pPr>
    </w:p>
    <w:tbl>
      <w:tblPr>
        <w:tblW w:w="4634" w:type="pct"/>
        <w:tblCellMar>
          <w:top w:w="15" w:type="dxa"/>
          <w:left w:w="15" w:type="dxa"/>
          <w:bottom w:w="15" w:type="dxa"/>
          <w:right w:w="15" w:type="dxa"/>
        </w:tblCellMar>
        <w:tblLook w:val="04A0" w:firstRow="1" w:lastRow="0" w:firstColumn="1" w:lastColumn="0" w:noHBand="0" w:noVBand="1"/>
      </w:tblPr>
      <w:tblGrid>
        <w:gridCol w:w="38"/>
        <w:gridCol w:w="1715"/>
        <w:gridCol w:w="37"/>
        <w:gridCol w:w="135"/>
        <w:gridCol w:w="515"/>
        <w:gridCol w:w="85"/>
        <w:gridCol w:w="36"/>
        <w:gridCol w:w="36"/>
        <w:gridCol w:w="36"/>
        <w:gridCol w:w="136"/>
        <w:gridCol w:w="498"/>
        <w:gridCol w:w="85"/>
        <w:gridCol w:w="36"/>
        <w:gridCol w:w="36"/>
        <w:gridCol w:w="36"/>
        <w:gridCol w:w="135"/>
        <w:gridCol w:w="449"/>
        <w:gridCol w:w="85"/>
        <w:gridCol w:w="36"/>
        <w:gridCol w:w="36"/>
        <w:gridCol w:w="36"/>
        <w:gridCol w:w="135"/>
        <w:gridCol w:w="515"/>
        <w:gridCol w:w="85"/>
        <w:gridCol w:w="36"/>
        <w:gridCol w:w="36"/>
        <w:gridCol w:w="36"/>
        <w:gridCol w:w="136"/>
        <w:gridCol w:w="498"/>
        <w:gridCol w:w="85"/>
        <w:gridCol w:w="36"/>
        <w:gridCol w:w="36"/>
        <w:gridCol w:w="36"/>
        <w:gridCol w:w="135"/>
        <w:gridCol w:w="599"/>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divId w:val="1396002201"/>
        </w:trPr>
        <w:tc>
          <w:tcPr>
            <w:tcW w:w="50" w:type="pct"/>
            <w:vAlign w:val="center"/>
            <w:hideMark/>
          </w:tcPr>
          <w:p w:rsidR="00000000" w:rsidRDefault="00775A8F">
            <w:pPr>
              <w:rPr>
                <w:rFonts w:eastAsia="Times New Roman"/>
              </w:rPr>
            </w:pPr>
          </w:p>
        </w:tc>
        <w:tc>
          <w:tcPr>
            <w:tcW w:w="22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3"/>
          <w:divId w:val="1396002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GMD</w:t>
            </w:r>
            <w:r>
              <w:rPr>
                <w:rFonts w:eastAsia="Times New Roman"/>
                <w:b/>
                <w:bCs/>
                <w:color w:val="000000"/>
                <w:sz w:val="16"/>
                <w:szCs w:val="16"/>
              </w:rPr>
              <w:t>B</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GMI</w:t>
            </w:r>
            <w:r>
              <w:rPr>
                <w:rFonts w:eastAsia="Times New Roman"/>
                <w:b/>
                <w:bCs/>
                <w:color w:val="000000"/>
                <w:sz w:val="16"/>
                <w:szCs w:val="16"/>
              </w:rPr>
              <w:t>B</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396002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Direc</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Assume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Cede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Direc</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Assume</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Cede</w:t>
            </w:r>
            <w:r>
              <w:rPr>
                <w:rFonts w:eastAsia="Times New Roman"/>
                <w:b/>
                <w:bCs/>
                <w:color w:val="000000"/>
                <w:sz w:val="16"/>
                <w:szCs w:val="16"/>
              </w:rPr>
              <w:t>d</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at January 1, 202</w:t>
            </w:r>
            <w:r>
              <w:rPr>
                <w:rFonts w:eastAsia="Times New Roman"/>
                <w:b/>
                <w:bCs/>
                <w:color w:val="000000"/>
                <w:sz w:val="20"/>
                <w:szCs w:val="20"/>
              </w:rPr>
              <w:t>0</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4,784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4,691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(2,139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Paid guarantee benefit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changes in reserv</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1,639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(829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at June 30, 202</w:t>
            </w:r>
            <w:r>
              <w:rPr>
                <w:rFonts w:eastAsia="Times New Roman"/>
                <w:b/>
                <w:bCs/>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5,015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6,153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at January 1,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Paid guarantee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changes in reserv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9600220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at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(1,896</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2068842802"/>
        <w:rPr>
          <w:rFonts w:eastAsia="Times New Roman"/>
        </w:rPr>
      </w:pPr>
    </w:p>
    <w:p w:rsidR="00000000" w:rsidRDefault="00775A8F">
      <w:pPr>
        <w:jc w:val="both"/>
        <w:divId w:val="1210727437"/>
        <w:rPr>
          <w:rFonts w:eastAsia="Times New Roman"/>
        </w:rPr>
      </w:pPr>
      <w:r>
        <w:rPr>
          <w:rFonts w:eastAsia="Times New Roman"/>
          <w:b/>
          <w:bCs/>
          <w:i/>
          <w:iCs/>
          <w:color w:val="000000"/>
          <w:sz w:val="20"/>
          <w:szCs w:val="20"/>
        </w:rPr>
        <w:t>Liabilities for Embedded and Freestanding Insurance Related Derivative</w:t>
      </w:r>
      <w:r>
        <w:rPr>
          <w:rFonts w:eastAsia="Times New Roman"/>
          <w:b/>
          <w:bCs/>
          <w:i/>
          <w:iCs/>
          <w:color w:val="000000"/>
          <w:sz w:val="20"/>
          <w:szCs w:val="20"/>
        </w:rPr>
        <w:t>s</w:t>
      </w:r>
    </w:p>
    <w:p w:rsidR="00000000" w:rsidRDefault="00775A8F">
      <w:pPr>
        <w:divId w:val="1215509268"/>
        <w:rPr>
          <w:rFonts w:eastAsia="Times New Roman"/>
        </w:rPr>
      </w:pPr>
      <w:r>
        <w:rPr>
          <w:rFonts w:eastAsia="Times New Roman"/>
          <w:color w:val="000000"/>
          <w:sz w:val="20"/>
          <w:szCs w:val="20"/>
        </w:rPr>
        <w:t>The liability for the GMxB derivative features</w:t>
      </w:r>
      <w:r>
        <w:rPr>
          <w:rFonts w:eastAsia="Times New Roman"/>
          <w:color w:val="000000"/>
          <w:sz w:val="20"/>
          <w:szCs w:val="20"/>
        </w:rPr>
        <w:t>, the liability for SCS, SIO, MSO and IUL indexed features and the asset and liability for the GMIB reinsurance contracts are considered embedded or freestanding insurance derivatives and are reported at fair value. For the fair value of the assets and lia</w:t>
      </w:r>
      <w:r>
        <w:rPr>
          <w:rFonts w:eastAsia="Times New Roman"/>
          <w:color w:val="000000"/>
          <w:sz w:val="20"/>
          <w:szCs w:val="20"/>
        </w:rPr>
        <w:t>bilities associated with these embedded or freestanding insurance derivatives, see Note 8</w:t>
      </w:r>
      <w:r>
        <w:rPr>
          <w:rFonts w:eastAsia="Times New Roman"/>
          <w:color w:val="000000"/>
          <w:sz w:val="20"/>
          <w:szCs w:val="20"/>
        </w:rPr>
        <w:t>.</w:t>
      </w:r>
    </w:p>
    <w:p w:rsidR="00000000" w:rsidRDefault="00775A8F">
      <w:pPr>
        <w:jc w:val="both"/>
        <w:divId w:val="270208469"/>
        <w:rPr>
          <w:rFonts w:eastAsia="Times New Roman"/>
        </w:rPr>
      </w:pPr>
      <w:r>
        <w:rPr>
          <w:rFonts w:eastAsia="Times New Roman"/>
          <w:b/>
          <w:bCs/>
          <w:i/>
          <w:iCs/>
          <w:color w:val="000000"/>
          <w:sz w:val="20"/>
          <w:szCs w:val="20"/>
        </w:rPr>
        <w:t>Account Values and Net Amount at Ris</w:t>
      </w:r>
      <w:r>
        <w:rPr>
          <w:rFonts w:eastAsia="Times New Roman"/>
          <w:b/>
          <w:bCs/>
          <w:i/>
          <w:iCs/>
          <w:color w:val="000000"/>
          <w:sz w:val="20"/>
          <w:szCs w:val="20"/>
        </w:rPr>
        <w:t>k</w:t>
      </w:r>
    </w:p>
    <w:p w:rsidR="00000000" w:rsidRDefault="00775A8F">
      <w:pPr>
        <w:divId w:val="784035924"/>
        <w:rPr>
          <w:rFonts w:eastAsia="Times New Roman"/>
        </w:rPr>
      </w:pPr>
      <w:r>
        <w:rPr>
          <w:rFonts w:eastAsia="Times New Roman"/>
          <w:color w:val="000000"/>
          <w:sz w:val="20"/>
          <w:szCs w:val="20"/>
        </w:rPr>
        <w:t>Account Values and Net Amount at Risk (“NAR”) for direct and assumed variable annuity contracts in force with GMDB and GMIB fea</w:t>
      </w:r>
      <w:r>
        <w:rPr>
          <w:rFonts w:eastAsia="Times New Roman"/>
          <w:color w:val="000000"/>
          <w:sz w:val="20"/>
          <w:szCs w:val="20"/>
        </w:rPr>
        <w:t>tures as of June 30, 2020 are presented in the following tables by guarantee type. For contracts with the GMDB feature, the NAR in the event of death is the amount by which the GMDB feature exceeds the related Account Values. For contracts with the GMIB fe</w:t>
      </w:r>
      <w:r>
        <w:rPr>
          <w:rFonts w:eastAsia="Times New Roman"/>
          <w:color w:val="000000"/>
          <w:sz w:val="20"/>
          <w:szCs w:val="20"/>
        </w:rPr>
        <w:t>ature, the NAR in the event of annuitization is the amount by which the present value of the GMIB benefits exceed the related Account Values, taking into account the relationship between current annuity purchase rates and the GMIB guaranteed annuity purcha</w:t>
      </w:r>
      <w:r>
        <w:rPr>
          <w:rFonts w:eastAsia="Times New Roman"/>
          <w:color w:val="000000"/>
          <w:sz w:val="20"/>
          <w:szCs w:val="20"/>
        </w:rPr>
        <w:t>se rates. Since variable annuity contracts with GMDB features may also offer GMIB guarantees in the same contract, the GMDB and GMIB amounts listed are not mutually exclusive</w:t>
      </w:r>
      <w:r>
        <w:rPr>
          <w:rFonts w:eastAsia="Times New Roman"/>
          <w:color w:val="000000"/>
          <w:sz w:val="20"/>
          <w:szCs w:val="20"/>
        </w:rPr>
        <w:t>.</w:t>
      </w:r>
    </w:p>
    <w:p w:rsidR="00000000" w:rsidRDefault="00775A8F">
      <w:pPr>
        <w:divId w:val="1702893917"/>
        <w:rPr>
          <w:rFonts w:eastAsia="Times New Roman"/>
        </w:rPr>
      </w:pPr>
    </w:p>
    <w:p w:rsidR="00000000" w:rsidRDefault="00775A8F">
      <w:pPr>
        <w:jc w:val="center"/>
        <w:divId w:val="469515359"/>
        <w:rPr>
          <w:rFonts w:eastAsia="Times New Roman"/>
        </w:rPr>
      </w:pPr>
      <w:r>
        <w:rPr>
          <w:rFonts w:eastAsia="Times New Roman"/>
          <w:color w:val="000000"/>
          <w:sz w:val="20"/>
          <w:szCs w:val="20"/>
        </w:rPr>
        <w:t>3</w:t>
      </w:r>
      <w:r>
        <w:rPr>
          <w:rFonts w:eastAsia="Times New Roman"/>
          <w:color w:val="000000"/>
          <w:sz w:val="20"/>
          <w:szCs w:val="20"/>
        </w:rPr>
        <w:t>6</w:t>
      </w:r>
    </w:p>
    <w:p w:rsidR="00000000" w:rsidRDefault="00775A8F">
      <w:pPr>
        <w:rPr>
          <w:rFonts w:eastAsia="Times New Roman"/>
        </w:rPr>
      </w:pPr>
      <w:r>
        <w:rPr>
          <w:rFonts w:eastAsia="Times New Roman"/>
        </w:rPr>
        <w:pict>
          <v:rect id="_x0000_i1062" style="width:0;height:1.5pt" o:hralign="center" o:hrstd="t" o:hr="t" fillcolor="#a0a0a0" stroked="f"/>
        </w:pict>
      </w:r>
    </w:p>
    <w:p w:rsidR="00000000" w:rsidRDefault="00775A8F">
      <w:pPr>
        <w:jc w:val="center"/>
        <w:divId w:val="1893734335"/>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893734335"/>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 (Unaudited), Continue</w:t>
      </w:r>
      <w:r>
        <w:rPr>
          <w:rFonts w:eastAsia="Times New Roman"/>
          <w:b/>
          <w:bCs/>
          <w:color w:val="000000"/>
          <w:sz w:val="20"/>
          <w:szCs w:val="20"/>
        </w:rPr>
        <w:t>d</w:t>
      </w:r>
    </w:p>
    <w:p w:rsidR="00000000" w:rsidRDefault="00775A8F">
      <w:pPr>
        <w:divId w:val="301229156"/>
        <w:rPr>
          <w:rFonts w:eastAsia="Times New Roman"/>
        </w:rPr>
      </w:pPr>
    </w:p>
    <w:p w:rsidR="00000000" w:rsidRDefault="00775A8F">
      <w:pPr>
        <w:jc w:val="center"/>
        <w:rPr>
          <w:rFonts w:eastAsia="Times New Roman"/>
        </w:rPr>
      </w:pPr>
      <w:r>
        <w:rPr>
          <w:rFonts w:eastAsia="Times New Roman"/>
          <w:b/>
          <w:bCs/>
          <w:color w:val="000000"/>
          <w:sz w:val="20"/>
          <w:szCs w:val="20"/>
        </w:rPr>
        <w:t>Direct Variable Annuity Contracts with GMDB and GMIB Feature</w:t>
      </w:r>
      <w:r>
        <w:rPr>
          <w:rFonts w:eastAsia="Times New Roman"/>
          <w:b/>
          <w:bCs/>
          <w:color w:val="000000"/>
          <w:sz w:val="20"/>
          <w:szCs w:val="20"/>
        </w:rPr>
        <w:t>s</w:t>
      </w:r>
    </w:p>
    <w:p w:rsidR="00000000" w:rsidRDefault="00775A8F">
      <w:pPr>
        <w:jc w:val="center"/>
        <w:rPr>
          <w:rFonts w:eastAsia="Times New Roman"/>
        </w:rPr>
      </w:pPr>
      <w:r>
        <w:rPr>
          <w:rFonts w:eastAsia="Times New Roman"/>
          <w:b/>
          <w:bCs/>
          <w:color w:val="000000"/>
          <w:sz w:val="20"/>
          <w:szCs w:val="20"/>
        </w:rPr>
        <w:t>at June 30, 202</w:t>
      </w:r>
      <w:r>
        <w:rPr>
          <w:rFonts w:eastAsia="Times New Roman"/>
          <w:b/>
          <w:bCs/>
          <w:color w:val="000000"/>
          <w:sz w:val="20"/>
          <w:szCs w:val="20"/>
        </w:rPr>
        <w:t>0</w:t>
      </w:r>
    </w:p>
    <w:tbl>
      <w:tblPr>
        <w:tblW w:w="4641" w:type="pct"/>
        <w:tblCellMar>
          <w:top w:w="15" w:type="dxa"/>
          <w:left w:w="15" w:type="dxa"/>
          <w:bottom w:w="15" w:type="dxa"/>
          <w:right w:w="15" w:type="dxa"/>
        </w:tblCellMar>
        <w:tblLook w:val="04A0" w:firstRow="1" w:lastRow="0" w:firstColumn="1" w:lastColumn="0" w:noHBand="0" w:noVBand="1"/>
      </w:tblPr>
      <w:tblGrid>
        <w:gridCol w:w="53"/>
        <w:gridCol w:w="2196"/>
        <w:gridCol w:w="53"/>
        <w:gridCol w:w="135"/>
        <w:gridCol w:w="615"/>
        <w:gridCol w:w="235"/>
        <w:gridCol w:w="36"/>
        <w:gridCol w:w="36"/>
        <w:gridCol w:w="36"/>
        <w:gridCol w:w="135"/>
        <w:gridCol w:w="515"/>
        <w:gridCol w:w="235"/>
        <w:gridCol w:w="36"/>
        <w:gridCol w:w="36"/>
        <w:gridCol w:w="36"/>
        <w:gridCol w:w="135"/>
        <w:gridCol w:w="615"/>
        <w:gridCol w:w="235"/>
        <w:gridCol w:w="36"/>
        <w:gridCol w:w="36"/>
        <w:gridCol w:w="36"/>
        <w:gridCol w:w="135"/>
        <w:gridCol w:w="615"/>
        <w:gridCol w:w="235"/>
        <w:gridCol w:w="36"/>
        <w:gridCol w:w="36"/>
        <w:gridCol w:w="36"/>
        <w:gridCol w:w="135"/>
        <w:gridCol w:w="715"/>
        <w:gridCol w:w="23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037998523"/>
        </w:trPr>
        <w:tc>
          <w:tcPr>
            <w:tcW w:w="50" w:type="pct"/>
            <w:vAlign w:val="center"/>
            <w:hideMark/>
          </w:tcPr>
          <w:p w:rsidR="00000000" w:rsidRDefault="00775A8F">
            <w:pPr>
              <w:jc w:val="center"/>
              <w:rPr>
                <w:rFonts w:eastAsia="Times New Roman"/>
              </w:rPr>
            </w:pPr>
          </w:p>
        </w:tc>
        <w:tc>
          <w:tcPr>
            <w:tcW w:w="207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203799852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Guarantee Typ</w:t>
            </w:r>
            <w:r>
              <w:rPr>
                <w:rFonts w:eastAsia="Times New Roman"/>
                <w:b/>
                <w:bCs/>
                <w:color w:val="000000"/>
                <w:sz w:val="16"/>
                <w:szCs w:val="16"/>
              </w:rPr>
              <w:t>e</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03799852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Return of Premiu</w:t>
            </w:r>
            <w:r>
              <w:rPr>
                <w:rFonts w:eastAsia="Times New Roman"/>
                <w:b/>
                <w:bCs/>
                <w:color w:val="000000"/>
                <w:sz w:val="16"/>
                <w:szCs w:val="16"/>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Ratche</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Roll-U</w:t>
            </w:r>
            <w:r>
              <w:rPr>
                <w:rFonts w:eastAsia="Times New Roman"/>
                <w:b/>
                <w:bCs/>
                <w:color w:val="000000"/>
                <w:sz w:val="16"/>
                <w:szCs w:val="16"/>
              </w:rPr>
              <w:t>p</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Comb</w:t>
            </w:r>
            <w:r>
              <w:rPr>
                <w:rFonts w:eastAsia="Times New Roman"/>
                <w:b/>
                <w:bCs/>
                <w:color w:val="000000"/>
                <w:sz w:val="16"/>
                <w:szCs w:val="16"/>
              </w:rPr>
              <w:t>o</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 except age and interest rate</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u w:val="single"/>
              </w:rPr>
              <w:t>Variable annuity contracts with GMDB feature</w:t>
            </w:r>
            <w:r>
              <w:rPr>
                <w:rFonts w:eastAsia="Times New Roman"/>
                <w:color w:val="000000"/>
                <w:sz w:val="20"/>
                <w:szCs w:val="20"/>
                <w:u w:val="single"/>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Account Values invested in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General Accoun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14,904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15,225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Separate Account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46,313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30,252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88,055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Total Account Value</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61,217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8,666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2,971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30,426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103,280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Amount at Risk, gros</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20,398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22,762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Amount at Risk, net of amounts reinsure</w:t>
            </w:r>
            <w:r>
              <w:rPr>
                <w:rFonts w:eastAsia="Times New Roman"/>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167</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201</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1,414</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20,398</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22,180</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Average attained age of policyholders (in years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Percentage of policyholders over age 7</w:t>
            </w:r>
            <w:r>
              <w:rPr>
                <w:rFonts w:eastAsia="Times New Roman"/>
                <w:color w:val="000000"/>
                <w:sz w:val="20"/>
                <w:szCs w:val="20"/>
              </w:rPr>
              <w:t>0</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Range of contractually specified interest rate</w:t>
            </w:r>
            <w:r>
              <w:rPr>
                <w:rFonts w:eastAsia="Times New Roman"/>
                <w:color w:val="000000"/>
                <w:sz w:val="20"/>
                <w:szCs w:val="20"/>
              </w:rPr>
              <w:t>s</w:t>
            </w: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 - 6</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 - 6.5</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 - 6.5</w:t>
            </w: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u w:val="single"/>
              </w:rPr>
              <w:t>Variable annuity contracts with GMIB feature</w:t>
            </w:r>
            <w:r>
              <w:rPr>
                <w:rFonts w:eastAsia="Times New Roman"/>
                <w:color w:val="000000"/>
                <w:sz w:val="20"/>
                <w:szCs w:val="20"/>
                <w:u w:val="single"/>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Account Values invested in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General Accoun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Separate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22,463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32,329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54,792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Total Account Value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22,481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32,552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55,033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Amount at Risk, gros</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15,384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16,573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Amount at Risk, net of amounts reinsure</w:t>
            </w:r>
            <w:r>
              <w:rPr>
                <w:rFonts w:eastAsia="Times New Roman"/>
                <w:color w:val="000000"/>
                <w:sz w:val="20"/>
                <w:szCs w:val="20"/>
              </w:rPr>
              <w:t>d</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376</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13,872</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14,248</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Average attained age of policyholders (in years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63.8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Weighted average years remaining until annuitizatio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379985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Range of contractually specified interest rate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 - 6</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 - 6.5</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 - 6.5</w:t>
            </w: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753281670"/>
        <w:rPr>
          <w:rFonts w:eastAsia="Times New Roman"/>
        </w:rPr>
      </w:pPr>
    </w:p>
    <w:p w:rsidR="00000000" w:rsidRDefault="00775A8F">
      <w:pPr>
        <w:jc w:val="center"/>
        <w:rPr>
          <w:rFonts w:eastAsia="Times New Roman"/>
        </w:rPr>
      </w:pPr>
      <w:r>
        <w:rPr>
          <w:rFonts w:eastAsia="Times New Roman"/>
          <w:b/>
          <w:bCs/>
          <w:color w:val="000000"/>
          <w:sz w:val="20"/>
          <w:szCs w:val="20"/>
        </w:rPr>
        <w:t>Assumed Variable Annuity Contracts with GMDB and GMIB Feature</w:t>
      </w:r>
      <w:r>
        <w:rPr>
          <w:rFonts w:eastAsia="Times New Roman"/>
          <w:b/>
          <w:bCs/>
          <w:color w:val="000000"/>
          <w:sz w:val="20"/>
          <w:szCs w:val="20"/>
        </w:rPr>
        <w:t>s</w:t>
      </w:r>
    </w:p>
    <w:p w:rsidR="00000000" w:rsidRDefault="00775A8F">
      <w:pPr>
        <w:jc w:val="center"/>
        <w:rPr>
          <w:rFonts w:eastAsia="Times New Roman"/>
        </w:rPr>
      </w:pPr>
      <w:r>
        <w:rPr>
          <w:rFonts w:eastAsia="Times New Roman"/>
          <w:b/>
          <w:bCs/>
          <w:color w:val="000000"/>
          <w:sz w:val="20"/>
          <w:szCs w:val="20"/>
        </w:rPr>
        <w:t>at June 30, 202</w:t>
      </w:r>
      <w:r>
        <w:rPr>
          <w:rFonts w:eastAsia="Times New Roman"/>
          <w:b/>
          <w:bCs/>
          <w:color w:val="000000"/>
          <w:sz w:val="20"/>
          <w:szCs w:val="20"/>
        </w:rPr>
        <w:t>0</w:t>
      </w:r>
    </w:p>
    <w:tbl>
      <w:tblPr>
        <w:tblW w:w="4627" w:type="pct"/>
        <w:tblCellMar>
          <w:top w:w="15" w:type="dxa"/>
          <w:left w:w="15" w:type="dxa"/>
          <w:bottom w:w="15" w:type="dxa"/>
          <w:right w:w="15" w:type="dxa"/>
        </w:tblCellMar>
        <w:tblLook w:val="04A0" w:firstRow="1" w:lastRow="0" w:firstColumn="1" w:lastColumn="0" w:noHBand="0" w:noVBand="1"/>
      </w:tblPr>
      <w:tblGrid>
        <w:gridCol w:w="39"/>
        <w:gridCol w:w="2188"/>
        <w:gridCol w:w="38"/>
        <w:gridCol w:w="135"/>
        <w:gridCol w:w="365"/>
        <w:gridCol w:w="235"/>
        <w:gridCol w:w="36"/>
        <w:gridCol w:w="36"/>
        <w:gridCol w:w="36"/>
        <w:gridCol w:w="135"/>
        <w:gridCol w:w="515"/>
        <w:gridCol w:w="235"/>
        <w:gridCol w:w="36"/>
        <w:gridCol w:w="36"/>
        <w:gridCol w:w="36"/>
        <w:gridCol w:w="135"/>
        <w:gridCol w:w="365"/>
        <w:gridCol w:w="235"/>
        <w:gridCol w:w="36"/>
        <w:gridCol w:w="36"/>
        <w:gridCol w:w="36"/>
        <w:gridCol w:w="135"/>
        <w:gridCol w:w="515"/>
        <w:gridCol w:w="235"/>
        <w:gridCol w:w="36"/>
        <w:gridCol w:w="36"/>
        <w:gridCol w:w="36"/>
        <w:gridCol w:w="135"/>
        <w:gridCol w:w="515"/>
        <w:gridCol w:w="23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419255694"/>
        </w:trPr>
        <w:tc>
          <w:tcPr>
            <w:tcW w:w="50" w:type="pct"/>
            <w:vAlign w:val="center"/>
            <w:hideMark/>
          </w:tcPr>
          <w:p w:rsidR="00000000" w:rsidRDefault="00775A8F">
            <w:pPr>
              <w:jc w:val="center"/>
              <w:rPr>
                <w:rFonts w:eastAsia="Times New Roman"/>
              </w:rPr>
            </w:pPr>
          </w:p>
        </w:tc>
        <w:tc>
          <w:tcPr>
            <w:tcW w:w="20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41925569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Guarantee Typ</w:t>
            </w:r>
            <w:r>
              <w:rPr>
                <w:rFonts w:eastAsia="Times New Roman"/>
                <w:b/>
                <w:bCs/>
                <w:color w:val="000000"/>
                <w:sz w:val="16"/>
                <w:szCs w:val="16"/>
              </w:rPr>
              <w:t>e</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41925569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Return of Premiu</w:t>
            </w:r>
            <w:r>
              <w:rPr>
                <w:rFonts w:eastAsia="Times New Roman"/>
                <w:b/>
                <w:bCs/>
                <w:color w:val="000000"/>
                <w:sz w:val="16"/>
                <w:szCs w:val="16"/>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Ratche</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Roll-U</w:t>
            </w:r>
            <w:r>
              <w:rPr>
                <w:rFonts w:eastAsia="Times New Roman"/>
                <w:b/>
                <w:bCs/>
                <w:color w:val="000000"/>
                <w:sz w:val="16"/>
                <w:szCs w:val="16"/>
              </w:rPr>
              <w:t>p</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Comb</w:t>
            </w:r>
            <w:r>
              <w:rPr>
                <w:rFonts w:eastAsia="Times New Roman"/>
                <w:b/>
                <w:bCs/>
                <w:color w:val="000000"/>
                <w:sz w:val="16"/>
                <w:szCs w:val="16"/>
              </w:rPr>
              <w:t>o</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 except age and interest rates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4192556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u w:val="single"/>
              </w:rPr>
              <w:t>Variable annuity contracts with GMDB feature</w:t>
            </w:r>
            <w:r>
              <w:rPr>
                <w:rFonts w:eastAsia="Times New Roman"/>
                <w:color w:val="000000"/>
                <w:sz w:val="20"/>
                <w:szCs w:val="20"/>
                <w:u w:val="single"/>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Reinsured Account Value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4,761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Amount at Risk assume</w:t>
            </w:r>
            <w:r>
              <w:rPr>
                <w:rFonts w:eastAsia="Times New Roman"/>
                <w:color w:val="000000"/>
                <w:sz w:val="20"/>
                <w:szCs w:val="20"/>
              </w:rPr>
              <w:t>d</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281</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472</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Average attained age of policyholders (in years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Percentage of policyholders over age 7</w:t>
            </w:r>
            <w:r>
              <w:rPr>
                <w:rFonts w:eastAsia="Times New Roman"/>
                <w:color w:val="000000"/>
                <w:sz w:val="20"/>
                <w:szCs w:val="20"/>
              </w:rPr>
              <w:t>0</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192556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Rang</w:t>
            </w:r>
            <w:r>
              <w:rPr>
                <w:rFonts w:eastAsia="Times New Roman"/>
                <w:color w:val="000000"/>
                <w:sz w:val="20"/>
                <w:szCs w:val="20"/>
              </w:rPr>
              <w:t>e of contractually specified interest rates (1</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N/</w:t>
            </w:r>
            <w:r>
              <w:rPr>
                <w:rFonts w:eastAsia="Times New Roman"/>
                <w:b/>
                <w:bCs/>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3%-10</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5%-10</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3%-10</w:t>
            </w: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941766423"/>
        <w:rPr>
          <w:rFonts w:eastAsia="Times New Roman"/>
        </w:rPr>
      </w:pPr>
      <w:r>
        <w:rPr>
          <w:rFonts w:eastAsia="Times New Roman"/>
          <w:color w:val="000000"/>
          <w:sz w:val="20"/>
          <w:szCs w:val="20"/>
        </w:rPr>
        <w:t>3</w:t>
      </w:r>
      <w:r>
        <w:rPr>
          <w:rFonts w:eastAsia="Times New Roman"/>
          <w:color w:val="000000"/>
          <w:sz w:val="20"/>
          <w:szCs w:val="20"/>
        </w:rPr>
        <w:t>7</w:t>
      </w:r>
    </w:p>
    <w:p w:rsidR="00000000" w:rsidRDefault="00775A8F">
      <w:pPr>
        <w:rPr>
          <w:rFonts w:eastAsia="Times New Roman"/>
        </w:rPr>
      </w:pPr>
      <w:r>
        <w:rPr>
          <w:rFonts w:eastAsia="Times New Roman"/>
        </w:rPr>
        <w:pict>
          <v:rect id="_x0000_i1063" style="width:0;height:1.5pt" o:hralign="center" o:hrstd="t" o:hr="t" fillcolor="#a0a0a0" stroked="f"/>
        </w:pict>
      </w:r>
    </w:p>
    <w:p w:rsidR="00000000" w:rsidRDefault="00775A8F">
      <w:pPr>
        <w:jc w:val="center"/>
        <w:divId w:val="1185754638"/>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185754638"/>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27" w:type="pct"/>
        <w:tblCellMar>
          <w:top w:w="15" w:type="dxa"/>
          <w:left w:w="15" w:type="dxa"/>
          <w:bottom w:w="15" w:type="dxa"/>
          <w:right w:w="15" w:type="dxa"/>
        </w:tblCellMar>
        <w:tblLook w:val="04A0" w:firstRow="1" w:lastRow="0" w:firstColumn="1" w:lastColumn="0" w:noHBand="0" w:noVBand="1"/>
      </w:tblPr>
      <w:tblGrid>
        <w:gridCol w:w="39"/>
        <w:gridCol w:w="2331"/>
        <w:gridCol w:w="38"/>
        <w:gridCol w:w="135"/>
        <w:gridCol w:w="365"/>
        <w:gridCol w:w="235"/>
        <w:gridCol w:w="36"/>
        <w:gridCol w:w="36"/>
        <w:gridCol w:w="36"/>
        <w:gridCol w:w="136"/>
        <w:gridCol w:w="371"/>
        <w:gridCol w:w="235"/>
        <w:gridCol w:w="36"/>
        <w:gridCol w:w="36"/>
        <w:gridCol w:w="36"/>
        <w:gridCol w:w="135"/>
        <w:gridCol w:w="365"/>
        <w:gridCol w:w="235"/>
        <w:gridCol w:w="36"/>
        <w:gridCol w:w="36"/>
        <w:gridCol w:w="36"/>
        <w:gridCol w:w="135"/>
        <w:gridCol w:w="515"/>
        <w:gridCol w:w="235"/>
        <w:gridCol w:w="36"/>
        <w:gridCol w:w="36"/>
        <w:gridCol w:w="36"/>
        <w:gridCol w:w="135"/>
        <w:gridCol w:w="515"/>
        <w:gridCol w:w="23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438986691"/>
        </w:trPr>
        <w:tc>
          <w:tcPr>
            <w:tcW w:w="50" w:type="pct"/>
            <w:vAlign w:val="center"/>
            <w:hideMark/>
          </w:tcPr>
          <w:p w:rsidR="00000000" w:rsidRDefault="00775A8F">
            <w:pPr>
              <w:jc w:val="center"/>
              <w:rPr>
                <w:rFonts w:eastAsia="Times New Roman"/>
              </w:rPr>
            </w:pPr>
          </w:p>
        </w:tc>
        <w:tc>
          <w:tcPr>
            <w:tcW w:w="20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4389866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Guarantee Typ</w:t>
            </w:r>
            <w:r>
              <w:rPr>
                <w:rFonts w:eastAsia="Times New Roman"/>
                <w:b/>
                <w:bCs/>
                <w:color w:val="000000"/>
                <w:sz w:val="16"/>
                <w:szCs w:val="16"/>
              </w:rPr>
              <w:t>e</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4389866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Return of Premiu</w:t>
            </w:r>
            <w:r>
              <w:rPr>
                <w:rFonts w:eastAsia="Times New Roman"/>
                <w:b/>
                <w:bCs/>
                <w:color w:val="000000"/>
                <w:sz w:val="16"/>
                <w:szCs w:val="16"/>
              </w:rPr>
              <w:t>m</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Ratche</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Roll-U</w:t>
            </w:r>
            <w:r>
              <w:rPr>
                <w:rFonts w:eastAsia="Times New Roman"/>
                <w:b/>
                <w:bCs/>
                <w:color w:val="000000"/>
                <w:sz w:val="16"/>
                <w:szCs w:val="16"/>
              </w:rPr>
              <w:t>p</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Comb</w:t>
            </w:r>
            <w:r>
              <w:rPr>
                <w:rFonts w:eastAsia="Times New Roman"/>
                <w:b/>
                <w:bCs/>
                <w:color w:val="000000"/>
                <w:sz w:val="16"/>
                <w:szCs w:val="16"/>
              </w:rPr>
              <w:t>o</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 except age and interest rates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438986691"/>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u w:val="single"/>
              </w:rPr>
              <w:t>Variable annuity contracts with GMIB feature</w:t>
            </w:r>
            <w:r>
              <w:rPr>
                <w:rFonts w:eastAsia="Times New Roman"/>
                <w:color w:val="000000"/>
                <w:sz w:val="20"/>
                <w:szCs w:val="20"/>
                <w:u w:val="single"/>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Reinsured Account Value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Amount at Risk assume</w:t>
            </w:r>
            <w:r>
              <w:rPr>
                <w:rFonts w:eastAsia="Times New Roman"/>
                <w:color w:val="000000"/>
                <w:sz w:val="20"/>
                <w:szCs w:val="20"/>
              </w:rPr>
              <w:t>d</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336</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369</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Average attained age of policyholders (in years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Percentage of policyholders over age 7</w:t>
            </w:r>
            <w:r>
              <w:rPr>
                <w:rFonts w:eastAsia="Times New Roman"/>
                <w:color w:val="000000"/>
                <w:sz w:val="20"/>
                <w:szCs w:val="20"/>
              </w:rPr>
              <w:t>0</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389866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Range of contractually specified interest rate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N/A</w:t>
            </w:r>
            <w:r>
              <w:rPr>
                <w:rFonts w:eastAsia="Times New Roman"/>
                <w:b/>
                <w:bCs/>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N/A</w:t>
            </w:r>
            <w:r>
              <w:rPr>
                <w:rFonts w:eastAsia="Times New Roman"/>
                <w:b/>
                <w:bCs/>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3.3%-6.5</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6%-6</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3.3%-6.5</w:t>
            </w: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483856028"/>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232786874"/>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 general, for policies with the highest contractual interest rate shown (10%), the rate applied only for the first 10 years after issue, which has now elapsed</w:t>
      </w:r>
      <w:r>
        <w:rPr>
          <w:rFonts w:eastAsia="Times New Roman"/>
          <w:color w:val="000000"/>
          <w:sz w:val="18"/>
          <w:szCs w:val="18"/>
        </w:rPr>
        <w:t>.</w:t>
      </w:r>
    </w:p>
    <w:p w:rsidR="00000000" w:rsidRDefault="00775A8F">
      <w:pPr>
        <w:divId w:val="1956789669"/>
        <w:rPr>
          <w:rFonts w:eastAsia="Times New Roman"/>
        </w:rPr>
      </w:pPr>
      <w:r>
        <w:rPr>
          <w:rFonts w:eastAsia="Times New Roman"/>
          <w:color w:val="000000"/>
          <w:sz w:val="20"/>
          <w:szCs w:val="20"/>
        </w:rPr>
        <w:t>For more information about the reinsurance programs of the Company’s GMDB and GMIB exposure, s</w:t>
      </w:r>
      <w:r>
        <w:rPr>
          <w:rFonts w:eastAsia="Times New Roman"/>
          <w:color w:val="000000"/>
          <w:sz w:val="20"/>
          <w:szCs w:val="20"/>
        </w:rPr>
        <w:t>ee “Reinsurance” in Note 11 to the Company’s consolidated financial statements included in the Annual Report on Form 10-K for the year ended December 31, 2019</w:t>
      </w:r>
      <w:r>
        <w:rPr>
          <w:rFonts w:eastAsia="Times New Roman"/>
          <w:color w:val="000000"/>
          <w:sz w:val="20"/>
          <w:szCs w:val="20"/>
        </w:rPr>
        <w:t>.</w:t>
      </w:r>
    </w:p>
    <w:p w:rsidR="00000000" w:rsidRDefault="00775A8F">
      <w:pPr>
        <w:divId w:val="2001736890"/>
        <w:rPr>
          <w:rFonts w:eastAsia="Times New Roman"/>
        </w:rPr>
      </w:pPr>
      <w:r>
        <w:rPr>
          <w:rFonts w:eastAsia="Times New Roman"/>
          <w:color w:val="000000"/>
          <w:sz w:val="20"/>
          <w:szCs w:val="20"/>
          <w:u w:val="single"/>
        </w:rPr>
        <w:t xml:space="preserve">Separate Accounts Investments by Investment Category Underlying Variable Annuity Contracts with </w:t>
      </w:r>
      <w:r>
        <w:rPr>
          <w:rFonts w:eastAsia="Times New Roman"/>
          <w:color w:val="000000"/>
          <w:sz w:val="20"/>
          <w:szCs w:val="20"/>
          <w:u w:val="single"/>
        </w:rPr>
        <w:t>GMDB and GMIB Feature</w:t>
      </w:r>
      <w:r>
        <w:rPr>
          <w:rFonts w:eastAsia="Times New Roman"/>
          <w:color w:val="000000"/>
          <w:sz w:val="20"/>
          <w:szCs w:val="20"/>
          <w:u w:val="single"/>
        </w:rPr>
        <w:t>s</w:t>
      </w:r>
    </w:p>
    <w:p w:rsidR="00000000" w:rsidRDefault="00775A8F">
      <w:pPr>
        <w:divId w:val="640579024"/>
        <w:rPr>
          <w:rFonts w:eastAsia="Times New Roman"/>
        </w:rPr>
      </w:pPr>
      <w:r>
        <w:rPr>
          <w:rFonts w:eastAsia="Times New Roman"/>
          <w:color w:val="000000"/>
          <w:sz w:val="20"/>
          <w:szCs w:val="20"/>
        </w:rPr>
        <w:t>The total Account Values of variable annuity contracts with GMDB and GMIB features include amounts allocated to the guaranteed interest option, which is part of the General Account and variable investment options that invest through Separate Accounts in va</w:t>
      </w:r>
      <w:r>
        <w:rPr>
          <w:rFonts w:eastAsia="Times New Roman"/>
          <w:color w:val="000000"/>
          <w:sz w:val="20"/>
          <w:szCs w:val="20"/>
        </w:rPr>
        <w:t xml:space="preserve">riable insurance trusts. The following table presents the aggregate fair value of assets, by major investment category, held by Separate Accounts that support variable annuity contracts with GMDB and GMIB features. The investment performance of the assets </w:t>
      </w:r>
      <w:r>
        <w:rPr>
          <w:rFonts w:eastAsia="Times New Roman"/>
          <w:color w:val="000000"/>
          <w:sz w:val="20"/>
          <w:szCs w:val="20"/>
        </w:rPr>
        <w:t>impacts the related Account Values and, consequently, the NAR associated with the GMDB and GMIB benefits and guarantees. Because the Company’s variable annuity contracts offer both GMDB and GMIB features, GMDB and GMIB amounts are not mutually exclusive</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I</w:t>
      </w:r>
      <w:r>
        <w:rPr>
          <w:rFonts w:eastAsia="Times New Roman"/>
          <w:b/>
          <w:bCs/>
          <w:color w:val="000000"/>
          <w:sz w:val="20"/>
          <w:szCs w:val="20"/>
        </w:rPr>
        <w:t>nvestment in Variable Insurance Trust Mutual Fund</w:t>
      </w:r>
      <w:r>
        <w:rPr>
          <w:rFonts w:eastAsia="Times New Roman"/>
          <w:b/>
          <w:bCs/>
          <w:color w:val="000000"/>
          <w:sz w:val="20"/>
          <w:szCs w:val="20"/>
        </w:rPr>
        <w:t>s</w:t>
      </w:r>
    </w:p>
    <w:tbl>
      <w:tblPr>
        <w:tblW w:w="4649" w:type="pct"/>
        <w:tblCellMar>
          <w:top w:w="15" w:type="dxa"/>
          <w:left w:w="15" w:type="dxa"/>
          <w:bottom w:w="15" w:type="dxa"/>
          <w:right w:w="15" w:type="dxa"/>
        </w:tblCellMar>
        <w:tblLook w:val="04A0" w:firstRow="1" w:lastRow="0" w:firstColumn="1" w:lastColumn="0" w:noHBand="0" w:noVBand="1"/>
      </w:tblPr>
      <w:tblGrid>
        <w:gridCol w:w="40"/>
        <w:gridCol w:w="3332"/>
        <w:gridCol w:w="39"/>
        <w:gridCol w:w="135"/>
        <w:gridCol w:w="615"/>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393158594"/>
        </w:trPr>
        <w:tc>
          <w:tcPr>
            <w:tcW w:w="50" w:type="pct"/>
            <w:vAlign w:val="center"/>
            <w:hideMark/>
          </w:tcPr>
          <w:p w:rsidR="00000000" w:rsidRDefault="00775A8F">
            <w:pPr>
              <w:jc w:val="center"/>
              <w:rPr>
                <w:rFonts w:eastAsia="Times New Roman"/>
              </w:rPr>
            </w:pPr>
          </w:p>
        </w:tc>
        <w:tc>
          <w:tcPr>
            <w:tcW w:w="242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393158594"/>
        </w:trPr>
        <w:tc>
          <w:tcPr>
            <w:tcW w:w="0" w:type="auto"/>
            <w:gridSpan w:val="3"/>
            <w:tcMar>
              <w:top w:w="30" w:type="dxa"/>
              <w:left w:w="20" w:type="dxa"/>
              <w:bottom w:w="30" w:type="dxa"/>
              <w:right w:w="20" w:type="dxa"/>
            </w:tcMar>
            <w:vAlign w:val="bottom"/>
            <w:hideMark/>
          </w:tcPr>
          <w:p w:rsidR="00000000" w:rsidRDefault="00775A8F">
            <w:pPr>
              <w:divId w:val="1435439004"/>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393158594"/>
        </w:trPr>
        <w:tc>
          <w:tcPr>
            <w:tcW w:w="0" w:type="auto"/>
            <w:gridSpan w:val="3"/>
            <w:tcMar>
              <w:top w:w="30" w:type="dxa"/>
              <w:left w:w="20" w:type="dxa"/>
              <w:bottom w:w="30" w:type="dxa"/>
              <w:right w:w="20" w:type="dxa"/>
            </w:tcMar>
            <w:vAlign w:val="bottom"/>
            <w:hideMark/>
          </w:tcPr>
          <w:p w:rsidR="00000000" w:rsidRDefault="00775A8F">
            <w:pPr>
              <w:divId w:val="1772506803"/>
              <w:rPr>
                <w:rFonts w:eastAsia="Times New Roman"/>
              </w:rPr>
            </w:pPr>
            <w:r>
              <w:rPr>
                <w:rFonts w:eastAsia="Times New Roman"/>
                <w:b/>
                <w:bCs/>
                <w:color w:val="000000"/>
                <w:sz w:val="16"/>
                <w:szCs w:val="16"/>
              </w:rPr>
              <w:t>Mutual Fund Typ</w:t>
            </w:r>
            <w:r>
              <w:rPr>
                <w:rFonts w:eastAsia="Times New Roman"/>
                <w:b/>
                <w:bCs/>
                <w:color w:val="000000"/>
                <w:sz w:val="16"/>
                <w:szCs w:val="16"/>
              </w:rPr>
              <w: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GMD</w:t>
            </w:r>
            <w:r>
              <w:rPr>
                <w:rFonts w:eastAsia="Times New Roman"/>
                <w:b/>
                <w:bCs/>
                <w:color w:val="000000"/>
                <w:sz w:val="16"/>
                <w:szCs w:val="16"/>
              </w:rPr>
              <w:t>B</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GMI</w:t>
            </w:r>
            <w:r>
              <w:rPr>
                <w:rFonts w:eastAsia="Times New Roman"/>
                <w:b/>
                <w:bCs/>
                <w:color w:val="000000"/>
                <w:sz w:val="16"/>
                <w:szCs w:val="16"/>
              </w:rPr>
              <w:t>B</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GMD</w:t>
            </w:r>
            <w:r>
              <w:rPr>
                <w:rFonts w:eastAsia="Times New Roman"/>
                <w:color w:val="000000"/>
                <w:sz w:val="16"/>
                <w:szCs w:val="16"/>
              </w:rPr>
              <w:t>B</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GMI</w:t>
            </w:r>
            <w:r>
              <w:rPr>
                <w:rFonts w:eastAsia="Times New Roman"/>
                <w:color w:val="000000"/>
                <w:sz w:val="16"/>
                <w:szCs w:val="16"/>
              </w:rPr>
              <w:t>B</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93158594"/>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divId w:val="1445005342"/>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393158594"/>
        </w:trPr>
        <w:tc>
          <w:tcPr>
            <w:tcW w:w="0" w:type="auto"/>
            <w:gridSpan w:val="3"/>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Equit</w:t>
            </w:r>
            <w:r>
              <w:rPr>
                <w:rFonts w:eastAsia="Times New Roman"/>
                <w:color w:val="000000"/>
                <w:sz w:val="20"/>
                <w:szCs w:val="20"/>
              </w:rPr>
              <w:t>y</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39,126</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16,011</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42,489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17,941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93158594"/>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Fixed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5,297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93158594"/>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Balance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42,696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35,835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45,871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38,445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93158594"/>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936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9315859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88,055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54,792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94,488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59,348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975983647"/>
        <w:rPr>
          <w:rFonts w:eastAsia="Times New Roman"/>
        </w:rPr>
      </w:pPr>
    </w:p>
    <w:p w:rsidR="00000000" w:rsidRDefault="00775A8F">
      <w:pPr>
        <w:divId w:val="224879489"/>
        <w:rPr>
          <w:rFonts w:eastAsia="Times New Roman"/>
        </w:rPr>
      </w:pPr>
      <w:r>
        <w:rPr>
          <w:rFonts w:eastAsia="Times New Roman"/>
          <w:color w:val="000000"/>
          <w:sz w:val="20"/>
          <w:szCs w:val="20"/>
          <w:u w:val="single"/>
        </w:rPr>
        <w:t>Hedging Programs for GMDB, GMIB, GIB and Other Feature</w:t>
      </w:r>
      <w:r>
        <w:rPr>
          <w:rFonts w:eastAsia="Times New Roman"/>
          <w:color w:val="000000"/>
          <w:sz w:val="20"/>
          <w:szCs w:val="20"/>
          <w:u w:val="single"/>
        </w:rPr>
        <w:t>s</w:t>
      </w:r>
    </w:p>
    <w:p w:rsidR="00000000" w:rsidRDefault="00775A8F">
      <w:pPr>
        <w:divId w:val="1786849562"/>
        <w:rPr>
          <w:rFonts w:eastAsia="Times New Roman"/>
        </w:rPr>
      </w:pPr>
      <w:r>
        <w:rPr>
          <w:rFonts w:eastAsia="Times New Roman"/>
          <w:color w:val="000000"/>
          <w:sz w:val="20"/>
          <w:szCs w:val="20"/>
        </w:rPr>
        <w:t>The Company has a program intended to hedge certain risks associated first with th</w:t>
      </w:r>
      <w:r>
        <w:rPr>
          <w:rFonts w:eastAsia="Times New Roman"/>
          <w:color w:val="000000"/>
          <w:sz w:val="20"/>
          <w:szCs w:val="20"/>
        </w:rPr>
        <w:t>e GMDB feature and with the GMIB feature of the Accumulator series of variable annuity products. The program has also been extended to cover other guaranteed benefits as they have been made available. This program utilizes derivative contracts, such as exc</w:t>
      </w:r>
      <w:r>
        <w:rPr>
          <w:rFonts w:eastAsia="Times New Roman"/>
          <w:color w:val="000000"/>
          <w:sz w:val="20"/>
          <w:szCs w:val="20"/>
        </w:rPr>
        <w:t>hange-traded equity, currency and interest rate futures contracts, total return and/or equity swaps, interest rate swap and floor contracts, swaptions, variance swaps as well as equity options, that collectively are managed in an effort to reduce the econo</w:t>
      </w:r>
      <w:r>
        <w:rPr>
          <w:rFonts w:eastAsia="Times New Roman"/>
          <w:color w:val="000000"/>
          <w:sz w:val="20"/>
          <w:szCs w:val="20"/>
        </w:rPr>
        <w:t>mic impact of unfavorable changes in guaranteed benefits’ exposures attributable to movements in the capital markets. At the present time, this program hedges certain economic risks on products sold from 2001 forward, to the extent such risks are not exter</w:t>
      </w:r>
      <w:r>
        <w:rPr>
          <w:rFonts w:eastAsia="Times New Roman"/>
          <w:color w:val="000000"/>
          <w:sz w:val="20"/>
          <w:szCs w:val="20"/>
        </w:rPr>
        <w:t>nally reinsured.</w:t>
      </w:r>
      <w:r>
        <w:rPr>
          <w:rFonts w:eastAsia="Times New Roman"/>
          <w:color w:val="000000"/>
          <w:sz w:val="20"/>
          <w:szCs w:val="20"/>
        </w:rPr>
        <w:t xml:space="preserve"> </w:t>
      </w:r>
    </w:p>
    <w:p w:rsidR="00000000" w:rsidRDefault="00775A8F">
      <w:pPr>
        <w:divId w:val="1664315218"/>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changes in fair value, are recognized in Net derivative gains (losses) i</w:t>
      </w:r>
      <w:r>
        <w:rPr>
          <w:rFonts w:eastAsia="Times New Roman"/>
          <w:color w:val="000000"/>
          <w:sz w:val="20"/>
          <w:szCs w:val="20"/>
        </w:rPr>
        <w:t>n the period in which they occur, and may contribute to income (loss) volatility</w:t>
      </w:r>
      <w:r>
        <w:rPr>
          <w:rFonts w:eastAsia="Times New Roman"/>
          <w:color w:val="000000"/>
          <w:sz w:val="20"/>
          <w:szCs w:val="20"/>
        </w:rPr>
        <w:t>.</w:t>
      </w:r>
    </w:p>
    <w:p w:rsidR="00000000" w:rsidRDefault="00775A8F">
      <w:pPr>
        <w:jc w:val="center"/>
        <w:divId w:val="1384210308"/>
        <w:rPr>
          <w:rFonts w:eastAsia="Times New Roman"/>
        </w:rPr>
      </w:pPr>
      <w:r>
        <w:rPr>
          <w:rFonts w:eastAsia="Times New Roman"/>
          <w:color w:val="000000"/>
          <w:sz w:val="20"/>
          <w:szCs w:val="20"/>
        </w:rPr>
        <w:t>3</w:t>
      </w:r>
      <w:r>
        <w:rPr>
          <w:rFonts w:eastAsia="Times New Roman"/>
          <w:color w:val="000000"/>
          <w:sz w:val="20"/>
          <w:szCs w:val="20"/>
        </w:rPr>
        <w:t>8</w:t>
      </w:r>
    </w:p>
    <w:p w:rsidR="00000000" w:rsidRDefault="00775A8F">
      <w:pPr>
        <w:rPr>
          <w:rFonts w:eastAsia="Times New Roman"/>
        </w:rPr>
      </w:pPr>
      <w:r>
        <w:rPr>
          <w:rFonts w:eastAsia="Times New Roman"/>
        </w:rPr>
        <w:pict>
          <v:rect id="_x0000_i1064" style="width:0;height:1.5pt" o:hralign="center" o:hrstd="t" o:hr="t" fillcolor="#a0a0a0" stroked="f"/>
        </w:pict>
      </w:r>
    </w:p>
    <w:p w:rsidR="00000000" w:rsidRDefault="00775A8F">
      <w:pPr>
        <w:jc w:val="center"/>
        <w:divId w:val="850264304"/>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50264304"/>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943106787"/>
        <w:rPr>
          <w:rFonts w:eastAsia="Times New Roman"/>
        </w:rPr>
      </w:pPr>
      <w:r>
        <w:rPr>
          <w:rFonts w:eastAsia="Times New Roman"/>
          <w:color w:val="000000"/>
          <w:sz w:val="20"/>
          <w:szCs w:val="20"/>
          <w:u w:val="single"/>
        </w:rPr>
        <w:t>Variable and Interest-Sensitive Life Insura</w:t>
      </w:r>
      <w:r>
        <w:rPr>
          <w:rFonts w:eastAsia="Times New Roman"/>
          <w:color w:val="000000"/>
          <w:sz w:val="20"/>
          <w:szCs w:val="20"/>
          <w:u w:val="single"/>
        </w:rPr>
        <w:t>nce Policies – NL</w:t>
      </w:r>
      <w:r>
        <w:rPr>
          <w:rFonts w:eastAsia="Times New Roman"/>
          <w:color w:val="000000"/>
          <w:sz w:val="20"/>
          <w:szCs w:val="20"/>
          <w:u w:val="single"/>
        </w:rPr>
        <w:t>G</w:t>
      </w:r>
    </w:p>
    <w:p w:rsidR="00000000" w:rsidRDefault="00775A8F">
      <w:pPr>
        <w:divId w:val="1691879621"/>
        <w:rPr>
          <w:rFonts w:eastAsia="Times New Roman"/>
        </w:rPr>
      </w:pPr>
      <w:r>
        <w:rPr>
          <w:rFonts w:eastAsia="Times New Roman"/>
          <w:color w:val="000000"/>
          <w:sz w:val="20"/>
          <w:szCs w:val="20"/>
        </w:rPr>
        <w:t>The NLG feature contained in variable and interest-sensitive life insurance policies keeps them in force in situations where the policy value is not sufficient to cover monthly charges then due. The NLG remains in effect so long as the p</w:t>
      </w:r>
      <w:r>
        <w:rPr>
          <w:rFonts w:eastAsia="Times New Roman"/>
          <w:color w:val="000000"/>
          <w:sz w:val="20"/>
          <w:szCs w:val="20"/>
        </w:rPr>
        <w:t>olicy meets a contractually specified premium funding test and certain other requirements</w:t>
      </w:r>
      <w:r>
        <w:rPr>
          <w:rFonts w:eastAsia="Times New Roman"/>
          <w:color w:val="000000"/>
          <w:sz w:val="20"/>
          <w:szCs w:val="20"/>
        </w:rPr>
        <w:t>.</w:t>
      </w:r>
    </w:p>
    <w:p w:rsidR="00000000" w:rsidRDefault="00775A8F">
      <w:pPr>
        <w:divId w:val="1812862600"/>
        <w:rPr>
          <w:rFonts w:eastAsia="Times New Roman"/>
        </w:rPr>
      </w:pPr>
      <w:r>
        <w:rPr>
          <w:rFonts w:eastAsia="Times New Roman"/>
          <w:color w:val="000000"/>
          <w:sz w:val="20"/>
          <w:szCs w:val="20"/>
        </w:rPr>
        <w:t xml:space="preserve">The change in the NLG liabilities, reflected in Future policy benefits and other policyholders’ liabilities in the consolidated balance sheets, is summarized in the </w:t>
      </w:r>
      <w:r>
        <w:rPr>
          <w:rFonts w:eastAsia="Times New Roman"/>
          <w:color w:val="000000"/>
          <w:sz w:val="20"/>
          <w:szCs w:val="20"/>
        </w:rPr>
        <w:t>table below</w:t>
      </w:r>
      <w:r>
        <w:rPr>
          <w:rFonts w:eastAsia="Times New Roman"/>
          <w:color w:val="000000"/>
          <w:sz w:val="20"/>
          <w:szCs w:val="20"/>
        </w:rPr>
        <w:t>.</w:t>
      </w:r>
    </w:p>
    <w:tbl>
      <w:tblPr>
        <w:tblW w:w="4627" w:type="pct"/>
        <w:tblCellMar>
          <w:top w:w="15" w:type="dxa"/>
          <w:left w:w="15" w:type="dxa"/>
          <w:bottom w:w="15" w:type="dxa"/>
          <w:right w:w="15" w:type="dxa"/>
        </w:tblCellMar>
        <w:tblLook w:val="04A0" w:firstRow="1" w:lastRow="0" w:firstColumn="1" w:lastColumn="0" w:noHBand="0" w:noVBand="1"/>
      </w:tblPr>
      <w:tblGrid>
        <w:gridCol w:w="38"/>
        <w:gridCol w:w="2861"/>
        <w:gridCol w:w="37"/>
        <w:gridCol w:w="135"/>
        <w:gridCol w:w="728"/>
        <w:gridCol w:w="85"/>
        <w:gridCol w:w="36"/>
        <w:gridCol w:w="36"/>
        <w:gridCol w:w="36"/>
        <w:gridCol w:w="135"/>
        <w:gridCol w:w="749"/>
        <w:gridCol w:w="85"/>
        <w:gridCol w:w="36"/>
        <w:gridCol w:w="36"/>
        <w:gridCol w:w="36"/>
        <w:gridCol w:w="135"/>
        <w:gridCol w:w="721"/>
        <w:gridCol w:w="85"/>
        <w:gridCol w:w="36"/>
        <w:gridCol w:w="36"/>
        <w:gridCol w:w="36"/>
        <w:gridCol w:w="135"/>
        <w:gridCol w:w="700"/>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183781261"/>
        </w:trPr>
        <w:tc>
          <w:tcPr>
            <w:tcW w:w="50" w:type="pct"/>
            <w:vAlign w:val="center"/>
            <w:hideMark/>
          </w:tcPr>
          <w:p w:rsidR="00000000" w:rsidRDefault="00775A8F">
            <w:pPr>
              <w:rPr>
                <w:rFonts w:eastAsia="Times New Roman"/>
              </w:rPr>
            </w:pPr>
          </w:p>
        </w:tc>
        <w:tc>
          <w:tcPr>
            <w:tcW w:w="20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45"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18378126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Direct Liability (1</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8378126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8378126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83781261"/>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8378126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Beginning balance (2</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925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83781261"/>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Paid guarantee benefit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83781261"/>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Other changes in reserve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8378126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Ending balanc</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947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947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bottom w:val="double" w:sz="6"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542935553"/>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07396940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There were no amounts of reinsurance ceded in any period presented</w:t>
      </w:r>
      <w:r>
        <w:rPr>
          <w:rFonts w:eastAsia="Times New Roman"/>
          <w:color w:val="000000"/>
          <w:sz w:val="18"/>
          <w:szCs w:val="18"/>
        </w:rPr>
        <w:t>.</w:t>
      </w:r>
    </w:p>
    <w:p w:rsidR="00000000" w:rsidRDefault="00775A8F">
      <w:pPr>
        <w:ind w:hanging="360"/>
        <w:divId w:val="694162100"/>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The beginning balance for six months ended June 30, 2020 was reduced b</w:t>
      </w:r>
      <w:r>
        <w:rPr>
          <w:rFonts w:eastAsia="Times New Roman"/>
          <w:color w:val="000000"/>
          <w:sz w:val="18"/>
          <w:szCs w:val="18"/>
        </w:rPr>
        <w:t>y $22 million to reflect the balance transferred to Assets held-for-sale at December 31, 2019</w:t>
      </w:r>
      <w:r>
        <w:rPr>
          <w:rFonts w:eastAsia="Times New Roman"/>
          <w:color w:val="000000"/>
          <w:sz w:val="18"/>
          <w:szCs w:val="18"/>
        </w:rPr>
        <w:t>.</w:t>
      </w:r>
    </w:p>
    <w:p w:rsidR="00000000" w:rsidRDefault="00775A8F">
      <w:pPr>
        <w:divId w:val="295112932"/>
        <w:rPr>
          <w:rFonts w:eastAsia="Times New Roman"/>
        </w:rPr>
      </w:pPr>
      <w:r>
        <w:rPr>
          <w:rFonts w:eastAsia="Times New Roman"/>
          <w:b/>
          <w:bCs/>
          <w:color w:val="000000"/>
          <w:sz w:val="20"/>
          <w:szCs w:val="20"/>
        </w:rPr>
        <w:t>8) FAIR VALUE DISCLOSURES</w:t>
      </w:r>
      <w:r>
        <w:rPr>
          <w:rFonts w:eastAsia="Times New Roman"/>
          <w:b/>
          <w:bCs/>
          <w:color w:val="000000"/>
          <w:sz w:val="20"/>
          <w:szCs w:val="20"/>
        </w:rPr>
        <w:t xml:space="preserve"> </w:t>
      </w:r>
    </w:p>
    <w:p w:rsidR="00000000" w:rsidRDefault="00775A8F">
      <w:pPr>
        <w:divId w:val="21828923"/>
        <w:rPr>
          <w:rFonts w:eastAsia="Times New Roman"/>
        </w:rPr>
      </w:pPr>
      <w:r>
        <w:rPr>
          <w:rFonts w:eastAsia="Times New Roman"/>
          <w:color w:val="000000"/>
          <w:sz w:val="20"/>
          <w:szCs w:val="20"/>
        </w:rPr>
        <w:t xml:space="preserve">U.S. GAAP establishes a fair value hierarchy that requires an entity to maximize the use of observable inputs and minimize the use of </w:t>
      </w:r>
      <w:r>
        <w:rPr>
          <w:rFonts w:eastAsia="Times New Roman"/>
          <w:color w:val="000000"/>
          <w:sz w:val="20"/>
          <w:szCs w:val="20"/>
        </w:rPr>
        <w:t>unobservable inputs when measuring fair value, and identifies three levels of inputs that may be used to measure fair value</w:t>
      </w:r>
      <w:r>
        <w:rPr>
          <w:rFonts w:eastAsia="Times New Roman"/>
          <w:color w:val="000000"/>
          <w:sz w:val="20"/>
          <w:szCs w:val="20"/>
        </w:rPr>
        <w:t>:</w:t>
      </w:r>
    </w:p>
    <w:p w:rsidR="00000000" w:rsidRDefault="00775A8F">
      <w:pPr>
        <w:ind w:hanging="360"/>
        <w:jc w:val="both"/>
        <w:divId w:val="1938323079"/>
        <w:rPr>
          <w:rFonts w:eastAsia="Times New Roman"/>
        </w:rPr>
      </w:pPr>
      <w:r>
        <w:rPr>
          <w:rFonts w:eastAsia="Times New Roman"/>
          <w:color w:val="000000"/>
          <w:sz w:val="20"/>
          <w:szCs w:val="20"/>
        </w:rPr>
        <w:t>Level 1 Unadjusted quoted prices for identical instruments in active markets. Level 1 fair values generally are supported by market</w:t>
      </w:r>
      <w:r>
        <w:rPr>
          <w:rFonts w:eastAsia="Times New Roman"/>
          <w:color w:val="000000"/>
          <w:sz w:val="20"/>
          <w:szCs w:val="20"/>
        </w:rPr>
        <w:t xml:space="preserve"> transactions that occur with sufficient frequency and volume to provide pricing information on an ongoing basis</w:t>
      </w:r>
      <w:r>
        <w:rPr>
          <w:rFonts w:eastAsia="Times New Roman"/>
          <w:color w:val="000000"/>
          <w:sz w:val="20"/>
          <w:szCs w:val="20"/>
        </w:rPr>
        <w:t>.</w:t>
      </w:r>
    </w:p>
    <w:p w:rsidR="00000000" w:rsidRDefault="00775A8F">
      <w:pPr>
        <w:ind w:hanging="360"/>
        <w:jc w:val="both"/>
        <w:divId w:val="1277326114"/>
        <w:rPr>
          <w:rFonts w:eastAsia="Times New Roman"/>
        </w:rPr>
      </w:pPr>
      <w:r>
        <w:rPr>
          <w:rFonts w:eastAsia="Times New Roman"/>
          <w:color w:val="000000"/>
          <w:sz w:val="20"/>
          <w:szCs w:val="20"/>
        </w:rPr>
        <w:t>Level 2 Observable inputs other than Level 1 prices, such as quoted prices for similar instruments, quoted prices in markets that are not acti</w:t>
      </w:r>
      <w:r>
        <w:rPr>
          <w:rFonts w:eastAsia="Times New Roman"/>
          <w:color w:val="000000"/>
          <w:sz w:val="20"/>
          <w:szCs w:val="20"/>
        </w:rPr>
        <w:t>ve, and inputs to model-derived valuations that are directly observable or can be corroborated by observable market data</w:t>
      </w:r>
      <w:r>
        <w:rPr>
          <w:rFonts w:eastAsia="Times New Roman"/>
          <w:color w:val="000000"/>
          <w:sz w:val="20"/>
          <w:szCs w:val="20"/>
        </w:rPr>
        <w:t>.</w:t>
      </w:r>
    </w:p>
    <w:p w:rsidR="00000000" w:rsidRDefault="00775A8F">
      <w:pPr>
        <w:ind w:hanging="360"/>
        <w:jc w:val="both"/>
        <w:divId w:val="2040930064"/>
        <w:rPr>
          <w:rFonts w:eastAsia="Times New Roman"/>
        </w:rPr>
      </w:pPr>
      <w:r>
        <w:rPr>
          <w:rFonts w:eastAsia="Times New Roman"/>
          <w:color w:val="000000"/>
          <w:sz w:val="20"/>
          <w:szCs w:val="20"/>
        </w:rPr>
        <w:t>Level 3 Unobservable inputs supported by little or no market activity and often requiring significant management judgment or estimatio</w:t>
      </w:r>
      <w:r>
        <w:rPr>
          <w:rFonts w:eastAsia="Times New Roman"/>
          <w:color w:val="000000"/>
          <w:sz w:val="20"/>
          <w:szCs w:val="20"/>
        </w:rPr>
        <w:t>n, such as an entity’s own assumptions about the cash flows or other significant components of value that market participants would use in pricing the asset or liability</w:t>
      </w:r>
      <w:r>
        <w:rPr>
          <w:rFonts w:eastAsia="Times New Roman"/>
          <w:color w:val="000000"/>
          <w:sz w:val="20"/>
          <w:szCs w:val="20"/>
        </w:rPr>
        <w:t>.</w:t>
      </w:r>
    </w:p>
    <w:p w:rsidR="00000000" w:rsidRDefault="00775A8F">
      <w:pPr>
        <w:divId w:val="819077088"/>
        <w:rPr>
          <w:rFonts w:eastAsia="Times New Roman"/>
        </w:rPr>
      </w:pPr>
      <w:r>
        <w:rPr>
          <w:rFonts w:eastAsia="Times New Roman"/>
          <w:color w:val="000000"/>
          <w:sz w:val="20"/>
          <w:szCs w:val="20"/>
        </w:rPr>
        <w:t>The Company uses unadjusted quoted market prices to measure fair value for those inst</w:t>
      </w:r>
      <w:r>
        <w:rPr>
          <w:rFonts w:eastAsia="Times New Roman"/>
          <w:color w:val="000000"/>
          <w:sz w:val="20"/>
          <w:szCs w:val="20"/>
        </w:rPr>
        <w:t>ruments that are actively traded in financial markets. In cases where quoted market prices are not available, fair values are measured using present value or other valuation techniques. The fair value determinations are made at a specific point in time, ba</w:t>
      </w:r>
      <w:r>
        <w:rPr>
          <w:rFonts w:eastAsia="Times New Roman"/>
          <w:color w:val="000000"/>
          <w:sz w:val="20"/>
          <w:szCs w:val="20"/>
        </w:rPr>
        <w:t xml:space="preserve">sed on available market information and judgments about the financial instrument, including estimates of the timing and amount of expected future cash flows and the credit standing of counterparties. Such adjustments do not reflect any premium or discount </w:t>
      </w:r>
      <w:r>
        <w:rPr>
          <w:rFonts w:eastAsia="Times New Roman"/>
          <w:color w:val="000000"/>
          <w:sz w:val="20"/>
          <w:szCs w:val="20"/>
        </w:rPr>
        <w:t>that could result from offering for sale at one time the Company’s entire holdings of a particular financial instrument, nor do they consider the tax impact of the realization of unrealized gains or losses. In many cases, the fair value cannot be substanti</w:t>
      </w:r>
      <w:r>
        <w:rPr>
          <w:rFonts w:eastAsia="Times New Roman"/>
          <w:color w:val="000000"/>
          <w:sz w:val="20"/>
          <w:szCs w:val="20"/>
        </w:rPr>
        <w:t>ated by direct comparison to independent markets, nor can the disclosed value be realized in immediate settlement of the instrument</w:t>
      </w:r>
      <w:r>
        <w:rPr>
          <w:rFonts w:eastAsia="Times New Roman"/>
          <w:color w:val="000000"/>
          <w:sz w:val="20"/>
          <w:szCs w:val="20"/>
        </w:rPr>
        <w:t>.</w:t>
      </w:r>
    </w:p>
    <w:p w:rsidR="00000000" w:rsidRDefault="00775A8F">
      <w:pPr>
        <w:divId w:val="1905526165"/>
        <w:rPr>
          <w:rFonts w:eastAsia="Times New Roman"/>
        </w:rPr>
      </w:pPr>
      <w:r>
        <w:rPr>
          <w:rFonts w:eastAsia="Times New Roman"/>
          <w:color w:val="000000"/>
          <w:sz w:val="20"/>
          <w:szCs w:val="20"/>
        </w:rPr>
        <w:t>Management is responsible for the determination of the value of investments carried at fair value and the supporting method</w:t>
      </w:r>
      <w:r>
        <w:rPr>
          <w:rFonts w:eastAsia="Times New Roman"/>
          <w:color w:val="000000"/>
          <w:sz w:val="20"/>
          <w:szCs w:val="20"/>
        </w:rPr>
        <w:t>ologies and assumptions. Under the terms of various service agreements, the Company often utilizes independent valuation service providers to gather, analyze, and interpret market information and derive fair values based upon relevant methodologies and ass</w:t>
      </w:r>
      <w:r>
        <w:rPr>
          <w:rFonts w:eastAsia="Times New Roman"/>
          <w:color w:val="000000"/>
          <w:sz w:val="20"/>
          <w:szCs w:val="20"/>
        </w:rPr>
        <w:t>umptions for individual securities. These independent valuation service providers typically obtain data about market transactions and other key valuation model inputs from multiple sources and, through the use of widely accepted valuation models, provide a</w:t>
      </w:r>
      <w:r>
        <w:rPr>
          <w:rFonts w:eastAsia="Times New Roman"/>
          <w:color w:val="000000"/>
          <w:sz w:val="20"/>
          <w:szCs w:val="20"/>
        </w:rPr>
        <w:t xml:space="preserve"> single fair value measurement for individual securities for which a fair value has been requested. As further described below with respect to specific asset classes, these inputs include, but are not limited to, market prices for recent trades and transac</w:t>
      </w:r>
      <w:r>
        <w:rPr>
          <w:rFonts w:eastAsia="Times New Roman"/>
          <w:color w:val="000000"/>
          <w:sz w:val="20"/>
          <w:szCs w:val="20"/>
        </w:rPr>
        <w:t>tions in comparable securities, benchmark yields, interest rate yield curves, credit spreads, quoted prices for similar securities, and other market-observable information, as applicable. Specific attributes of the security being valued also are considered</w:t>
      </w:r>
      <w:r>
        <w:rPr>
          <w:rFonts w:eastAsia="Times New Roman"/>
          <w:color w:val="000000"/>
          <w:sz w:val="20"/>
          <w:szCs w:val="20"/>
        </w:rPr>
        <w:t>, including its term, interest rate, credit rating, industry sector, and when applicable, collateral quality and other security- or issuer</w:t>
      </w:r>
      <w:r>
        <w:rPr>
          <w:rFonts w:eastAsia="Times New Roman"/>
          <w:color w:val="000000"/>
          <w:sz w:val="20"/>
          <w:szCs w:val="20"/>
        </w:rPr>
        <w:t>-</w:t>
      </w:r>
    </w:p>
    <w:p w:rsidR="00000000" w:rsidRDefault="00775A8F">
      <w:pPr>
        <w:jc w:val="center"/>
        <w:divId w:val="877544586"/>
        <w:rPr>
          <w:rFonts w:eastAsia="Times New Roman"/>
        </w:rPr>
      </w:pPr>
      <w:r>
        <w:rPr>
          <w:rFonts w:eastAsia="Times New Roman"/>
          <w:color w:val="000000"/>
          <w:sz w:val="20"/>
          <w:szCs w:val="20"/>
        </w:rPr>
        <w:t>3</w:t>
      </w:r>
      <w:r>
        <w:rPr>
          <w:rFonts w:eastAsia="Times New Roman"/>
          <w:color w:val="000000"/>
          <w:sz w:val="20"/>
          <w:szCs w:val="20"/>
        </w:rPr>
        <w:t>9</w:t>
      </w:r>
    </w:p>
    <w:p w:rsidR="00000000" w:rsidRDefault="00775A8F">
      <w:pPr>
        <w:rPr>
          <w:rFonts w:eastAsia="Times New Roman"/>
        </w:rPr>
      </w:pPr>
      <w:r>
        <w:rPr>
          <w:rFonts w:eastAsia="Times New Roman"/>
        </w:rPr>
        <w:pict>
          <v:rect id="_x0000_i1065" style="width:0;height:1.5pt" o:hralign="center" o:hrstd="t" o:hr="t" fillcolor="#a0a0a0" stroked="f"/>
        </w:pict>
      </w:r>
    </w:p>
    <w:p w:rsidR="00000000" w:rsidRDefault="00775A8F">
      <w:pPr>
        <w:jc w:val="center"/>
        <w:divId w:val="21674137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21674137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869413785"/>
        <w:rPr>
          <w:rFonts w:eastAsia="Times New Roman"/>
        </w:rPr>
      </w:pPr>
      <w:r>
        <w:rPr>
          <w:rFonts w:eastAsia="Times New Roman"/>
          <w:color w:val="000000"/>
          <w:sz w:val="20"/>
          <w:szCs w:val="20"/>
        </w:rPr>
        <w:t xml:space="preserve">specific information. When insufficient market observable information is available upon which to measure fair value, the Company </w:t>
      </w:r>
      <w:r>
        <w:rPr>
          <w:rFonts w:eastAsia="Times New Roman"/>
          <w:color w:val="000000"/>
          <w:sz w:val="20"/>
          <w:szCs w:val="20"/>
        </w:rPr>
        <w:t>either will request brokers knowledgeable about these securities to provide a non-binding quote or will employ internal valuation models. Fair values received from independent valuation service providers and brokers and those internally modeled or otherwis</w:t>
      </w:r>
      <w:r>
        <w:rPr>
          <w:rFonts w:eastAsia="Times New Roman"/>
          <w:color w:val="000000"/>
          <w:sz w:val="20"/>
          <w:szCs w:val="20"/>
        </w:rPr>
        <w:t>e estimated are assessed for reasonableness</w:t>
      </w:r>
      <w:r>
        <w:rPr>
          <w:rFonts w:eastAsia="Times New Roman"/>
          <w:color w:val="000000"/>
          <w:sz w:val="20"/>
          <w:szCs w:val="20"/>
        </w:rPr>
        <w:t>.</w:t>
      </w:r>
    </w:p>
    <w:p w:rsidR="00000000" w:rsidRDefault="00775A8F">
      <w:pPr>
        <w:divId w:val="130173204"/>
        <w:rPr>
          <w:rFonts w:eastAsia="Times New Roman"/>
        </w:rPr>
      </w:pPr>
      <w:r>
        <w:rPr>
          <w:rFonts w:eastAsia="Times New Roman"/>
          <w:color w:val="000000"/>
          <w:sz w:val="20"/>
          <w:szCs w:val="20"/>
          <w:u w:val="single"/>
        </w:rPr>
        <w:t>Assets and Liabilities Measured at Fair Value on a Recurring Basi</w:t>
      </w:r>
      <w:r>
        <w:rPr>
          <w:rFonts w:eastAsia="Times New Roman"/>
          <w:color w:val="000000"/>
          <w:sz w:val="20"/>
          <w:szCs w:val="20"/>
          <w:u w:val="single"/>
        </w:rPr>
        <w:t>s</w:t>
      </w:r>
    </w:p>
    <w:p w:rsidR="00000000" w:rsidRDefault="00775A8F">
      <w:pPr>
        <w:divId w:val="428737611"/>
        <w:rPr>
          <w:rFonts w:eastAsia="Times New Roman"/>
        </w:rPr>
      </w:pPr>
      <w:r>
        <w:rPr>
          <w:rFonts w:eastAsia="Times New Roman"/>
          <w:color w:val="000000"/>
          <w:sz w:val="20"/>
          <w:szCs w:val="20"/>
        </w:rPr>
        <w:t>Assets and liabilities measured at fair value on a recurring basis are summarized below. At June 30, 2020 and December 31, 2019, no assets were required to be measured at fair value on a non-recurring basis. Fair value measurements are required on a non-re</w:t>
      </w:r>
      <w:r>
        <w:rPr>
          <w:rFonts w:eastAsia="Times New Roman"/>
          <w:color w:val="000000"/>
          <w:sz w:val="20"/>
          <w:szCs w:val="20"/>
        </w:rPr>
        <w:t>curring basis for certain assets, including goodwill and mortgage loans on real estate, only when an impairment or other event occurs. When such fair value measurements are recorded, they must be classified and disclosed within the fair value hierarchy</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Fa</w:t>
      </w:r>
      <w:r>
        <w:rPr>
          <w:rFonts w:eastAsia="Times New Roman"/>
          <w:b/>
          <w:bCs/>
          <w:color w:val="000000"/>
          <w:sz w:val="20"/>
          <w:szCs w:val="20"/>
        </w:rPr>
        <w:t>ir Value Measurements at June 30, 202</w:t>
      </w:r>
      <w:r>
        <w:rPr>
          <w:rFonts w:eastAsia="Times New Roman"/>
          <w:b/>
          <w:bCs/>
          <w:color w:val="000000"/>
          <w:sz w:val="20"/>
          <w:szCs w:val="20"/>
        </w:rPr>
        <w:t>0</w:t>
      </w:r>
    </w:p>
    <w:tbl>
      <w:tblPr>
        <w:tblW w:w="4649" w:type="pct"/>
        <w:tblCellMar>
          <w:top w:w="15" w:type="dxa"/>
          <w:left w:w="15" w:type="dxa"/>
          <w:bottom w:w="15" w:type="dxa"/>
          <w:right w:w="15" w:type="dxa"/>
        </w:tblCellMar>
        <w:tblLook w:val="04A0" w:firstRow="1" w:lastRow="0" w:firstColumn="1" w:lastColumn="0" w:noHBand="0" w:noVBand="1"/>
      </w:tblPr>
      <w:tblGrid>
        <w:gridCol w:w="44"/>
        <w:gridCol w:w="3125"/>
        <w:gridCol w:w="42"/>
        <w:gridCol w:w="135"/>
        <w:gridCol w:w="715"/>
        <w:gridCol w:w="85"/>
        <w:gridCol w:w="36"/>
        <w:gridCol w:w="36"/>
        <w:gridCol w:w="36"/>
        <w:gridCol w:w="135"/>
        <w:gridCol w:w="615"/>
        <w:gridCol w:w="85"/>
        <w:gridCol w:w="36"/>
        <w:gridCol w:w="36"/>
        <w:gridCol w:w="36"/>
        <w:gridCol w:w="135"/>
        <w:gridCol w:w="615"/>
        <w:gridCol w:w="85"/>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758722101"/>
        </w:trPr>
        <w:tc>
          <w:tcPr>
            <w:tcW w:w="50" w:type="pct"/>
            <w:vAlign w:val="center"/>
            <w:hideMark/>
          </w:tcPr>
          <w:p w:rsidR="00000000" w:rsidRDefault="00775A8F">
            <w:pPr>
              <w:jc w:val="center"/>
              <w:rPr>
                <w:rFonts w:eastAsia="Times New Roman"/>
              </w:rPr>
            </w:pPr>
          </w:p>
        </w:tc>
        <w:tc>
          <w:tcPr>
            <w:tcW w:w="229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18"/>
          <w:divId w:val="7587221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1</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2</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3</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r>
      <w:tr w:rsidR="00000000">
        <w:trPr>
          <w:divId w:val="75872210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75872210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Fixed maturities, AFS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(1</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52,092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1,685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53,777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U.S. Treasury, government and agenc</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17,377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States and political subdivision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Residential mortgage-backed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Asset-backed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Commercial mortgage-backe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fixed maturities, AF</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74,201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1,725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76,243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equity investment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Trading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6,093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6,616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invested assets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Short-term 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Assets of consolidated VIEs/VOE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Swap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Credit default swap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Future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Swaption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other invested asset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4,017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4,051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Cash equivalent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7,127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7,127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Segregated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GMIB reinsurance contracts asse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0" w:type="dxa"/>
              <w:bottom w:w="30" w:type="dxa"/>
              <w:right w:w="20" w:type="dxa"/>
            </w:tcMar>
            <w:vAlign w:val="bottom"/>
            <w:hideMark/>
          </w:tcPr>
          <w:p w:rsidR="00000000" w:rsidRDefault="00775A8F">
            <w:pPr>
              <w:divId w:val="1287463277"/>
              <w:rPr>
                <w:rFonts w:eastAsia="Times New Roman"/>
              </w:rPr>
            </w:pPr>
            <w:r>
              <w:rPr>
                <w:rFonts w:eastAsia="Times New Roman"/>
                <w:color w:val="000000"/>
                <w:sz w:val="20"/>
                <w:szCs w:val="20"/>
              </w:rPr>
              <w:t>Separate Accounts assets (4</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115,552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2,806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118,358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48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123,513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88,999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217,301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Liabilitie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GMxB derivative features’ liabilit</w:t>
            </w:r>
            <w:r>
              <w:rPr>
                <w:rFonts w:eastAsia="Times New Roman"/>
                <w:color w:val="000000"/>
                <w:sz w:val="20"/>
                <w:szCs w:val="20"/>
              </w:rPr>
              <w:t>y</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SCS, SIO, MSO and IUL indexed features’ liabilit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Liabilities of consolidated VIEs and VOE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Contingent payment arrangement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58722101"/>
        </w:trPr>
        <w:tc>
          <w:tcPr>
            <w:tcW w:w="0" w:type="auto"/>
            <w:gridSpan w:val="3"/>
            <w:shd w:val="clear" w:color="auto" w:fill="FFFFFF"/>
            <w:tcMar>
              <w:top w:w="30" w:type="dxa"/>
              <w:left w:w="48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12,642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14,421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274050597"/>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775A8F">
      <w:pPr>
        <w:jc w:val="center"/>
        <w:divId w:val="1487933584"/>
        <w:rPr>
          <w:rFonts w:eastAsia="Times New Roman"/>
        </w:rPr>
      </w:pPr>
      <w:r>
        <w:rPr>
          <w:rFonts w:eastAsia="Times New Roman"/>
          <w:color w:val="000000"/>
          <w:sz w:val="20"/>
          <w:szCs w:val="20"/>
        </w:rPr>
        <w:t>4</w:t>
      </w:r>
      <w:r>
        <w:rPr>
          <w:rFonts w:eastAsia="Times New Roman"/>
          <w:color w:val="000000"/>
          <w:sz w:val="20"/>
          <w:szCs w:val="20"/>
        </w:rPr>
        <w:t>0</w:t>
      </w:r>
    </w:p>
    <w:p w:rsidR="00000000" w:rsidRDefault="00775A8F">
      <w:pPr>
        <w:rPr>
          <w:rFonts w:eastAsia="Times New Roman"/>
        </w:rPr>
      </w:pPr>
      <w:r>
        <w:rPr>
          <w:rFonts w:eastAsia="Times New Roman"/>
        </w:rPr>
        <w:pict>
          <v:rect id="_x0000_i1066" style="width:0;height:1.5pt" o:hralign="center" o:hrstd="t" o:hr="t" fillcolor="#a0a0a0" stroked="f"/>
        </w:pict>
      </w:r>
    </w:p>
    <w:p w:rsidR="00000000" w:rsidRDefault="00775A8F">
      <w:pPr>
        <w:jc w:val="center"/>
        <w:divId w:val="166350503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663505039"/>
        <w:rPr>
          <w:rFonts w:eastAsia="Times New Roman"/>
        </w:rPr>
      </w:pPr>
      <w:r>
        <w:rPr>
          <w:rFonts w:eastAsia="Times New Roman"/>
          <w:b/>
          <w:bCs/>
          <w:color w:val="000000"/>
          <w:sz w:val="20"/>
          <w:szCs w:val="20"/>
        </w:rPr>
        <w:t>Notes to Consolidated Financial State</w:t>
      </w:r>
      <w:r>
        <w:rPr>
          <w:rFonts w:eastAsia="Times New Roman"/>
          <w:b/>
          <w:bCs/>
          <w:color w:val="000000"/>
          <w:sz w:val="20"/>
          <w:szCs w:val="20"/>
        </w:rPr>
        <w:t>ments (Unaudited), Continue</w:t>
      </w:r>
      <w:r>
        <w:rPr>
          <w:rFonts w:eastAsia="Times New Roman"/>
          <w:b/>
          <w:bCs/>
          <w:color w:val="000000"/>
          <w:sz w:val="20"/>
          <w:szCs w:val="20"/>
        </w:rPr>
        <w:t>d</w:t>
      </w:r>
    </w:p>
    <w:p w:rsidR="00000000" w:rsidRDefault="00775A8F">
      <w:pPr>
        <w:ind w:hanging="360"/>
        <w:divId w:val="7228729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Corporate fixed maturities includes both public and private issues</w:t>
      </w:r>
      <w:r>
        <w:rPr>
          <w:rFonts w:eastAsia="Times New Roman"/>
          <w:color w:val="000000"/>
          <w:sz w:val="18"/>
          <w:szCs w:val="18"/>
        </w:rPr>
        <w:t>.</w:t>
      </w:r>
    </w:p>
    <w:p w:rsidR="00000000" w:rsidRDefault="00775A8F">
      <w:pPr>
        <w:ind w:hanging="360"/>
        <w:divId w:val="1098797357"/>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publicly traded agency pass-through securities and collateralized obligations</w:t>
      </w:r>
      <w:r>
        <w:rPr>
          <w:rFonts w:eastAsia="Times New Roman"/>
          <w:color w:val="000000"/>
          <w:sz w:val="18"/>
          <w:szCs w:val="18"/>
        </w:rPr>
        <w:t>.</w:t>
      </w:r>
    </w:p>
    <w:p w:rsidR="00000000" w:rsidRDefault="00775A8F">
      <w:pPr>
        <w:ind w:hanging="360"/>
        <w:divId w:val="1322080693"/>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Includes credit-tranched securities collateralized by sub-prime mortgages and other asset types and credit tenant loans</w:t>
      </w:r>
      <w:r>
        <w:rPr>
          <w:rFonts w:eastAsia="Times New Roman"/>
          <w:color w:val="000000"/>
          <w:sz w:val="18"/>
          <w:szCs w:val="18"/>
        </w:rPr>
        <w:t>.</w:t>
      </w:r>
    </w:p>
    <w:p w:rsidR="00000000" w:rsidRDefault="00775A8F">
      <w:pPr>
        <w:ind w:hanging="360"/>
        <w:divId w:val="476922800"/>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 xml:space="preserve">Separate Accounts assets included in the </w:t>
      </w:r>
      <w:r>
        <w:rPr>
          <w:rFonts w:eastAsia="Times New Roman"/>
          <w:color w:val="000000"/>
          <w:sz w:val="18"/>
          <w:szCs w:val="18"/>
        </w:rPr>
        <w:t>fair value hierarchy exclude investments in entities that calculate NAV per share (or its equivalent) as a practical expedient. Such investments excluded from the fair value hierarchy include investments in real estate and commercial mortgages. At June 30,</w:t>
      </w:r>
      <w:r>
        <w:rPr>
          <w:rFonts w:eastAsia="Times New Roman"/>
          <w:color w:val="000000"/>
          <w:sz w:val="18"/>
          <w:szCs w:val="18"/>
        </w:rPr>
        <w:t xml:space="preserve"> 2020, the fair value of such investments was $363 million.</w:t>
      </w:r>
      <w:r>
        <w:rPr>
          <w:rFonts w:eastAsia="Times New Roman"/>
          <w:color w:val="000000"/>
          <w:sz w:val="18"/>
          <w:szCs w:val="18"/>
        </w:rPr>
        <w:t xml:space="preserve"> </w:t>
      </w:r>
    </w:p>
    <w:p w:rsidR="00000000" w:rsidRDefault="00775A8F">
      <w:pPr>
        <w:jc w:val="center"/>
        <w:rPr>
          <w:rFonts w:eastAsia="Times New Roman"/>
        </w:rPr>
      </w:pPr>
      <w:r>
        <w:rPr>
          <w:rFonts w:eastAsia="Times New Roman"/>
          <w:b/>
          <w:bCs/>
          <w:color w:val="000000"/>
          <w:sz w:val="20"/>
          <w:szCs w:val="20"/>
        </w:rPr>
        <w:t>Fair Value Measurements at December 31, 2019 (1</w:t>
      </w:r>
      <w:r>
        <w:rPr>
          <w:rFonts w:eastAsia="Times New Roman"/>
          <w:b/>
          <w:bCs/>
          <w:color w:val="000000"/>
          <w:sz w:val="20"/>
          <w:szCs w:val="20"/>
        </w:rPr>
        <w:t>)</w:t>
      </w:r>
    </w:p>
    <w:tbl>
      <w:tblPr>
        <w:tblW w:w="4649" w:type="pct"/>
        <w:tblCellMar>
          <w:top w:w="15" w:type="dxa"/>
          <w:left w:w="15" w:type="dxa"/>
          <w:bottom w:w="15" w:type="dxa"/>
          <w:right w:w="15" w:type="dxa"/>
        </w:tblCellMar>
        <w:tblLook w:val="04A0" w:firstRow="1" w:lastRow="0" w:firstColumn="1" w:lastColumn="0" w:noHBand="0" w:noVBand="1"/>
      </w:tblPr>
      <w:tblGrid>
        <w:gridCol w:w="41"/>
        <w:gridCol w:w="3149"/>
        <w:gridCol w:w="39"/>
        <w:gridCol w:w="135"/>
        <w:gridCol w:w="715"/>
        <w:gridCol w:w="85"/>
        <w:gridCol w:w="36"/>
        <w:gridCol w:w="36"/>
        <w:gridCol w:w="36"/>
        <w:gridCol w:w="135"/>
        <w:gridCol w:w="615"/>
        <w:gridCol w:w="85"/>
        <w:gridCol w:w="36"/>
        <w:gridCol w:w="36"/>
        <w:gridCol w:w="36"/>
        <w:gridCol w:w="135"/>
        <w:gridCol w:w="597"/>
        <w:gridCol w:w="85"/>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35143241"/>
        </w:trPr>
        <w:tc>
          <w:tcPr>
            <w:tcW w:w="50" w:type="pct"/>
            <w:vAlign w:val="center"/>
            <w:hideMark/>
          </w:tcPr>
          <w:p w:rsidR="00000000" w:rsidRDefault="00775A8F">
            <w:pPr>
              <w:jc w:val="center"/>
              <w:rPr>
                <w:rFonts w:eastAsia="Times New Roman"/>
              </w:rPr>
            </w:pPr>
          </w:p>
        </w:tc>
        <w:tc>
          <w:tcPr>
            <w:tcW w:w="229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18"/>
          <w:divId w:val="13514324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 xml:space="preserve">Level </w:t>
            </w:r>
            <w:r>
              <w:rPr>
                <w:rFonts w:eastAsia="Times New Roman"/>
                <w:color w:val="000000"/>
                <w:sz w:val="16"/>
                <w:szCs w:val="16"/>
              </w:rPr>
              <w:t>1</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 xml:space="preserve">Level </w:t>
            </w:r>
            <w:r>
              <w:rPr>
                <w:rFonts w:eastAsia="Times New Roman"/>
                <w:color w:val="000000"/>
                <w:sz w:val="16"/>
                <w:szCs w:val="16"/>
              </w:rPr>
              <w:t>2</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Level </w:t>
            </w:r>
            <w:r>
              <w:rPr>
                <w:rFonts w:eastAsia="Times New Roman"/>
                <w:color w:val="000000"/>
                <w:sz w:val="16"/>
                <w:szCs w:val="16"/>
              </w:rPr>
              <w:t>3</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Tota</w:t>
            </w:r>
            <w:r>
              <w:rPr>
                <w:rFonts w:eastAsia="Times New Roman"/>
                <w:color w:val="000000"/>
                <w:sz w:val="16"/>
                <w:szCs w:val="16"/>
              </w:rPr>
              <w:t>l</w:t>
            </w:r>
          </w:p>
        </w:tc>
      </w:tr>
      <w:tr w:rsidR="00000000">
        <w:trPr>
          <w:divId w:val="13514324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3514324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Fixed maturities, AFS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(2</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46,942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48,199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U.S. Treasury, government and agenc</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States and political subdivision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Residential mortgage-backed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Asset-backed (4</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Redeemable 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fixed maturities, AF</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64,708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1,396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66,343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equity investment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Trading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invested assets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Short-term investment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Assets of consolidated VIEs/VOE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Swap</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Credit default swap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Option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3,346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3,346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Swaption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1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other invested asset</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Cash equivalent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Segregated securitie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GMIB reinsurance contracts asse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Separate Accounts assets (5</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123,432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126,324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127,813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79,187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210,685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Liabilitie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GMxB derivative features’ liabilit</w:t>
            </w:r>
            <w:r>
              <w:rPr>
                <w:rFonts w:eastAsia="Times New Roman"/>
                <w:color w:val="000000"/>
                <w:sz w:val="20"/>
                <w:szCs w:val="20"/>
              </w:rPr>
              <w:t>y</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SCS, SIO, MSO and IUL indexed features’ liabilit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Liabilities of consolidated VIEs and VOE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Contingent payment arrangement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514324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3,277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11,733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145194524"/>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775A8F">
      <w:pPr>
        <w:ind w:hanging="360"/>
        <w:divId w:val="199363788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Excludes amounts reclassified as Held-for-Sale</w:t>
      </w:r>
      <w:r>
        <w:rPr>
          <w:rFonts w:eastAsia="Times New Roman"/>
          <w:color w:val="000000"/>
          <w:sz w:val="18"/>
          <w:szCs w:val="18"/>
        </w:rPr>
        <w:t>.</w:t>
      </w:r>
    </w:p>
    <w:p w:rsidR="00000000" w:rsidRDefault="00775A8F">
      <w:pPr>
        <w:ind w:hanging="360"/>
        <w:divId w:val="300892687"/>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Corporate fixed maturities includes both public</w:t>
      </w:r>
      <w:r>
        <w:rPr>
          <w:rFonts w:eastAsia="Times New Roman"/>
          <w:color w:val="000000"/>
          <w:sz w:val="18"/>
          <w:szCs w:val="18"/>
        </w:rPr>
        <w:t xml:space="preserve"> and private issues</w:t>
      </w:r>
      <w:r>
        <w:rPr>
          <w:rFonts w:eastAsia="Times New Roman"/>
          <w:color w:val="000000"/>
          <w:sz w:val="18"/>
          <w:szCs w:val="18"/>
        </w:rPr>
        <w:t>.</w:t>
      </w:r>
    </w:p>
    <w:p w:rsidR="00000000" w:rsidRDefault="00775A8F">
      <w:pPr>
        <w:ind w:hanging="360"/>
        <w:divId w:val="1567765659"/>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Includes publicly traded agency pass-through securities and collateralized obligations</w:t>
      </w:r>
      <w:r>
        <w:rPr>
          <w:rFonts w:eastAsia="Times New Roman"/>
          <w:color w:val="000000"/>
          <w:sz w:val="18"/>
          <w:szCs w:val="18"/>
        </w:rPr>
        <w:t>.</w:t>
      </w:r>
    </w:p>
    <w:p w:rsidR="00000000" w:rsidRDefault="00775A8F">
      <w:pPr>
        <w:ind w:hanging="360"/>
        <w:divId w:val="671301465"/>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Includes credit-tranched securities collateralized by sub-prime mortgages and other asset types and credit tenant loans</w:t>
      </w:r>
      <w:r>
        <w:rPr>
          <w:rFonts w:eastAsia="Times New Roman"/>
          <w:color w:val="000000"/>
          <w:sz w:val="18"/>
          <w:szCs w:val="18"/>
        </w:rPr>
        <w:t>.</w:t>
      </w:r>
    </w:p>
    <w:p w:rsidR="00000000" w:rsidRDefault="00775A8F">
      <w:pPr>
        <w:ind w:hanging="360"/>
        <w:divId w:val="1273517748"/>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and commercial mortgages. At December 31, 2019, the fair value of such investments was $356 million</w:t>
      </w:r>
      <w:r>
        <w:rPr>
          <w:rFonts w:eastAsia="Times New Roman"/>
          <w:color w:val="000000"/>
          <w:sz w:val="18"/>
          <w:szCs w:val="18"/>
        </w:rPr>
        <w:t>.</w:t>
      </w:r>
    </w:p>
    <w:p w:rsidR="00000000" w:rsidRDefault="00775A8F">
      <w:pPr>
        <w:jc w:val="center"/>
        <w:divId w:val="1454864545"/>
        <w:rPr>
          <w:rFonts w:eastAsia="Times New Roman"/>
        </w:rPr>
      </w:pPr>
      <w:r>
        <w:rPr>
          <w:rFonts w:eastAsia="Times New Roman"/>
          <w:color w:val="000000"/>
          <w:sz w:val="20"/>
          <w:szCs w:val="20"/>
        </w:rPr>
        <w:t>4</w:t>
      </w:r>
      <w:r>
        <w:rPr>
          <w:rFonts w:eastAsia="Times New Roman"/>
          <w:color w:val="000000"/>
          <w:sz w:val="20"/>
          <w:szCs w:val="20"/>
        </w:rPr>
        <w:t>1</w:t>
      </w:r>
    </w:p>
    <w:p w:rsidR="00000000" w:rsidRDefault="00775A8F">
      <w:pPr>
        <w:rPr>
          <w:rFonts w:eastAsia="Times New Roman"/>
        </w:rPr>
      </w:pPr>
      <w:r>
        <w:rPr>
          <w:rFonts w:eastAsia="Times New Roman"/>
        </w:rPr>
        <w:pict>
          <v:rect id="_x0000_i1067" style="width:0;height:1.5pt" o:hralign="center" o:hrstd="t" o:hr="t" fillcolor="#a0a0a0" stroked="f"/>
        </w:pict>
      </w:r>
    </w:p>
    <w:p w:rsidR="00000000" w:rsidRDefault="00775A8F">
      <w:pPr>
        <w:jc w:val="center"/>
        <w:divId w:val="130103521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30103521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jc w:val="both"/>
        <w:divId w:val="237251812"/>
        <w:rPr>
          <w:rFonts w:eastAsia="Times New Roman"/>
        </w:rPr>
      </w:pPr>
      <w:r>
        <w:rPr>
          <w:rFonts w:eastAsia="Times New Roman"/>
          <w:b/>
          <w:bCs/>
          <w:i/>
          <w:iCs/>
          <w:color w:val="000000"/>
          <w:sz w:val="20"/>
          <w:szCs w:val="20"/>
        </w:rPr>
        <w:t>Public Fixed Maturitie</w:t>
      </w:r>
      <w:r>
        <w:rPr>
          <w:rFonts w:eastAsia="Times New Roman"/>
          <w:b/>
          <w:bCs/>
          <w:i/>
          <w:iCs/>
          <w:color w:val="000000"/>
          <w:sz w:val="20"/>
          <w:szCs w:val="20"/>
        </w:rPr>
        <w:t>s</w:t>
      </w:r>
    </w:p>
    <w:p w:rsidR="00000000" w:rsidRDefault="00775A8F">
      <w:pPr>
        <w:divId w:val="1151285861"/>
        <w:rPr>
          <w:rFonts w:eastAsia="Times New Roman"/>
        </w:rPr>
      </w:pPr>
      <w:r>
        <w:rPr>
          <w:rFonts w:eastAsia="Times New Roman"/>
          <w:color w:val="000000"/>
          <w:sz w:val="20"/>
          <w:szCs w:val="20"/>
        </w:rPr>
        <w:t>The fair values of the Company’s public fixed maturities are generally based on prices obtained from independent valuation service providers and for which the Company maintains a vendor hierarchy by asset type based on historical pr</w:t>
      </w:r>
      <w:r>
        <w:rPr>
          <w:rFonts w:eastAsia="Times New Roman"/>
          <w:color w:val="000000"/>
          <w:sz w:val="20"/>
          <w:szCs w:val="20"/>
        </w:rPr>
        <w:t>icing experience and vendor expertise. Although each security generally is priced by multiple independent valuation service providers, the Company ultimately uses the price received from the independent valuation service provider highest in the vendor hier</w:t>
      </w:r>
      <w:r>
        <w:rPr>
          <w:rFonts w:eastAsia="Times New Roman"/>
          <w:color w:val="000000"/>
          <w:sz w:val="20"/>
          <w:szCs w:val="20"/>
        </w:rPr>
        <w:t>archy based on the respective asset type, with limited exception. To validate reasonableness, prices also are internally reviewed by those with relevant expertise through comparison with directly observed recent market trades. Consistent with the fair valu</w:t>
      </w:r>
      <w:r>
        <w:rPr>
          <w:rFonts w:eastAsia="Times New Roman"/>
          <w:color w:val="000000"/>
          <w:sz w:val="20"/>
          <w:szCs w:val="20"/>
        </w:rPr>
        <w:t>e hierarchy, public fixed maturities validated in this manner generally are reflected within Level 2, as they are primarily based on observable pricing for similar assets and/or other market observable inputs.</w:t>
      </w:r>
      <w:r>
        <w:rPr>
          <w:rFonts w:eastAsia="Times New Roman"/>
          <w:color w:val="000000"/>
          <w:sz w:val="20"/>
          <w:szCs w:val="20"/>
        </w:rPr>
        <w:t xml:space="preserve"> </w:t>
      </w:r>
    </w:p>
    <w:p w:rsidR="00000000" w:rsidRDefault="00775A8F">
      <w:pPr>
        <w:jc w:val="both"/>
        <w:divId w:val="1355958516"/>
        <w:rPr>
          <w:rFonts w:eastAsia="Times New Roman"/>
        </w:rPr>
      </w:pPr>
      <w:r>
        <w:rPr>
          <w:rFonts w:eastAsia="Times New Roman"/>
          <w:b/>
          <w:bCs/>
          <w:i/>
          <w:iCs/>
          <w:color w:val="000000"/>
          <w:sz w:val="20"/>
          <w:szCs w:val="20"/>
        </w:rPr>
        <w:t>Private Fixed Maturitie</w:t>
      </w:r>
      <w:r>
        <w:rPr>
          <w:rFonts w:eastAsia="Times New Roman"/>
          <w:b/>
          <w:bCs/>
          <w:i/>
          <w:iCs/>
          <w:color w:val="000000"/>
          <w:sz w:val="20"/>
          <w:szCs w:val="20"/>
        </w:rPr>
        <w:t>s</w:t>
      </w:r>
    </w:p>
    <w:p w:rsidR="00000000" w:rsidRDefault="00775A8F">
      <w:pPr>
        <w:divId w:val="1674915441"/>
        <w:rPr>
          <w:rFonts w:eastAsia="Times New Roman"/>
        </w:rPr>
      </w:pPr>
      <w:r>
        <w:rPr>
          <w:rFonts w:eastAsia="Times New Roman"/>
          <w:color w:val="000000"/>
          <w:sz w:val="20"/>
          <w:szCs w:val="20"/>
        </w:rPr>
        <w:t>The fair values of t</w:t>
      </w:r>
      <w:r>
        <w:rPr>
          <w:rFonts w:eastAsia="Times New Roman"/>
          <w:color w:val="000000"/>
          <w:sz w:val="20"/>
          <w:szCs w:val="20"/>
        </w:rPr>
        <w:t>he Company’s private fixed maturities are determined from prices obtained from independent valuation service providers. Prices not obtained from an independent valuation service provider are determined by using a discounted cash flow model or a market comp</w:t>
      </w:r>
      <w:r>
        <w:rPr>
          <w:rFonts w:eastAsia="Times New Roman"/>
          <w:color w:val="000000"/>
          <w:sz w:val="20"/>
          <w:szCs w:val="20"/>
        </w:rPr>
        <w:t>arable company valuation technique. In certain cases, these models use observable inputs with a discount rate based upon the average of spread surveys collected from private market intermediaries who are active in both primary and secondary transactions, t</w:t>
      </w:r>
      <w:r>
        <w:rPr>
          <w:rFonts w:eastAsia="Times New Roman"/>
          <w:color w:val="000000"/>
          <w:sz w:val="20"/>
          <w:szCs w:val="20"/>
        </w:rPr>
        <w:t>aking into account, among other factors, the credit quality and industry sector of the issuer and the reduced liquidity associated with private placements. Generally, these securities have been reflected within Level 2. For certain private fixed maturities</w:t>
      </w:r>
      <w:r>
        <w:rPr>
          <w:rFonts w:eastAsia="Times New Roman"/>
          <w:color w:val="000000"/>
          <w:sz w:val="20"/>
          <w:szCs w:val="20"/>
        </w:rPr>
        <w:t>, the discounted cash flow model or a market comparable company valuation technique may also incorporate unobservable inputs, which reflect the Company’s own assumptions about the inputs market participants would use in pricing the asset. To the extent man</w:t>
      </w:r>
      <w:r>
        <w:rPr>
          <w:rFonts w:eastAsia="Times New Roman"/>
          <w:color w:val="000000"/>
          <w:sz w:val="20"/>
          <w:szCs w:val="20"/>
        </w:rPr>
        <w:t>agement determines that such unobservable inputs are significant to the fair value measurement of a security, a Level 3 classification generally is made</w:t>
      </w:r>
      <w:r>
        <w:rPr>
          <w:rFonts w:eastAsia="Times New Roman"/>
          <w:color w:val="000000"/>
          <w:sz w:val="20"/>
          <w:szCs w:val="20"/>
        </w:rPr>
        <w:t>.</w:t>
      </w:r>
    </w:p>
    <w:p w:rsidR="00000000" w:rsidRDefault="00775A8F">
      <w:pPr>
        <w:jc w:val="both"/>
        <w:divId w:val="1217084117"/>
        <w:rPr>
          <w:rFonts w:eastAsia="Times New Roman"/>
        </w:rPr>
      </w:pPr>
      <w:r>
        <w:rPr>
          <w:rFonts w:eastAsia="Times New Roman"/>
          <w:b/>
          <w:bCs/>
          <w:i/>
          <w:iCs/>
          <w:color w:val="000000"/>
          <w:sz w:val="20"/>
          <w:szCs w:val="20"/>
        </w:rPr>
        <w:t>Freestanding Derivative Position</w:t>
      </w:r>
      <w:r>
        <w:rPr>
          <w:rFonts w:eastAsia="Times New Roman"/>
          <w:b/>
          <w:bCs/>
          <w:i/>
          <w:iCs/>
          <w:color w:val="000000"/>
          <w:sz w:val="20"/>
          <w:szCs w:val="20"/>
        </w:rPr>
        <w:t>s</w:t>
      </w:r>
    </w:p>
    <w:p w:rsidR="00000000" w:rsidRDefault="00775A8F">
      <w:pPr>
        <w:divId w:val="103817609"/>
        <w:rPr>
          <w:rFonts w:eastAsia="Times New Roman"/>
        </w:rPr>
      </w:pPr>
      <w:r>
        <w:rPr>
          <w:rFonts w:eastAsia="Times New Roman"/>
          <w:color w:val="000000"/>
          <w:sz w:val="20"/>
          <w:szCs w:val="20"/>
        </w:rPr>
        <w:t>The net fair value of the Company’s freestanding derivative position</w:t>
      </w:r>
      <w:r>
        <w:rPr>
          <w:rFonts w:eastAsia="Times New Roman"/>
          <w:color w:val="000000"/>
          <w:sz w:val="20"/>
          <w:szCs w:val="20"/>
        </w:rPr>
        <w:t>s as disclosed in Note 4 are generally based on prices obtained either from independent valuation service providers or derived by applying market inputs from recognized vendors into industry standard pricing models. The majority of these derivative contrac</w:t>
      </w:r>
      <w:r>
        <w:rPr>
          <w:rFonts w:eastAsia="Times New Roman"/>
          <w:color w:val="000000"/>
          <w:sz w:val="20"/>
          <w:szCs w:val="20"/>
        </w:rPr>
        <w:t>ts are traded in the OTC derivative market and are classified in Level 2. The fair values of derivative assets and liabilities traded in the OTC market are determined using quantitative models that require use of the contractual terms of the derivative ins</w:t>
      </w:r>
      <w:r>
        <w:rPr>
          <w:rFonts w:eastAsia="Times New Roman"/>
          <w:color w:val="000000"/>
          <w:sz w:val="20"/>
          <w:szCs w:val="20"/>
        </w:rPr>
        <w:t>truments and multiple market inputs, including interest rates, prices, and indices to generate continuous yield or pricing curves, including overnight index swap (“OIS”) curves, and volatility factors, which then are applied to value the positions. The pre</w:t>
      </w:r>
      <w:r>
        <w:rPr>
          <w:rFonts w:eastAsia="Times New Roman"/>
          <w:color w:val="000000"/>
          <w:sz w:val="20"/>
          <w:szCs w:val="20"/>
        </w:rPr>
        <w:t>dominance of market inputs is actively quoted and can be validated through external sources or reliably interpolated if less observable</w:t>
      </w:r>
      <w:r>
        <w:rPr>
          <w:rFonts w:eastAsia="Times New Roman"/>
          <w:color w:val="000000"/>
          <w:sz w:val="20"/>
          <w:szCs w:val="20"/>
        </w:rPr>
        <w:t>.</w:t>
      </w:r>
    </w:p>
    <w:p w:rsidR="00000000" w:rsidRDefault="00775A8F">
      <w:pPr>
        <w:divId w:val="134377913"/>
        <w:rPr>
          <w:rFonts w:eastAsia="Times New Roman"/>
        </w:rPr>
      </w:pPr>
      <w:r>
        <w:rPr>
          <w:rFonts w:eastAsia="Times New Roman"/>
          <w:color w:val="000000"/>
          <w:sz w:val="20"/>
          <w:szCs w:val="20"/>
          <w:u w:val="single"/>
        </w:rPr>
        <w:t>Level Classifications of the Company’s Financial Instrument</w:t>
      </w:r>
      <w:r>
        <w:rPr>
          <w:rFonts w:eastAsia="Times New Roman"/>
          <w:color w:val="000000"/>
          <w:sz w:val="20"/>
          <w:szCs w:val="20"/>
          <w:u w:val="single"/>
        </w:rPr>
        <w:t>s</w:t>
      </w:r>
    </w:p>
    <w:p w:rsidR="00000000" w:rsidRDefault="00775A8F">
      <w:pPr>
        <w:jc w:val="both"/>
        <w:divId w:val="2035842697"/>
        <w:rPr>
          <w:rFonts w:eastAsia="Times New Roman"/>
        </w:rPr>
      </w:pPr>
      <w:r>
        <w:rPr>
          <w:rFonts w:eastAsia="Times New Roman"/>
          <w:b/>
          <w:bCs/>
          <w:i/>
          <w:iCs/>
          <w:color w:val="000000"/>
          <w:sz w:val="20"/>
          <w:szCs w:val="20"/>
        </w:rPr>
        <w:t xml:space="preserve">Financial Instruments Classified as Level </w:t>
      </w:r>
      <w:r>
        <w:rPr>
          <w:rFonts w:eastAsia="Times New Roman"/>
          <w:b/>
          <w:bCs/>
          <w:i/>
          <w:iCs/>
          <w:color w:val="000000"/>
          <w:sz w:val="20"/>
          <w:szCs w:val="20"/>
        </w:rPr>
        <w:t>1</w:t>
      </w:r>
    </w:p>
    <w:p w:rsidR="00000000" w:rsidRDefault="00775A8F">
      <w:pPr>
        <w:divId w:val="215166767"/>
        <w:rPr>
          <w:rFonts w:eastAsia="Times New Roman"/>
        </w:rPr>
      </w:pPr>
      <w:r>
        <w:rPr>
          <w:rFonts w:eastAsia="Times New Roman"/>
          <w:color w:val="000000"/>
          <w:sz w:val="20"/>
          <w:szCs w:val="20"/>
        </w:rPr>
        <w:t>Investments cl</w:t>
      </w:r>
      <w:r>
        <w:rPr>
          <w:rFonts w:eastAsia="Times New Roman"/>
          <w:color w:val="000000"/>
          <w:sz w:val="20"/>
          <w:szCs w:val="20"/>
        </w:rPr>
        <w:t>assified as Level 1 primarily include redeemable preferred stock, trading securities, cash equivalents and Separate Accounts assets. Fair value measurements classified as Level 1 include exchange-traded prices of fixed maturities, equity securities and der</w:t>
      </w:r>
      <w:r>
        <w:rPr>
          <w:rFonts w:eastAsia="Times New Roman"/>
          <w:color w:val="000000"/>
          <w:sz w:val="20"/>
          <w:szCs w:val="20"/>
        </w:rPr>
        <w:t>ivative contracts, and net asset values for transacting subscriptions and redemptions of mutual fund shares held by Separate Accounts. Cash equivalents classified as Level 1 include money market accounts, overnight commercial paper and highly liquid debt i</w:t>
      </w:r>
      <w:r>
        <w:rPr>
          <w:rFonts w:eastAsia="Times New Roman"/>
          <w:color w:val="000000"/>
          <w:sz w:val="20"/>
          <w:szCs w:val="20"/>
        </w:rPr>
        <w:t>nstruments purchased with an original maturity of three months or less and are carried at cost as a proxy for fair value measurement due to their short-term nature</w:t>
      </w:r>
      <w:r>
        <w:rPr>
          <w:rFonts w:eastAsia="Times New Roman"/>
          <w:color w:val="000000"/>
          <w:sz w:val="20"/>
          <w:szCs w:val="20"/>
        </w:rPr>
        <w:t>.</w:t>
      </w:r>
    </w:p>
    <w:p w:rsidR="00000000" w:rsidRDefault="00775A8F">
      <w:pPr>
        <w:jc w:val="both"/>
        <w:divId w:val="937785971"/>
        <w:rPr>
          <w:rFonts w:eastAsia="Times New Roman"/>
        </w:rPr>
      </w:pPr>
      <w:r>
        <w:rPr>
          <w:rFonts w:eastAsia="Times New Roman"/>
          <w:b/>
          <w:bCs/>
          <w:i/>
          <w:iCs/>
          <w:color w:val="000000"/>
          <w:sz w:val="20"/>
          <w:szCs w:val="20"/>
        </w:rPr>
        <w:t xml:space="preserve">Financial Instruments Classified as Level </w:t>
      </w:r>
      <w:r>
        <w:rPr>
          <w:rFonts w:eastAsia="Times New Roman"/>
          <w:b/>
          <w:bCs/>
          <w:i/>
          <w:iCs/>
          <w:color w:val="000000"/>
          <w:sz w:val="20"/>
          <w:szCs w:val="20"/>
        </w:rPr>
        <w:t>2</w:t>
      </w:r>
    </w:p>
    <w:p w:rsidR="00000000" w:rsidRDefault="00775A8F">
      <w:pPr>
        <w:divId w:val="1046760039"/>
        <w:rPr>
          <w:rFonts w:eastAsia="Times New Roman"/>
        </w:rPr>
      </w:pPr>
      <w:r>
        <w:rPr>
          <w:rFonts w:eastAsia="Times New Roman"/>
          <w:color w:val="000000"/>
          <w:sz w:val="20"/>
          <w:szCs w:val="20"/>
        </w:rPr>
        <w:t xml:space="preserve">Investments classified as Level 2 are measured </w:t>
      </w:r>
      <w:r>
        <w:rPr>
          <w:rFonts w:eastAsia="Times New Roman"/>
          <w:color w:val="000000"/>
          <w:sz w:val="20"/>
          <w:szCs w:val="20"/>
        </w:rPr>
        <w:t xml:space="preserve">at fair value on a recurring basis and primarily include U.S. government and agency securities and certain corporate debt securities, such as public and private fixed maturities. As market quotes generally are not readily available or accessible for these </w:t>
      </w:r>
      <w:r>
        <w:rPr>
          <w:rFonts w:eastAsia="Times New Roman"/>
          <w:color w:val="000000"/>
          <w:sz w:val="20"/>
          <w:szCs w:val="20"/>
        </w:rPr>
        <w:t>securities, their fair value measures are determined utilizing relevant information generated by market transactions involving comparable securities and often are based on model pricing techniques that effectively discount prospective cash flows to present</w:t>
      </w:r>
      <w:r>
        <w:rPr>
          <w:rFonts w:eastAsia="Times New Roman"/>
          <w:color w:val="000000"/>
          <w:sz w:val="20"/>
          <w:szCs w:val="20"/>
        </w:rPr>
        <w:t xml:space="preserve"> value using appropriate sector-adjusted credit spreads commensurate with the security’s duration, also taking into consideration issuer-specific credit quality and liquidity. Segregated securities classified as Level 2 are U.S. Treasury bills segregated b</w:t>
      </w:r>
      <w:r>
        <w:rPr>
          <w:rFonts w:eastAsia="Times New Roman"/>
          <w:color w:val="000000"/>
          <w:sz w:val="20"/>
          <w:szCs w:val="20"/>
        </w:rPr>
        <w:t>y AB in a special reserve bank custody account for the exclusive benefit of brokerage customers, as required by Rule 15c3-3 of the Exchange Act and for which fair values are based on quoted yields in secondary markets</w:t>
      </w:r>
      <w:r>
        <w:rPr>
          <w:rFonts w:eastAsia="Times New Roman"/>
          <w:color w:val="000000"/>
          <w:sz w:val="20"/>
          <w:szCs w:val="20"/>
        </w:rPr>
        <w:t>.</w:t>
      </w:r>
    </w:p>
    <w:p w:rsidR="00000000" w:rsidRDefault="00775A8F">
      <w:pPr>
        <w:jc w:val="center"/>
        <w:divId w:val="1799251206"/>
        <w:rPr>
          <w:rFonts w:eastAsia="Times New Roman"/>
        </w:rPr>
      </w:pPr>
      <w:r>
        <w:rPr>
          <w:rFonts w:eastAsia="Times New Roman"/>
          <w:color w:val="000000"/>
          <w:sz w:val="20"/>
          <w:szCs w:val="20"/>
        </w:rPr>
        <w:t>4</w:t>
      </w:r>
      <w:r>
        <w:rPr>
          <w:rFonts w:eastAsia="Times New Roman"/>
          <w:color w:val="000000"/>
          <w:sz w:val="20"/>
          <w:szCs w:val="20"/>
        </w:rPr>
        <w:t>2</w:t>
      </w:r>
    </w:p>
    <w:p w:rsidR="00000000" w:rsidRDefault="00775A8F">
      <w:pPr>
        <w:rPr>
          <w:rFonts w:eastAsia="Times New Roman"/>
        </w:rPr>
      </w:pPr>
      <w:r>
        <w:rPr>
          <w:rFonts w:eastAsia="Times New Roman"/>
        </w:rPr>
        <w:pict>
          <v:rect id="_x0000_i1068" style="width:0;height:1.5pt" o:hralign="center" o:hrstd="t" o:hr="t" fillcolor="#a0a0a0" stroked="f"/>
        </w:pict>
      </w:r>
    </w:p>
    <w:p w:rsidR="00000000" w:rsidRDefault="00775A8F">
      <w:pPr>
        <w:jc w:val="center"/>
        <w:divId w:val="737631412"/>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737631412"/>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57580601"/>
        <w:rPr>
          <w:rFonts w:eastAsia="Times New Roman"/>
        </w:rPr>
      </w:pPr>
      <w:r>
        <w:rPr>
          <w:rFonts w:eastAsia="Times New Roman"/>
          <w:color w:val="000000"/>
          <w:sz w:val="20"/>
          <w:szCs w:val="20"/>
        </w:rPr>
        <w:t>Observable inputs generally used to measure the fair value of securities classified as Level 2 include benchmark yields, reported secondary trades, issuer spreads,</w:t>
      </w:r>
      <w:r>
        <w:rPr>
          <w:rFonts w:eastAsia="Times New Roman"/>
          <w:color w:val="000000"/>
          <w:sz w:val="20"/>
          <w:szCs w:val="20"/>
        </w:rPr>
        <w:t xml:space="preserve"> benchmark securities and other reference data. Additional observable inputs are used when available, and as may be appropriate, for certain security types, such as prepayment, default, and collateral information for the purpose of measuring the fair value</w:t>
      </w:r>
      <w:r>
        <w:rPr>
          <w:rFonts w:eastAsia="Times New Roman"/>
          <w:color w:val="000000"/>
          <w:sz w:val="20"/>
          <w:szCs w:val="20"/>
        </w:rPr>
        <w:t xml:space="preserve"> of mortgage- and asset-backed securities. The Company’s AAA-rated mortgage- and asset-backed securities are classified as Level 2 for which the observability of market inputs to their pricing models is supported by sufficient, albeit more recently contrac</w:t>
      </w:r>
      <w:r>
        <w:rPr>
          <w:rFonts w:eastAsia="Times New Roman"/>
          <w:color w:val="000000"/>
          <w:sz w:val="20"/>
          <w:szCs w:val="20"/>
        </w:rPr>
        <w:t>ted, market activity in these sectors</w:t>
      </w:r>
      <w:r>
        <w:rPr>
          <w:rFonts w:eastAsia="Times New Roman"/>
          <w:color w:val="000000"/>
          <w:sz w:val="20"/>
          <w:szCs w:val="20"/>
        </w:rPr>
        <w:t>.</w:t>
      </w:r>
    </w:p>
    <w:p w:rsidR="00000000" w:rsidRDefault="00775A8F">
      <w:pPr>
        <w:divId w:val="652950659"/>
        <w:rPr>
          <w:rFonts w:eastAsia="Times New Roman"/>
        </w:rPr>
      </w:pPr>
      <w:r>
        <w:rPr>
          <w:rFonts w:eastAsia="Times New Roman"/>
          <w:color w:val="000000"/>
          <w:sz w:val="20"/>
          <w:szCs w:val="20"/>
        </w:rPr>
        <w:t>Certain Company products, such as the SCS and EQUI-VEST variable annuity products, IUL and the MSO fund available in some life contracts offer investment options which permit the contract owner to participate in the p</w:t>
      </w:r>
      <w:r>
        <w:rPr>
          <w:rFonts w:eastAsia="Times New Roman"/>
          <w:color w:val="000000"/>
          <w:sz w:val="20"/>
          <w:szCs w:val="20"/>
        </w:rPr>
        <w:t>erformance of an index, ETF or commodity price. These investment options, which depending on the product and on the index selected can currently have one, three, five or six year terms, provide for participation in the performance of specified indices, ETF</w:t>
      </w:r>
      <w:r>
        <w:rPr>
          <w:rFonts w:eastAsia="Times New Roman"/>
          <w:color w:val="000000"/>
          <w:sz w:val="20"/>
          <w:szCs w:val="20"/>
        </w:rPr>
        <w:t xml:space="preserve"> or commodity price movement up to a segment-specific declared maximum rate. Under certain conditions that vary by product, e.g., holding these segments for the full term, these segments also shield policyholders from some or all negative investment perfor</w:t>
      </w:r>
      <w:r>
        <w:rPr>
          <w:rFonts w:eastAsia="Times New Roman"/>
          <w:color w:val="000000"/>
          <w:sz w:val="20"/>
          <w:szCs w:val="20"/>
        </w:rPr>
        <w:t>mance associated with these indices, ETF or commodity prices. These investment options have defined formulaic liability amounts, and the current values of the option component of these segment reserves are accounted for as Level 2 embedded derivatives. The</w:t>
      </w:r>
      <w:r>
        <w:rPr>
          <w:rFonts w:eastAsia="Times New Roman"/>
          <w:color w:val="000000"/>
          <w:sz w:val="20"/>
          <w:szCs w:val="20"/>
        </w:rPr>
        <w:t xml:space="preserve"> fair values of these embedded derivatives are based on data obtained from independent valuation service providers</w:t>
      </w:r>
      <w:r>
        <w:rPr>
          <w:rFonts w:eastAsia="Times New Roman"/>
          <w:color w:val="000000"/>
          <w:sz w:val="20"/>
          <w:szCs w:val="20"/>
        </w:rPr>
        <w:t>.</w:t>
      </w:r>
    </w:p>
    <w:p w:rsidR="00000000" w:rsidRDefault="00775A8F">
      <w:pPr>
        <w:jc w:val="both"/>
        <w:divId w:val="2014606466"/>
        <w:rPr>
          <w:rFonts w:eastAsia="Times New Roman"/>
        </w:rPr>
      </w:pPr>
      <w:r>
        <w:rPr>
          <w:rFonts w:eastAsia="Times New Roman"/>
          <w:b/>
          <w:bCs/>
          <w:i/>
          <w:iCs/>
          <w:color w:val="000000"/>
          <w:sz w:val="20"/>
          <w:szCs w:val="20"/>
        </w:rPr>
        <w:t xml:space="preserve">Financial Instruments Classified as Level </w:t>
      </w:r>
      <w:r>
        <w:rPr>
          <w:rFonts w:eastAsia="Times New Roman"/>
          <w:b/>
          <w:bCs/>
          <w:i/>
          <w:iCs/>
          <w:color w:val="000000"/>
          <w:sz w:val="20"/>
          <w:szCs w:val="20"/>
        </w:rPr>
        <w:t>3</w:t>
      </w:r>
    </w:p>
    <w:p w:rsidR="00000000" w:rsidRDefault="00775A8F">
      <w:pPr>
        <w:divId w:val="1286548445"/>
        <w:rPr>
          <w:rFonts w:eastAsia="Times New Roman"/>
        </w:rPr>
      </w:pPr>
      <w:r>
        <w:rPr>
          <w:rFonts w:eastAsia="Times New Roman"/>
          <w:color w:val="000000"/>
          <w:sz w:val="20"/>
          <w:szCs w:val="20"/>
        </w:rPr>
        <w:t>The Company’s investments classified as Level 3 primarily include corporate debt securities, suc</w:t>
      </w:r>
      <w:r>
        <w:rPr>
          <w:rFonts w:eastAsia="Times New Roman"/>
          <w:color w:val="000000"/>
          <w:sz w:val="20"/>
          <w:szCs w:val="20"/>
        </w:rPr>
        <w:t>h as private fixed maturities and asset-backed securities. Determinations to classify fair value measures within Level 3 of the valuation hierarchy generally are based upon the significance of the unobservable factors to the overall fair value measurement.</w:t>
      </w:r>
      <w:r>
        <w:rPr>
          <w:rFonts w:eastAsia="Times New Roman"/>
          <w:color w:val="000000"/>
          <w:sz w:val="20"/>
          <w:szCs w:val="20"/>
        </w:rPr>
        <w:t xml:space="preserve"> Included in the Level 3 classification are fixed maturities with indicative pricing obtained from brokers that otherwise could not be corroborated to market observable data</w:t>
      </w:r>
      <w:r>
        <w:rPr>
          <w:rFonts w:eastAsia="Times New Roman"/>
          <w:color w:val="000000"/>
          <w:sz w:val="20"/>
          <w:szCs w:val="20"/>
        </w:rPr>
        <w:t>.</w:t>
      </w:r>
    </w:p>
    <w:p w:rsidR="00000000" w:rsidRDefault="00775A8F">
      <w:pPr>
        <w:divId w:val="1680231303"/>
        <w:rPr>
          <w:rFonts w:eastAsia="Times New Roman"/>
        </w:rPr>
      </w:pPr>
      <w:r>
        <w:rPr>
          <w:rFonts w:eastAsia="Times New Roman"/>
          <w:color w:val="000000"/>
          <w:sz w:val="20"/>
          <w:szCs w:val="20"/>
        </w:rPr>
        <w:t>The Company also issues certain benefits on its variable annuity products that ar</w:t>
      </w:r>
      <w:r>
        <w:rPr>
          <w:rFonts w:eastAsia="Times New Roman"/>
          <w:color w:val="000000"/>
          <w:sz w:val="20"/>
          <w:szCs w:val="20"/>
        </w:rPr>
        <w:t xml:space="preserve">e accounted for as derivatives and are also considered Level 3. The GMIBNLG feature allows the policyholder to receive guaranteed minimum lifetime annuity payments based on predetermined annuity purchase rates applied to the contract’s benefit base if and </w:t>
      </w:r>
      <w:r>
        <w:rPr>
          <w:rFonts w:eastAsia="Times New Roman"/>
          <w:color w:val="000000"/>
          <w:sz w:val="20"/>
          <w:szCs w:val="20"/>
        </w:rPr>
        <w:t>when the contract account value is depleted and the NLG feature is activated. The GMWB feature allows the policyholder to withdraw at minimum, over the life of the contract, an amount based on the contract’s benefit base. The GWBL feature allows the policy</w:t>
      </w:r>
      <w:r>
        <w:rPr>
          <w:rFonts w:eastAsia="Times New Roman"/>
          <w:color w:val="000000"/>
          <w:sz w:val="20"/>
          <w:szCs w:val="20"/>
        </w:rPr>
        <w:t>holder to withdraw, each year for the life of the contract, a specified annual percentage of an amount based on the contract’s benefit base. The GMAB feature increases the contract account value at the end of a specified period to a GMAB base. The GIB feat</w:t>
      </w:r>
      <w:r>
        <w:rPr>
          <w:rFonts w:eastAsia="Times New Roman"/>
          <w:color w:val="000000"/>
          <w:sz w:val="20"/>
          <w:szCs w:val="20"/>
        </w:rPr>
        <w:t>ure provides a lifetime annuity based on predetermined annuity purchase rates if and when the contract account value is depleted. This lifetime annuity is based on predetermined annuity purchase rates applied to a GIB base</w:t>
      </w:r>
      <w:r>
        <w:rPr>
          <w:rFonts w:eastAsia="Times New Roman"/>
          <w:color w:val="000000"/>
          <w:sz w:val="20"/>
          <w:szCs w:val="20"/>
        </w:rPr>
        <w:t>.</w:t>
      </w:r>
    </w:p>
    <w:p w:rsidR="00000000" w:rsidRDefault="00775A8F">
      <w:pPr>
        <w:divId w:val="133916392"/>
        <w:rPr>
          <w:rFonts w:eastAsia="Times New Roman"/>
        </w:rPr>
      </w:pPr>
      <w:r>
        <w:rPr>
          <w:rFonts w:eastAsia="Times New Roman"/>
          <w:color w:val="000000"/>
          <w:sz w:val="20"/>
          <w:szCs w:val="20"/>
        </w:rPr>
        <w:t>Level 3 also includes the GMIB r</w:t>
      </w:r>
      <w:r>
        <w:rPr>
          <w:rFonts w:eastAsia="Times New Roman"/>
          <w:color w:val="000000"/>
          <w:sz w:val="20"/>
          <w:szCs w:val="20"/>
        </w:rPr>
        <w:t>einsurance contract assets, which are accounted for as derivative contracts. The GMIB reinsurance contract asset and liabilities’ fair value reflects the present value of reinsurance premiums and recoveries and risk margins over a range of market consisten</w:t>
      </w:r>
      <w:r>
        <w:rPr>
          <w:rFonts w:eastAsia="Times New Roman"/>
          <w:color w:val="000000"/>
          <w:sz w:val="20"/>
          <w:szCs w:val="20"/>
        </w:rPr>
        <w:t>t economic scenarios while GMxB derivative features liability reflects the present value of expected future payments (benefits) less fees, adjusted for risk margins and nonperformance risk, attributable to GMxB derivative features’ liability over a range o</w:t>
      </w:r>
      <w:r>
        <w:rPr>
          <w:rFonts w:eastAsia="Times New Roman"/>
          <w:color w:val="000000"/>
          <w:sz w:val="20"/>
          <w:szCs w:val="20"/>
        </w:rPr>
        <w:t>f market-consistent economic scenarios.</w:t>
      </w:r>
      <w:r>
        <w:rPr>
          <w:rFonts w:eastAsia="Times New Roman"/>
          <w:color w:val="000000"/>
          <w:sz w:val="20"/>
          <w:szCs w:val="20"/>
        </w:rPr>
        <w:t> </w:t>
      </w:r>
    </w:p>
    <w:p w:rsidR="00000000" w:rsidRDefault="00775A8F">
      <w:pPr>
        <w:divId w:val="2026786208"/>
        <w:rPr>
          <w:rFonts w:eastAsia="Times New Roman"/>
        </w:rPr>
      </w:pPr>
      <w:r>
        <w:rPr>
          <w:rFonts w:eastAsia="Times New Roman"/>
          <w:color w:val="000000"/>
          <w:sz w:val="20"/>
          <w:szCs w:val="20"/>
        </w:rPr>
        <w:t>The valuations of the GMIB reinsurance contract asset and GMxB derivative features liability incorporate significant non-observable assumptions related to policyholder behavior, risk margins and projections of equit</w:t>
      </w:r>
      <w:r>
        <w:rPr>
          <w:rFonts w:eastAsia="Times New Roman"/>
          <w:color w:val="000000"/>
          <w:sz w:val="20"/>
          <w:szCs w:val="20"/>
        </w:rPr>
        <w:t>y Separate Accounts funds. The credit risks of the counterparty and of the Company are considered in determining the fair values of its GMIB reinsurance contract asset and GMxB derivative features liability positions, respectively, after taking into accoun</w:t>
      </w:r>
      <w:r>
        <w:rPr>
          <w:rFonts w:eastAsia="Times New Roman"/>
          <w:color w:val="000000"/>
          <w:sz w:val="20"/>
          <w:szCs w:val="20"/>
        </w:rPr>
        <w:t>t the effects of collateral arrangements. Incremental adjustment to the swap curve for non-performance risk is made to the fair values of the GMIB reinsurance contract asset and liabilities and GMIBNLG feature to reflect the claims-paying ratings of counte</w:t>
      </w:r>
      <w:r>
        <w:rPr>
          <w:rFonts w:eastAsia="Times New Roman"/>
          <w:color w:val="000000"/>
          <w:sz w:val="20"/>
          <w:szCs w:val="20"/>
        </w:rPr>
        <w:t>rparties and the Company. Equity and fixed income volatilities were modeled to reflect current market volatilities. Due to the unique, long duration of the GMIBNLG feature, adjustments were made to the equity volatilities to remove the illiquidity bias ass</w:t>
      </w:r>
      <w:r>
        <w:rPr>
          <w:rFonts w:eastAsia="Times New Roman"/>
          <w:color w:val="000000"/>
          <w:sz w:val="20"/>
          <w:szCs w:val="20"/>
        </w:rPr>
        <w:t>ociated with the longer tenors and risk margins were applied to the non-capital markets inputs to the GMIBNLG valuations</w:t>
      </w:r>
      <w:r>
        <w:rPr>
          <w:rFonts w:eastAsia="Times New Roman"/>
          <w:color w:val="000000"/>
          <w:sz w:val="20"/>
          <w:szCs w:val="20"/>
        </w:rPr>
        <w:t>.</w:t>
      </w:r>
    </w:p>
    <w:p w:rsidR="00000000" w:rsidRDefault="00775A8F">
      <w:pPr>
        <w:divId w:val="592980206"/>
        <w:rPr>
          <w:rFonts w:eastAsia="Times New Roman"/>
        </w:rPr>
      </w:pPr>
      <w:r>
        <w:rPr>
          <w:rFonts w:eastAsia="Times New Roman"/>
          <w:color w:val="000000"/>
          <w:sz w:val="20"/>
          <w:szCs w:val="20"/>
        </w:rPr>
        <w:t>After giving consideration to collateral arrangements, the Company reduced the fair value of its GMIB reinsurance contract asset by $166 million and $110 million at June 30, 2020 and December 31, 2019, respectively, to recognize incremental counterparty no</w:t>
      </w:r>
      <w:r>
        <w:rPr>
          <w:rFonts w:eastAsia="Times New Roman"/>
          <w:color w:val="000000"/>
          <w:sz w:val="20"/>
          <w:szCs w:val="20"/>
        </w:rPr>
        <w:t>n-performance risk and reduced the fair value of its GMIB reinsurance contract liabilities by $36 million and $25 million at June 30, 2020 and December 31, 2019, respectively, to recognize its own incremental non-performance risk</w:t>
      </w:r>
      <w:r>
        <w:rPr>
          <w:rFonts w:eastAsia="Times New Roman"/>
          <w:color w:val="000000"/>
          <w:sz w:val="20"/>
          <w:szCs w:val="20"/>
        </w:rPr>
        <w:t>.</w:t>
      </w:r>
    </w:p>
    <w:p w:rsidR="00000000" w:rsidRDefault="00775A8F">
      <w:pPr>
        <w:jc w:val="center"/>
        <w:divId w:val="1425027984"/>
        <w:rPr>
          <w:rFonts w:eastAsia="Times New Roman"/>
        </w:rPr>
      </w:pPr>
      <w:r>
        <w:rPr>
          <w:rFonts w:eastAsia="Times New Roman"/>
          <w:color w:val="000000"/>
          <w:sz w:val="20"/>
          <w:szCs w:val="20"/>
        </w:rPr>
        <w:t>4</w:t>
      </w:r>
      <w:r>
        <w:rPr>
          <w:rFonts w:eastAsia="Times New Roman"/>
          <w:color w:val="000000"/>
          <w:sz w:val="20"/>
          <w:szCs w:val="20"/>
        </w:rPr>
        <w:t>3</w:t>
      </w:r>
    </w:p>
    <w:p w:rsidR="00000000" w:rsidRDefault="00775A8F">
      <w:pPr>
        <w:rPr>
          <w:rFonts w:eastAsia="Times New Roman"/>
        </w:rPr>
      </w:pPr>
      <w:r>
        <w:rPr>
          <w:rFonts w:eastAsia="Times New Roman"/>
        </w:rPr>
        <w:pict>
          <v:rect id="_x0000_i1069" style="width:0;height:1.5pt" o:hralign="center" o:hrstd="t" o:hr="t" fillcolor="#a0a0a0" stroked="f"/>
        </w:pict>
      </w:r>
    </w:p>
    <w:p w:rsidR="00000000" w:rsidRDefault="00775A8F">
      <w:pPr>
        <w:jc w:val="center"/>
        <w:divId w:val="1834831493"/>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834831493"/>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951039478"/>
        <w:rPr>
          <w:rFonts w:eastAsia="Times New Roman"/>
        </w:rPr>
      </w:pPr>
      <w:r>
        <w:rPr>
          <w:rFonts w:eastAsia="Times New Roman"/>
          <w:color w:val="000000"/>
          <w:sz w:val="20"/>
          <w:szCs w:val="20"/>
        </w:rPr>
        <w:t>Lapse rates are adjusted at the contract level based on a comparison of the actuarial calculated guaranteed values and the current policyholder account</w:t>
      </w:r>
      <w:r>
        <w:rPr>
          <w:rFonts w:eastAsia="Times New Roman"/>
          <w:color w:val="000000"/>
          <w:sz w:val="20"/>
          <w:szCs w:val="20"/>
        </w:rPr>
        <w:t xml:space="preserve"> value, which include other factors such as considering surrender charges. Generally, lapse rates are assumed to be lower in periods when a surrender charge applies. A dynamic lapse function reduces the base lapse rate when the guaranteed amount is greater</w:t>
      </w:r>
      <w:r>
        <w:rPr>
          <w:rFonts w:eastAsia="Times New Roman"/>
          <w:color w:val="000000"/>
          <w:sz w:val="20"/>
          <w:szCs w:val="20"/>
        </w:rPr>
        <w:t xml:space="preserve"> than the account value as in the money contracts are less likely to lapse. For valuing the embedded derivative, lapse rates vary throughout the period over which cash flows are projected.</w:t>
      </w:r>
      <w:r>
        <w:rPr>
          <w:rFonts w:eastAsia="Times New Roman"/>
          <w:color w:val="000000"/>
          <w:sz w:val="20"/>
          <w:szCs w:val="20"/>
        </w:rPr>
        <w:t xml:space="preserve"> </w:t>
      </w:r>
    </w:p>
    <w:p w:rsidR="00000000" w:rsidRDefault="00775A8F">
      <w:pPr>
        <w:divId w:val="969021399"/>
        <w:rPr>
          <w:rFonts w:eastAsia="Times New Roman"/>
        </w:rPr>
      </w:pPr>
      <w:r>
        <w:rPr>
          <w:rFonts w:eastAsia="Times New Roman"/>
          <w:color w:val="000000"/>
          <w:sz w:val="20"/>
          <w:szCs w:val="20"/>
        </w:rPr>
        <w:t>The Company’s Level 3 liabilities include contingent payment arran</w:t>
      </w:r>
      <w:r>
        <w:rPr>
          <w:rFonts w:eastAsia="Times New Roman"/>
          <w:color w:val="000000"/>
          <w:sz w:val="20"/>
          <w:szCs w:val="20"/>
        </w:rPr>
        <w:t>gements associated with acquisitions in 2016 and 2019 by AB. At each reporting date, AB estimates the fair values of the contingent consideration expected to be paid based upon revenue and discount rate projections, using unobservable market data inputs, w</w:t>
      </w:r>
      <w:r>
        <w:rPr>
          <w:rFonts w:eastAsia="Times New Roman"/>
          <w:color w:val="000000"/>
          <w:sz w:val="20"/>
          <w:szCs w:val="20"/>
        </w:rPr>
        <w:t>hich are included in Level 3 of the valuation hierarchy. The Company’s consolidated VIEs/VOEs hold investments that are classified as Level 3, primarily corporate bonds that are vendor priced with no ratings available, bank loans, non-agency collateralized</w:t>
      </w:r>
      <w:r>
        <w:rPr>
          <w:rFonts w:eastAsia="Times New Roman"/>
          <w:color w:val="000000"/>
          <w:sz w:val="20"/>
          <w:szCs w:val="20"/>
        </w:rPr>
        <w:t xml:space="preserve"> mortgage obligations and asset-backed securities</w:t>
      </w:r>
      <w:r>
        <w:rPr>
          <w:rFonts w:eastAsia="Times New Roman"/>
          <w:color w:val="000000"/>
          <w:sz w:val="20"/>
          <w:szCs w:val="20"/>
        </w:rPr>
        <w:t>.</w:t>
      </w:r>
    </w:p>
    <w:p w:rsidR="00000000" w:rsidRDefault="00775A8F">
      <w:pPr>
        <w:divId w:val="394012626"/>
        <w:rPr>
          <w:rFonts w:eastAsia="Times New Roman"/>
        </w:rPr>
      </w:pPr>
      <w:r>
        <w:rPr>
          <w:rFonts w:eastAsia="Times New Roman"/>
          <w:color w:val="000000"/>
          <w:sz w:val="20"/>
          <w:szCs w:val="20"/>
          <w:u w:val="single"/>
        </w:rPr>
        <w:t xml:space="preserve">Transfers of Financial Instruments Between Levels 2 and </w:t>
      </w:r>
      <w:r>
        <w:rPr>
          <w:rFonts w:eastAsia="Times New Roman"/>
          <w:color w:val="000000"/>
          <w:sz w:val="20"/>
          <w:szCs w:val="20"/>
          <w:u w:val="single"/>
        </w:rPr>
        <w:t>3</w:t>
      </w:r>
    </w:p>
    <w:p w:rsidR="00000000" w:rsidRDefault="00775A8F">
      <w:pPr>
        <w:divId w:val="1124621049"/>
        <w:rPr>
          <w:rFonts w:eastAsia="Times New Roman"/>
        </w:rPr>
      </w:pPr>
      <w:r>
        <w:rPr>
          <w:rFonts w:eastAsia="Times New Roman"/>
          <w:color w:val="000000"/>
          <w:sz w:val="20"/>
          <w:szCs w:val="20"/>
        </w:rPr>
        <w:t>During the six months ended June 30, 2020, AFS fixed maturities with fair values of $103 million were transferred out of Level 3 and into Level 2 p</w:t>
      </w:r>
      <w:r>
        <w:rPr>
          <w:rFonts w:eastAsia="Times New Roman"/>
          <w:color w:val="000000"/>
          <w:sz w:val="20"/>
          <w:szCs w:val="20"/>
        </w:rPr>
        <w:t>rincipally due to the availability of trading activity and/or market observable inputs to measure and validate their fair values. In addition, AFS fixed maturities with fair value of $224 million were transferred from Level 2 into the Level 3 classificatio</w:t>
      </w:r>
      <w:r>
        <w:rPr>
          <w:rFonts w:eastAsia="Times New Roman"/>
          <w:color w:val="000000"/>
          <w:sz w:val="20"/>
          <w:szCs w:val="20"/>
        </w:rPr>
        <w:t>n. These transfers in the aggregate represent approximately 1.7% of total equity at June 30, 2020</w:t>
      </w:r>
      <w:r>
        <w:rPr>
          <w:rFonts w:eastAsia="Times New Roman"/>
          <w:color w:val="000000"/>
          <w:sz w:val="20"/>
          <w:szCs w:val="20"/>
        </w:rPr>
        <w:t>.</w:t>
      </w:r>
    </w:p>
    <w:p w:rsidR="00000000" w:rsidRDefault="00775A8F">
      <w:pPr>
        <w:divId w:val="583412986"/>
        <w:rPr>
          <w:rFonts w:eastAsia="Times New Roman"/>
        </w:rPr>
      </w:pPr>
      <w:r>
        <w:rPr>
          <w:rFonts w:eastAsia="Times New Roman"/>
          <w:color w:val="000000"/>
          <w:sz w:val="20"/>
          <w:szCs w:val="20"/>
        </w:rPr>
        <w:t xml:space="preserve">During the six months ended June 30, 2019, AFS fixed maturities with fair values of $73 million were transferred out of Level 3 and into Level 2 principally </w:t>
      </w:r>
      <w:r>
        <w:rPr>
          <w:rFonts w:eastAsia="Times New Roman"/>
          <w:color w:val="000000"/>
          <w:sz w:val="20"/>
          <w:szCs w:val="20"/>
        </w:rPr>
        <w:t>due to the availability of trading activity and/or market observable inputs to measure and validate their fair values. In addition, AFS fixed maturities with fair value of $14 million were transferred from Level 2 into the Level 3 classification. These tra</w:t>
      </w:r>
      <w:r>
        <w:rPr>
          <w:rFonts w:eastAsia="Times New Roman"/>
          <w:color w:val="000000"/>
          <w:sz w:val="20"/>
          <w:szCs w:val="20"/>
        </w:rPr>
        <w:t>nsfers in the aggregate represent approximately 0.5% of total equity at June 30, 2019</w:t>
      </w:r>
      <w:r>
        <w:rPr>
          <w:rFonts w:eastAsia="Times New Roman"/>
          <w:color w:val="000000"/>
          <w:sz w:val="20"/>
          <w:szCs w:val="20"/>
        </w:rPr>
        <w:t>.</w:t>
      </w:r>
    </w:p>
    <w:p w:rsidR="00000000" w:rsidRDefault="00775A8F">
      <w:pPr>
        <w:divId w:val="269049976"/>
        <w:rPr>
          <w:rFonts w:eastAsia="Times New Roman"/>
        </w:rPr>
      </w:pPr>
      <w:r>
        <w:rPr>
          <w:rFonts w:eastAsia="Times New Roman"/>
          <w:color w:val="000000"/>
          <w:sz w:val="20"/>
          <w:szCs w:val="20"/>
        </w:rPr>
        <w:t>The tables below present reconciliations for all Level 3 assets and liabilities for the three and six months ended June 30, 2020 and 2019, respectively</w:t>
      </w:r>
      <w:r>
        <w:rPr>
          <w:rFonts w:eastAsia="Times New Roman"/>
          <w:color w:val="000000"/>
          <w:sz w:val="20"/>
          <w:szCs w:val="20"/>
        </w:rPr>
        <w:t>.</w:t>
      </w:r>
    </w:p>
    <w:p w:rsidR="00000000" w:rsidRDefault="00775A8F">
      <w:pPr>
        <w:divId w:val="177698943"/>
        <w:rPr>
          <w:rFonts w:eastAsia="Times New Roman"/>
        </w:rPr>
      </w:pPr>
    </w:p>
    <w:p w:rsidR="00000000" w:rsidRDefault="00775A8F">
      <w:pPr>
        <w:jc w:val="center"/>
        <w:rPr>
          <w:rFonts w:eastAsia="Times New Roman"/>
        </w:rPr>
      </w:pPr>
      <w:r>
        <w:rPr>
          <w:rFonts w:eastAsia="Times New Roman"/>
          <w:b/>
          <w:bCs/>
          <w:color w:val="000000"/>
          <w:sz w:val="20"/>
          <w:szCs w:val="20"/>
        </w:rPr>
        <w:t>Level 3 Instru</w:t>
      </w:r>
      <w:r>
        <w:rPr>
          <w:rFonts w:eastAsia="Times New Roman"/>
          <w:b/>
          <w:bCs/>
          <w:color w:val="000000"/>
          <w:sz w:val="20"/>
          <w:szCs w:val="20"/>
        </w:rPr>
        <w:t>ments - Fair Value Measurement</w:t>
      </w:r>
      <w:r>
        <w:rPr>
          <w:rFonts w:eastAsia="Times New Roman"/>
          <w:b/>
          <w:bCs/>
          <w:color w:val="000000"/>
          <w:sz w:val="20"/>
          <w:szCs w:val="20"/>
        </w:rPr>
        <w:t>s</w:t>
      </w:r>
    </w:p>
    <w:p w:rsidR="00000000" w:rsidRDefault="00775A8F">
      <w:pPr>
        <w:divId w:val="1385176635"/>
        <w:rPr>
          <w:rFonts w:eastAsia="Times New Roman"/>
        </w:rPr>
      </w:pPr>
    </w:p>
    <w:tbl>
      <w:tblPr>
        <w:tblW w:w="4641" w:type="pct"/>
        <w:tblCellMar>
          <w:top w:w="15" w:type="dxa"/>
          <w:left w:w="15" w:type="dxa"/>
          <w:bottom w:w="15" w:type="dxa"/>
          <w:right w:w="15" w:type="dxa"/>
        </w:tblCellMar>
        <w:tblLook w:val="04A0" w:firstRow="1" w:lastRow="0" w:firstColumn="1" w:lastColumn="0" w:noHBand="0" w:noVBand="1"/>
      </w:tblPr>
      <w:tblGrid>
        <w:gridCol w:w="40"/>
        <w:gridCol w:w="4334"/>
        <w:gridCol w:w="39"/>
        <w:gridCol w:w="136"/>
        <w:gridCol w:w="608"/>
        <w:gridCol w:w="85"/>
        <w:gridCol w:w="36"/>
        <w:gridCol w:w="36"/>
        <w:gridCol w:w="36"/>
        <w:gridCol w:w="136"/>
        <w:gridCol w:w="734"/>
        <w:gridCol w:w="85"/>
        <w:gridCol w:w="36"/>
        <w:gridCol w:w="36"/>
        <w:gridCol w:w="36"/>
        <w:gridCol w:w="36"/>
        <w:gridCol w:w="36"/>
        <w:gridCol w:w="36"/>
        <w:gridCol w:w="36"/>
        <w:gridCol w:w="136"/>
        <w:gridCol w:w="428"/>
        <w:gridCol w:w="85"/>
        <w:gridCol w:w="36"/>
        <w:gridCol w:w="36"/>
        <w:gridCol w:w="36"/>
        <w:gridCol w:w="36"/>
        <w:gridCol w:w="36"/>
        <w:gridCol w:w="36"/>
        <w:gridCol w:w="36"/>
        <w:gridCol w:w="36"/>
        <w:gridCol w:w="36"/>
        <w:gridCol w:w="36"/>
        <w:gridCol w:w="36"/>
        <w:gridCol w:w="36"/>
        <w:gridCol w:w="36"/>
        <w:gridCol w:w="36"/>
      </w:tblGrid>
      <w:tr w:rsidR="00000000">
        <w:trPr>
          <w:gridAfter w:val="12"/>
          <w:divId w:val="803741036"/>
        </w:trPr>
        <w:tc>
          <w:tcPr>
            <w:tcW w:w="50" w:type="pct"/>
            <w:vAlign w:val="center"/>
            <w:hideMark/>
          </w:tcPr>
          <w:p w:rsidR="00000000" w:rsidRDefault="00775A8F">
            <w:pPr>
              <w:rPr>
                <w:rFonts w:eastAsia="Times New Roman"/>
              </w:rPr>
            </w:pPr>
          </w:p>
        </w:tc>
        <w:tc>
          <w:tcPr>
            <w:tcW w:w="32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12"/>
          <w:divId w:val="80374103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Corporat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State and Political Subdivision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Asset- backe</w:t>
            </w:r>
            <w:r>
              <w:rPr>
                <w:rFonts w:eastAsia="Times New Roman"/>
                <w:b/>
                <w:bCs/>
                <w:color w:val="000000"/>
                <w:sz w:val="16"/>
                <w:szCs w:val="16"/>
              </w:rPr>
              <w:t>d</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80374103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April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1,185</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gains and (losses), realized and unrealized, included in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jc w:val="right"/>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jc w:val="right"/>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CCEEFF"/>
            <w:tcMar>
              <w:top w:w="30" w:type="dxa"/>
              <w:left w:w="58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Subtota</w:t>
            </w:r>
            <w:r>
              <w:rPr>
                <w:rFonts w:eastAsia="Times New Roman"/>
                <w:color w:val="000000"/>
                <w:sz w:val="20"/>
                <w:szCs w:val="20"/>
              </w:rPr>
              <w:t>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June 30, 202</w:t>
            </w:r>
            <w:r>
              <w:rPr>
                <w:rFonts w:eastAsia="Times New Roman"/>
                <w:b/>
                <w:bCs/>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1,685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03741036"/>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083450776"/>
        <w:rPr>
          <w:rFonts w:eastAsia="Times New Roman"/>
        </w:rPr>
      </w:pPr>
      <w:r>
        <w:rPr>
          <w:rFonts w:eastAsia="Times New Roman"/>
          <w:color w:val="000000"/>
          <w:sz w:val="20"/>
          <w:szCs w:val="20"/>
        </w:rPr>
        <w:t>4</w:t>
      </w:r>
      <w:r>
        <w:rPr>
          <w:rFonts w:eastAsia="Times New Roman"/>
          <w:color w:val="000000"/>
          <w:sz w:val="20"/>
          <w:szCs w:val="20"/>
        </w:rPr>
        <w:t>4</w:t>
      </w:r>
    </w:p>
    <w:p w:rsidR="00000000" w:rsidRDefault="00775A8F">
      <w:pPr>
        <w:rPr>
          <w:rFonts w:eastAsia="Times New Roman"/>
        </w:rPr>
      </w:pPr>
      <w:r>
        <w:rPr>
          <w:rFonts w:eastAsia="Times New Roman"/>
        </w:rPr>
        <w:pict>
          <v:rect id="_x0000_i1070" style="width:0;height:1.5pt" o:hralign="center" o:hrstd="t" o:hr="t" fillcolor="#a0a0a0" stroked="f"/>
        </w:pict>
      </w:r>
    </w:p>
    <w:p w:rsidR="00000000" w:rsidRDefault="00775A8F">
      <w:pPr>
        <w:jc w:val="center"/>
        <w:divId w:val="46491642"/>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46491642"/>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1" w:type="pct"/>
        <w:tblCellMar>
          <w:top w:w="15" w:type="dxa"/>
          <w:left w:w="15" w:type="dxa"/>
          <w:bottom w:w="15" w:type="dxa"/>
          <w:right w:w="15" w:type="dxa"/>
        </w:tblCellMar>
        <w:tblLook w:val="04A0" w:firstRow="1" w:lastRow="0" w:firstColumn="1" w:lastColumn="0" w:noHBand="0" w:noVBand="1"/>
      </w:tblPr>
      <w:tblGrid>
        <w:gridCol w:w="40"/>
        <w:gridCol w:w="4398"/>
        <w:gridCol w:w="39"/>
        <w:gridCol w:w="136"/>
        <w:gridCol w:w="608"/>
        <w:gridCol w:w="85"/>
        <w:gridCol w:w="36"/>
        <w:gridCol w:w="36"/>
        <w:gridCol w:w="36"/>
        <w:gridCol w:w="136"/>
        <w:gridCol w:w="734"/>
        <w:gridCol w:w="85"/>
        <w:gridCol w:w="36"/>
        <w:gridCol w:w="36"/>
        <w:gridCol w:w="36"/>
        <w:gridCol w:w="36"/>
        <w:gridCol w:w="36"/>
        <w:gridCol w:w="36"/>
        <w:gridCol w:w="36"/>
        <w:gridCol w:w="135"/>
        <w:gridCol w:w="365"/>
        <w:gridCol w:w="85"/>
        <w:gridCol w:w="36"/>
        <w:gridCol w:w="36"/>
        <w:gridCol w:w="36"/>
        <w:gridCol w:w="36"/>
        <w:gridCol w:w="36"/>
        <w:gridCol w:w="36"/>
        <w:gridCol w:w="36"/>
        <w:gridCol w:w="36"/>
        <w:gridCol w:w="36"/>
        <w:gridCol w:w="36"/>
        <w:gridCol w:w="36"/>
        <w:gridCol w:w="36"/>
        <w:gridCol w:w="36"/>
        <w:gridCol w:w="36"/>
      </w:tblGrid>
      <w:tr w:rsidR="00000000">
        <w:trPr>
          <w:gridAfter w:val="12"/>
          <w:divId w:val="1040281576"/>
        </w:trPr>
        <w:tc>
          <w:tcPr>
            <w:tcW w:w="50" w:type="pct"/>
            <w:vAlign w:val="center"/>
            <w:hideMark/>
          </w:tcPr>
          <w:p w:rsidR="00000000" w:rsidRDefault="00775A8F">
            <w:pPr>
              <w:jc w:val="center"/>
              <w:rPr>
                <w:rFonts w:eastAsia="Times New Roman"/>
              </w:rPr>
            </w:pPr>
          </w:p>
        </w:tc>
        <w:tc>
          <w:tcPr>
            <w:tcW w:w="323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12"/>
          <w:divId w:val="104028157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Corporat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State and Political Subdivision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Asset- backe</w:t>
            </w:r>
            <w:r>
              <w:rPr>
                <w:rFonts w:eastAsia="Times New Roman"/>
                <w:b/>
                <w:bCs/>
                <w:color w:val="000000"/>
                <w:sz w:val="16"/>
                <w:szCs w:val="16"/>
              </w:rPr>
              <w:t>d</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April 1,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gains and (losses), realized and unrealized, included in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CCEE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Subtota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028157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957299542"/>
        <w:rPr>
          <w:rFonts w:eastAsia="Times New Roman"/>
        </w:rPr>
      </w:pPr>
      <w:r>
        <w:rPr>
          <w:rFonts w:eastAsia="Times New Roman"/>
          <w:color w:val="000000"/>
          <w:sz w:val="18"/>
          <w:szCs w:val="18"/>
        </w:rPr>
        <w:t>____________</w:t>
      </w:r>
      <w:r>
        <w:rPr>
          <w:rFonts w:eastAsia="Times New Roman"/>
          <w:color w:val="000000"/>
          <w:sz w:val="18"/>
          <w:szCs w:val="18"/>
        </w:rPr>
        <w:t>_</w:t>
      </w:r>
    </w:p>
    <w:p w:rsidR="00000000" w:rsidRDefault="00775A8F">
      <w:pPr>
        <w:ind w:hanging="360"/>
        <w:divId w:val="157766645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Transfers into/out of the Level 3 classification are reflected at beginning of period fair values</w:t>
      </w:r>
      <w:r>
        <w:rPr>
          <w:rFonts w:eastAsia="Times New Roman"/>
          <w:color w:val="000000"/>
          <w:sz w:val="18"/>
          <w:szCs w:val="18"/>
        </w:rPr>
        <w:t>.</w:t>
      </w:r>
    </w:p>
    <w:tbl>
      <w:tblPr>
        <w:tblW w:w="4649" w:type="pct"/>
        <w:tblCellMar>
          <w:top w:w="15" w:type="dxa"/>
          <w:left w:w="15" w:type="dxa"/>
          <w:bottom w:w="15" w:type="dxa"/>
          <w:right w:w="15" w:type="dxa"/>
        </w:tblCellMar>
        <w:tblLook w:val="04A0" w:firstRow="1" w:lastRow="0" w:firstColumn="1" w:lastColumn="0" w:noHBand="0" w:noVBand="1"/>
      </w:tblPr>
      <w:tblGrid>
        <w:gridCol w:w="40"/>
        <w:gridCol w:w="4413"/>
        <w:gridCol w:w="39"/>
        <w:gridCol w:w="136"/>
        <w:gridCol w:w="608"/>
        <w:gridCol w:w="85"/>
        <w:gridCol w:w="36"/>
        <w:gridCol w:w="36"/>
        <w:gridCol w:w="36"/>
        <w:gridCol w:w="136"/>
        <w:gridCol w:w="732"/>
        <w:gridCol w:w="85"/>
        <w:gridCol w:w="36"/>
        <w:gridCol w:w="36"/>
        <w:gridCol w:w="36"/>
        <w:gridCol w:w="36"/>
        <w:gridCol w:w="36"/>
        <w:gridCol w:w="36"/>
        <w:gridCol w:w="36"/>
        <w:gridCol w:w="135"/>
        <w:gridCol w:w="365"/>
        <w:gridCol w:w="85"/>
        <w:gridCol w:w="36"/>
        <w:gridCol w:w="36"/>
        <w:gridCol w:w="36"/>
        <w:gridCol w:w="36"/>
        <w:gridCol w:w="36"/>
        <w:gridCol w:w="36"/>
        <w:gridCol w:w="36"/>
        <w:gridCol w:w="36"/>
        <w:gridCol w:w="36"/>
        <w:gridCol w:w="36"/>
        <w:gridCol w:w="36"/>
        <w:gridCol w:w="36"/>
        <w:gridCol w:w="36"/>
        <w:gridCol w:w="36"/>
      </w:tblGrid>
      <w:tr w:rsidR="00000000">
        <w:trPr>
          <w:gridAfter w:val="12"/>
          <w:divId w:val="1866360591"/>
        </w:trPr>
        <w:tc>
          <w:tcPr>
            <w:tcW w:w="50" w:type="pct"/>
            <w:vAlign w:val="center"/>
            <w:hideMark/>
          </w:tcPr>
          <w:p w:rsidR="00000000" w:rsidRDefault="00775A8F">
            <w:pPr>
              <w:ind w:hanging="360"/>
              <w:rPr>
                <w:rFonts w:eastAsia="Times New Roman"/>
              </w:rPr>
            </w:pPr>
          </w:p>
        </w:tc>
        <w:tc>
          <w:tcPr>
            <w:tcW w:w="32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12"/>
          <w:divId w:val="18663605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Corporat</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State and</w:t>
            </w:r>
            <w:r>
              <w:rPr>
                <w:rFonts w:eastAsia="Times New Roman"/>
                <w:b/>
                <w:bCs/>
                <w:color w:val="000000"/>
                <w:sz w:val="16"/>
                <w:szCs w:val="16"/>
              </w:rPr>
              <w:br/>
              <w:t>Political</w:t>
            </w:r>
            <w:r>
              <w:rPr>
                <w:rFonts w:eastAsia="Times New Roman"/>
                <w:b/>
                <w:bCs/>
                <w:color w:val="000000"/>
                <w:sz w:val="16"/>
                <w:szCs w:val="16"/>
              </w:rPr>
              <w:br/>
              <w:t>Subdivision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Asset-backe</w:t>
            </w:r>
            <w:r>
              <w:rPr>
                <w:rFonts w:eastAsia="Times New Roman"/>
                <w:b/>
                <w:bCs/>
                <w:color w:val="000000"/>
                <w:sz w:val="16"/>
                <w:szCs w:val="16"/>
              </w:rPr>
              <w:t>d</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86636059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January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1,257</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gains and (losses), realized and unrealized, included in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58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Subtota</w:t>
            </w:r>
            <w:r>
              <w:rPr>
                <w:rFonts w:eastAsia="Times New Roman"/>
                <w:color w:val="000000"/>
                <w:sz w:val="20"/>
                <w:szCs w:val="20"/>
              </w:rPr>
              <w:t>l</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Sale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June 30, 202</w:t>
            </w:r>
            <w:r>
              <w:rPr>
                <w:rFonts w:eastAsia="Times New Roman"/>
                <w:b/>
                <w:bCs/>
                <w:color w:val="000000"/>
                <w:sz w:val="20"/>
                <w:szCs w:val="20"/>
              </w:rPr>
              <w:t>0</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1,685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January 1, 201</w:t>
            </w:r>
            <w:r>
              <w:rPr>
                <w:rFonts w:eastAsia="Times New Roman"/>
                <w:color w:val="000000"/>
                <w:sz w:val="20"/>
                <w:szCs w:val="20"/>
              </w:rPr>
              <w:t>9</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gains and (losses), realized and unrealized, included in</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Subtota</w:t>
            </w:r>
            <w:r>
              <w:rPr>
                <w:rFonts w:eastAsia="Times New Roman"/>
                <w:color w:val="000000"/>
                <w:sz w:val="20"/>
                <w:szCs w:val="20"/>
              </w:rPr>
              <w:t>l</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Sale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636059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1314330437"/>
        <w:rPr>
          <w:rFonts w:eastAsia="Times New Roman"/>
        </w:rPr>
      </w:pPr>
      <w:r>
        <w:rPr>
          <w:rFonts w:eastAsia="Times New Roman"/>
          <w:color w:val="000000"/>
          <w:sz w:val="18"/>
          <w:szCs w:val="18"/>
        </w:rPr>
        <w:t>____________</w:t>
      </w:r>
      <w:r>
        <w:rPr>
          <w:rFonts w:eastAsia="Times New Roman"/>
          <w:color w:val="000000"/>
          <w:sz w:val="18"/>
          <w:szCs w:val="18"/>
        </w:rPr>
        <w:t>_</w:t>
      </w:r>
    </w:p>
    <w:p w:rsidR="00000000" w:rsidRDefault="00775A8F">
      <w:pPr>
        <w:ind w:hanging="360"/>
        <w:divId w:val="90645959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Transfers into/out of the Level 3 classification are reflected at beginning of period fair values</w:t>
      </w:r>
      <w:r>
        <w:rPr>
          <w:rFonts w:eastAsia="Times New Roman"/>
          <w:color w:val="000000"/>
          <w:sz w:val="18"/>
          <w:szCs w:val="18"/>
        </w:rPr>
        <w:t>.</w:t>
      </w:r>
    </w:p>
    <w:p w:rsidR="00000000" w:rsidRDefault="00775A8F">
      <w:pPr>
        <w:jc w:val="center"/>
        <w:divId w:val="812797014"/>
        <w:rPr>
          <w:rFonts w:eastAsia="Times New Roman"/>
        </w:rPr>
      </w:pPr>
      <w:r>
        <w:rPr>
          <w:rFonts w:eastAsia="Times New Roman"/>
          <w:color w:val="000000"/>
          <w:sz w:val="20"/>
          <w:szCs w:val="20"/>
        </w:rPr>
        <w:t>4</w:t>
      </w:r>
      <w:r>
        <w:rPr>
          <w:rFonts w:eastAsia="Times New Roman"/>
          <w:color w:val="000000"/>
          <w:sz w:val="20"/>
          <w:szCs w:val="20"/>
        </w:rPr>
        <w:t>5</w:t>
      </w:r>
    </w:p>
    <w:p w:rsidR="00000000" w:rsidRDefault="00775A8F">
      <w:pPr>
        <w:rPr>
          <w:rFonts w:eastAsia="Times New Roman"/>
        </w:rPr>
      </w:pPr>
      <w:r>
        <w:rPr>
          <w:rFonts w:eastAsia="Times New Roman"/>
        </w:rPr>
        <w:pict>
          <v:rect id="_x0000_i1071" style="width:0;height:1.5pt" o:hralign="center" o:hrstd="t" o:hr="t" fillcolor="#a0a0a0" stroked="f"/>
        </w:pict>
      </w:r>
    </w:p>
    <w:p w:rsidR="00000000" w:rsidRDefault="00775A8F">
      <w:pPr>
        <w:jc w:val="center"/>
        <w:divId w:val="861285181"/>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61285181"/>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27" w:type="pct"/>
        <w:tblCellMar>
          <w:top w:w="15" w:type="dxa"/>
          <w:left w:w="15" w:type="dxa"/>
          <w:bottom w:w="15" w:type="dxa"/>
          <w:right w:w="15" w:type="dxa"/>
        </w:tblCellMar>
        <w:tblLook w:val="04A0" w:firstRow="1" w:lastRow="0" w:firstColumn="1" w:lastColumn="0" w:noHBand="0" w:noVBand="1"/>
      </w:tblPr>
      <w:tblGrid>
        <w:gridCol w:w="43"/>
        <w:gridCol w:w="1694"/>
        <w:gridCol w:w="42"/>
        <w:gridCol w:w="136"/>
        <w:gridCol w:w="716"/>
        <w:gridCol w:w="85"/>
        <w:gridCol w:w="36"/>
        <w:gridCol w:w="36"/>
        <w:gridCol w:w="36"/>
        <w:gridCol w:w="136"/>
        <w:gridCol w:w="739"/>
        <w:gridCol w:w="85"/>
        <w:gridCol w:w="36"/>
        <w:gridCol w:w="36"/>
        <w:gridCol w:w="36"/>
        <w:gridCol w:w="136"/>
        <w:gridCol w:w="555"/>
        <w:gridCol w:w="85"/>
        <w:gridCol w:w="36"/>
        <w:gridCol w:w="36"/>
        <w:gridCol w:w="36"/>
        <w:gridCol w:w="135"/>
        <w:gridCol w:w="699"/>
        <w:gridCol w:w="85"/>
        <w:gridCol w:w="36"/>
        <w:gridCol w:w="36"/>
        <w:gridCol w:w="36"/>
        <w:gridCol w:w="136"/>
        <w:gridCol w:w="798"/>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616401531"/>
        </w:trPr>
        <w:tc>
          <w:tcPr>
            <w:tcW w:w="50" w:type="pct"/>
            <w:vAlign w:val="center"/>
            <w:hideMark/>
          </w:tcPr>
          <w:p w:rsidR="00000000" w:rsidRDefault="00775A8F">
            <w:pPr>
              <w:jc w:val="center"/>
              <w:rPr>
                <w:rFonts w:eastAsia="Times New Roman"/>
              </w:rPr>
            </w:pPr>
          </w:p>
        </w:tc>
        <w:tc>
          <w:tcPr>
            <w:tcW w:w="18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161640153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Other Equity Investment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GMIB Reinsurance Contract Asse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Separate Accounts Asset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GMxB Derivative Features Liabilit</w:t>
            </w:r>
            <w:r>
              <w:rPr>
                <w:rFonts w:eastAsia="Times New Roman"/>
                <w:b/>
                <w:bCs/>
                <w:color w:val="000000"/>
                <w:sz w:val="16"/>
                <w:szCs w:val="16"/>
              </w:rPr>
              <w:t>y</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Contingent Payment Arrangemen</w:t>
            </w:r>
            <w:r>
              <w:rPr>
                <w:rFonts w:eastAsia="Times New Roman"/>
                <w:b/>
                <w:bCs/>
                <w:color w:val="000000"/>
                <w:sz w:val="16"/>
                <w:szCs w:val="16"/>
              </w:rPr>
              <w:t>t</w:t>
            </w:r>
          </w:p>
        </w:tc>
      </w:tr>
      <w:tr w:rsidR="00000000">
        <w:trPr>
          <w:divId w:val="1616401531"/>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(in millions</w:t>
            </w:r>
            <w:r>
              <w:rPr>
                <w:rFonts w:eastAsia="Times New Roman"/>
                <w:color w:val="000000"/>
                <w:sz w:val="20"/>
                <w:szCs w:val="20"/>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61640153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April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140</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2,823</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(9,727</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Realized and unrealized gains (losses), included in Net income (loss) as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derivative gains (losses), excluding non-performance ris</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Non-performance risk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(2,450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58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realized and unrealized gains (losses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(2,796</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Purchases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Sales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Settlements (4</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Change in estimate (5</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Activity related to consolidated VIEs/VOE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(6</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(6</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June 30, 202</w:t>
            </w:r>
            <w:r>
              <w:rPr>
                <w:rFonts w:eastAsia="Times New Roman"/>
                <w:b/>
                <w:bCs/>
                <w:color w:val="000000"/>
                <w:sz w:val="20"/>
                <w:szCs w:val="20"/>
              </w:rPr>
              <w:t>0</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(12,613</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April 1, 201</w:t>
            </w:r>
            <w:r>
              <w:rPr>
                <w:rFonts w:eastAsia="Times New Roman"/>
                <w:color w:val="000000"/>
                <w:sz w:val="20"/>
                <w:szCs w:val="20"/>
              </w:rPr>
              <w:t>9</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(6,126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Realized and unrealized gains (losses), included in Net income (loss) as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derivative gains (losses), excluding non-performance ris</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Non-performance risk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58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realized and unrealized gains (losses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Purchases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Sales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Settlements (4</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Activity related to consolidated VIEs/VOE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(6</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(6</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(6,941</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640153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484277268"/>
        <w:rPr>
          <w:rFonts w:eastAsia="Times New Roman"/>
        </w:rPr>
      </w:pPr>
      <w:r>
        <w:rPr>
          <w:rFonts w:eastAsia="Times New Roman"/>
          <w:color w:val="000000"/>
          <w:sz w:val="20"/>
          <w:szCs w:val="20"/>
        </w:rPr>
        <w:t>____________</w:t>
      </w:r>
      <w:r>
        <w:rPr>
          <w:rFonts w:eastAsia="Times New Roman"/>
          <w:color w:val="000000"/>
          <w:sz w:val="20"/>
          <w:szCs w:val="20"/>
        </w:rPr>
        <w:t>_</w:t>
      </w:r>
    </w:p>
    <w:p w:rsidR="00000000" w:rsidRDefault="00775A8F">
      <w:pPr>
        <w:ind w:hanging="360"/>
        <w:divId w:val="84223466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 Company’s non-performance risk is recorded through Net derivative gains (losses)</w:t>
      </w:r>
      <w:r>
        <w:rPr>
          <w:rFonts w:eastAsia="Times New Roman"/>
          <w:color w:val="000000"/>
          <w:sz w:val="18"/>
          <w:szCs w:val="18"/>
        </w:rPr>
        <w:t>.</w:t>
      </w:r>
    </w:p>
    <w:p w:rsidR="00000000" w:rsidRDefault="00775A8F">
      <w:pPr>
        <w:ind w:hanging="360"/>
        <w:divId w:val="739866857"/>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For the GMIB reinsurance contract asset, and GMxB derivative features liability, represents attributed fee</w:t>
      </w:r>
      <w:r>
        <w:rPr>
          <w:rFonts w:eastAsia="Times New Roman"/>
          <w:color w:val="000000"/>
          <w:sz w:val="18"/>
          <w:szCs w:val="18"/>
        </w:rPr>
        <w:t>.</w:t>
      </w:r>
    </w:p>
    <w:p w:rsidR="00000000" w:rsidRDefault="00775A8F">
      <w:pPr>
        <w:ind w:hanging="360"/>
        <w:divId w:val="476650376"/>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For the GMIB reinsurance contract asset, represents recoveries from reinsurers and for GMxB derivative features liability represents benefits pai</w:t>
      </w:r>
      <w:r>
        <w:rPr>
          <w:rFonts w:eastAsia="Times New Roman"/>
          <w:color w:val="000000"/>
          <w:sz w:val="18"/>
          <w:szCs w:val="18"/>
        </w:rPr>
        <w:t>d</w:t>
      </w:r>
      <w:r>
        <w:rPr>
          <w:rFonts w:eastAsia="Times New Roman"/>
          <w:color w:val="000000"/>
          <w:sz w:val="18"/>
          <w:szCs w:val="18"/>
        </w:rPr>
        <w:t>.</w:t>
      </w:r>
    </w:p>
    <w:p w:rsidR="00000000" w:rsidRDefault="00775A8F">
      <w:pPr>
        <w:ind w:hanging="360"/>
        <w:divId w:val="941642515"/>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For contingent payment arrangements, it represents payments settled under the arrangement related to AB acquisitions</w:t>
      </w:r>
      <w:r>
        <w:rPr>
          <w:rFonts w:eastAsia="Times New Roman"/>
          <w:color w:val="000000"/>
          <w:sz w:val="18"/>
          <w:szCs w:val="18"/>
        </w:rPr>
        <w:t>.</w:t>
      </w:r>
    </w:p>
    <w:p w:rsidR="00000000" w:rsidRDefault="00775A8F">
      <w:pPr>
        <w:ind w:hanging="360"/>
        <w:divId w:val="626546868"/>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For the GMIB reinsurance contract asset, represents a transfer from amounts due from reinsurers</w:t>
      </w:r>
      <w:r>
        <w:rPr>
          <w:rFonts w:eastAsia="Times New Roman"/>
          <w:color w:val="000000"/>
          <w:sz w:val="18"/>
          <w:szCs w:val="18"/>
        </w:rPr>
        <w:t>.</w:t>
      </w:r>
    </w:p>
    <w:p w:rsidR="00000000" w:rsidRDefault="00775A8F">
      <w:pPr>
        <w:ind w:hanging="360"/>
        <w:divId w:val="562495585"/>
        <w:rPr>
          <w:rFonts w:eastAsia="Times New Roman"/>
        </w:rPr>
      </w:pPr>
      <w:r>
        <w:rPr>
          <w:rFonts w:eastAsia="Times New Roman"/>
          <w:color w:val="000000"/>
          <w:sz w:val="18"/>
          <w:szCs w:val="18"/>
        </w:rPr>
        <w:t>(6</w:t>
      </w:r>
      <w:r>
        <w:rPr>
          <w:rFonts w:eastAsia="Times New Roman"/>
          <w:color w:val="000000"/>
          <w:sz w:val="18"/>
          <w:szCs w:val="18"/>
        </w:rPr>
        <w:t>)</w:t>
      </w:r>
      <w:r>
        <w:rPr>
          <w:rFonts w:eastAsia="Times New Roman"/>
          <w:color w:val="000000"/>
          <w:sz w:val="18"/>
          <w:szCs w:val="18"/>
        </w:rPr>
        <w:t>Transfers into/out of the Lev</w:t>
      </w:r>
      <w:r>
        <w:rPr>
          <w:rFonts w:eastAsia="Times New Roman"/>
          <w:color w:val="000000"/>
          <w:sz w:val="18"/>
          <w:szCs w:val="18"/>
        </w:rPr>
        <w:t>el 3 classification are reflected at beginning-of-period fair values</w:t>
      </w:r>
      <w:r>
        <w:rPr>
          <w:rFonts w:eastAsia="Times New Roman"/>
          <w:color w:val="000000"/>
          <w:sz w:val="18"/>
          <w:szCs w:val="18"/>
        </w:rPr>
        <w:t>.</w:t>
      </w:r>
    </w:p>
    <w:p w:rsidR="00000000" w:rsidRDefault="00775A8F">
      <w:pPr>
        <w:jc w:val="center"/>
        <w:divId w:val="465780971"/>
        <w:rPr>
          <w:rFonts w:eastAsia="Times New Roman"/>
        </w:rPr>
      </w:pPr>
      <w:r>
        <w:rPr>
          <w:rFonts w:eastAsia="Times New Roman"/>
          <w:color w:val="000000"/>
          <w:sz w:val="20"/>
          <w:szCs w:val="20"/>
        </w:rPr>
        <w:t>4</w:t>
      </w:r>
      <w:r>
        <w:rPr>
          <w:rFonts w:eastAsia="Times New Roman"/>
          <w:color w:val="000000"/>
          <w:sz w:val="20"/>
          <w:szCs w:val="20"/>
        </w:rPr>
        <w:t>6</w:t>
      </w:r>
    </w:p>
    <w:p w:rsidR="00000000" w:rsidRDefault="00775A8F">
      <w:pPr>
        <w:rPr>
          <w:rFonts w:eastAsia="Times New Roman"/>
        </w:rPr>
      </w:pPr>
      <w:r>
        <w:rPr>
          <w:rFonts w:eastAsia="Times New Roman"/>
        </w:rPr>
        <w:pict>
          <v:rect id="_x0000_i1072" style="width:0;height:1.5pt" o:hralign="center" o:hrstd="t" o:hr="t" fillcolor="#a0a0a0" stroked="f"/>
        </w:pict>
      </w:r>
    </w:p>
    <w:p w:rsidR="00000000" w:rsidRDefault="00775A8F">
      <w:pPr>
        <w:jc w:val="center"/>
        <w:divId w:val="184701996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84701996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9" w:type="pct"/>
        <w:tblCellMar>
          <w:top w:w="15" w:type="dxa"/>
          <w:left w:w="15" w:type="dxa"/>
          <w:bottom w:w="15" w:type="dxa"/>
          <w:right w:w="15" w:type="dxa"/>
        </w:tblCellMar>
        <w:tblLook w:val="04A0" w:firstRow="1" w:lastRow="0" w:firstColumn="1" w:lastColumn="0" w:noHBand="0" w:noVBand="1"/>
      </w:tblPr>
      <w:tblGrid>
        <w:gridCol w:w="44"/>
        <w:gridCol w:w="1733"/>
        <w:gridCol w:w="43"/>
        <w:gridCol w:w="136"/>
        <w:gridCol w:w="716"/>
        <w:gridCol w:w="85"/>
        <w:gridCol w:w="36"/>
        <w:gridCol w:w="36"/>
        <w:gridCol w:w="36"/>
        <w:gridCol w:w="136"/>
        <w:gridCol w:w="737"/>
        <w:gridCol w:w="85"/>
        <w:gridCol w:w="36"/>
        <w:gridCol w:w="36"/>
        <w:gridCol w:w="36"/>
        <w:gridCol w:w="136"/>
        <w:gridCol w:w="555"/>
        <w:gridCol w:w="85"/>
        <w:gridCol w:w="36"/>
        <w:gridCol w:w="36"/>
        <w:gridCol w:w="36"/>
        <w:gridCol w:w="135"/>
        <w:gridCol w:w="699"/>
        <w:gridCol w:w="85"/>
        <w:gridCol w:w="36"/>
        <w:gridCol w:w="36"/>
        <w:gridCol w:w="36"/>
        <w:gridCol w:w="136"/>
        <w:gridCol w:w="796"/>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229029021"/>
        </w:trPr>
        <w:tc>
          <w:tcPr>
            <w:tcW w:w="50" w:type="pct"/>
            <w:vAlign w:val="center"/>
            <w:hideMark/>
          </w:tcPr>
          <w:p w:rsidR="00000000" w:rsidRDefault="00775A8F">
            <w:pPr>
              <w:jc w:val="center"/>
              <w:rPr>
                <w:rFonts w:eastAsia="Times New Roman"/>
              </w:rPr>
            </w:pPr>
          </w:p>
        </w:tc>
        <w:tc>
          <w:tcPr>
            <w:tcW w:w="187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122902902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Other Equity Investment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GMIB Reinsurance</w:t>
            </w:r>
            <w:r>
              <w:rPr>
                <w:rFonts w:eastAsia="Times New Roman"/>
                <w:b/>
                <w:bCs/>
                <w:color w:val="000000"/>
                <w:sz w:val="16"/>
                <w:szCs w:val="16"/>
              </w:rPr>
              <w:t xml:space="preserve"> </w:t>
            </w:r>
          </w:p>
          <w:p w:rsidR="00000000" w:rsidRDefault="00775A8F">
            <w:pPr>
              <w:jc w:val="center"/>
              <w:rPr>
                <w:rFonts w:eastAsia="Times New Roman"/>
              </w:rPr>
            </w:pPr>
            <w:r>
              <w:rPr>
                <w:rFonts w:eastAsia="Times New Roman"/>
                <w:b/>
                <w:bCs/>
                <w:color w:val="000000"/>
                <w:sz w:val="16"/>
                <w:szCs w:val="16"/>
              </w:rPr>
              <w:t> Contract Asse</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Separate Accounts Asset</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GMxB Derivative Features Liability</w:t>
            </w:r>
            <w:r>
              <w:rPr>
                <w:rFonts w:eastAsia="Times New Roman"/>
                <w:b/>
                <w:bCs/>
                <w:color w:val="000000"/>
                <w:sz w:val="16"/>
                <w:szCs w:val="16"/>
              </w:rPr>
              <w:t xml:space="preserve"> </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Contingent Payment Arrangemen</w:t>
            </w:r>
            <w:r>
              <w:rPr>
                <w:rFonts w:eastAsia="Times New Roman"/>
                <w:b/>
                <w:bCs/>
                <w:color w:val="000000"/>
                <w:sz w:val="16"/>
                <w:szCs w:val="16"/>
              </w:rPr>
              <w:t>t</w:t>
            </w:r>
          </w:p>
        </w:tc>
      </w:tr>
      <w:tr w:rsidR="00000000">
        <w:trPr>
          <w:divId w:val="1229029021"/>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22902902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January 1, 202</w:t>
            </w:r>
            <w:r>
              <w:rPr>
                <w:rFonts w:eastAsia="Times New Roman"/>
                <w:b/>
                <w:bCs/>
                <w:color w:val="000000"/>
                <w:sz w:val="20"/>
                <w:szCs w:val="20"/>
              </w:rPr>
              <w:t>0</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2,139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(8,432</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divId w:val="392974762"/>
              <w:rPr>
                <w:rFonts w:eastAsia="Times New Roman"/>
              </w:rPr>
            </w:pPr>
            <w:r>
              <w:rPr>
                <w:rFonts w:eastAsia="Times New Roman"/>
                <w:color w:val="000000"/>
                <w:sz w:val="20"/>
                <w:szCs w:val="20"/>
              </w:rPr>
              <w:t>Realized and unrealized gains (losses), included in Net income (loss) as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divId w:val="221912996"/>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divId w:val="1961297297"/>
              <w:rPr>
                <w:rFonts w:eastAsia="Times New Roman"/>
              </w:rPr>
            </w:pPr>
            <w:r>
              <w:rPr>
                <w:rFonts w:eastAsia="Times New Roman"/>
                <w:color w:val="000000"/>
                <w:sz w:val="20"/>
                <w:szCs w:val="20"/>
              </w:rPr>
              <w:t>Net derivative gains (losses), excluding non-performance ris</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(4,499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divId w:val="586810455"/>
              <w:rPr>
                <w:rFonts w:eastAsia="Times New Roman"/>
              </w:rPr>
            </w:pPr>
            <w:r>
              <w:rPr>
                <w:rFonts w:eastAsia="Times New Roman"/>
                <w:color w:val="000000"/>
                <w:sz w:val="20"/>
                <w:szCs w:val="20"/>
              </w:rPr>
              <w:t>Non-performance risk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divId w:val="71006851"/>
              <w:rPr>
                <w:rFonts w:eastAsia="Times New Roman"/>
              </w:rPr>
            </w:pPr>
            <w:r>
              <w:rPr>
                <w:rFonts w:eastAsia="Times New Roman"/>
                <w:color w:val="000000"/>
                <w:sz w:val="20"/>
                <w:szCs w:val="20"/>
              </w:rPr>
              <w:t>Total realized and unrealized gains (losses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(3,994</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divId w:val="690492991"/>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divId w:val="161745049"/>
              <w:rPr>
                <w:rFonts w:eastAsia="Times New Roman"/>
              </w:rPr>
            </w:pPr>
            <w:r>
              <w:rPr>
                <w:rFonts w:eastAsia="Times New Roman"/>
                <w:color w:val="000000"/>
                <w:sz w:val="20"/>
                <w:szCs w:val="20"/>
              </w:rPr>
              <w:t>Purchases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divId w:val="1548641000"/>
              <w:rPr>
                <w:rFonts w:eastAsia="Times New Roman"/>
              </w:rPr>
            </w:pPr>
            <w:r>
              <w:rPr>
                <w:rFonts w:eastAsia="Times New Roman"/>
                <w:color w:val="000000"/>
                <w:sz w:val="20"/>
                <w:szCs w:val="20"/>
              </w:rPr>
              <w:t>Sales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Settlements (4</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Change in estimate (5</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Activity related to consolidated VIEs/VOE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(6</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(6</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June 30, 202</w:t>
            </w:r>
            <w:r>
              <w:rPr>
                <w:rFonts w:eastAsia="Times New Roman"/>
                <w:b/>
                <w:bCs/>
                <w:color w:val="000000"/>
                <w:sz w:val="20"/>
                <w:szCs w:val="20"/>
              </w:rPr>
              <w:t>0</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2,931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(12,613</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Balance, January 1, 201</w:t>
            </w:r>
            <w:r>
              <w:rPr>
                <w:rFonts w:eastAsia="Times New Roman"/>
                <w:color w:val="000000"/>
                <w:sz w:val="20"/>
                <w:szCs w:val="20"/>
              </w:rPr>
              <w:t>9</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1,732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Realized and unrealized gains (losses), included in Net income (loss) as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derivative gains (losses), excluding non-performance ris</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Non-performance risk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58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realized and unrealized gains (losses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(1,126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Other comprehensive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Purchases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Sales (3</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Settlements (4</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estimat</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Activity related to consolidated VIEs/VOE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into Level 3 (6</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Transfers out of Level 3 (6</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Balance, June 30, 201</w:t>
            </w:r>
            <w:r>
              <w:rPr>
                <w:rFonts w:eastAsia="Times New Roman"/>
                <w:color w:val="000000"/>
                <w:sz w:val="20"/>
                <w:szCs w:val="20"/>
              </w:rPr>
              <w:t>9</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(6,941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290290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191765221"/>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31584000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The Company’</w:t>
      </w:r>
      <w:r>
        <w:rPr>
          <w:rFonts w:eastAsia="Times New Roman"/>
          <w:color w:val="000000"/>
          <w:sz w:val="18"/>
          <w:szCs w:val="18"/>
        </w:rPr>
        <w:t>s non-performance risk is recorded through Net derivative gains (losses)</w:t>
      </w:r>
      <w:r>
        <w:rPr>
          <w:rFonts w:eastAsia="Times New Roman"/>
          <w:color w:val="000000"/>
          <w:sz w:val="18"/>
          <w:szCs w:val="18"/>
        </w:rPr>
        <w:t>.</w:t>
      </w:r>
    </w:p>
    <w:p w:rsidR="00000000" w:rsidRDefault="00775A8F">
      <w:pPr>
        <w:ind w:hanging="360"/>
        <w:divId w:val="2019456528"/>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For the GMIB reinsurance contract asset, and GMxB derivative features liability, represents attributed fee</w:t>
      </w:r>
      <w:r>
        <w:rPr>
          <w:rFonts w:eastAsia="Times New Roman"/>
          <w:color w:val="000000"/>
          <w:sz w:val="18"/>
          <w:szCs w:val="18"/>
        </w:rPr>
        <w:t>.</w:t>
      </w:r>
    </w:p>
    <w:p w:rsidR="00000000" w:rsidRDefault="00775A8F">
      <w:pPr>
        <w:ind w:hanging="360"/>
        <w:divId w:val="2036731236"/>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 xml:space="preserve">For the GMIB reinsurance contract asset, represents recoveries from </w:t>
      </w:r>
      <w:r>
        <w:rPr>
          <w:rFonts w:eastAsia="Times New Roman"/>
          <w:color w:val="000000"/>
          <w:sz w:val="18"/>
          <w:szCs w:val="18"/>
        </w:rPr>
        <w:t>reinsurers and for GMxB derivative features liability represents benefits paid</w:t>
      </w:r>
      <w:r>
        <w:rPr>
          <w:rFonts w:eastAsia="Times New Roman"/>
          <w:color w:val="000000"/>
          <w:sz w:val="18"/>
          <w:szCs w:val="18"/>
        </w:rPr>
        <w:t>.</w:t>
      </w:r>
    </w:p>
    <w:p w:rsidR="00000000" w:rsidRDefault="00775A8F">
      <w:pPr>
        <w:ind w:hanging="360"/>
        <w:divId w:val="1396510207"/>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For contingent payment arrangements, it represents payments under the arrangement</w:t>
      </w:r>
      <w:r>
        <w:rPr>
          <w:rFonts w:eastAsia="Times New Roman"/>
          <w:color w:val="000000"/>
          <w:sz w:val="18"/>
          <w:szCs w:val="18"/>
        </w:rPr>
        <w:t>.</w:t>
      </w:r>
    </w:p>
    <w:p w:rsidR="00000000" w:rsidRDefault="00775A8F">
      <w:pPr>
        <w:ind w:hanging="360"/>
        <w:divId w:val="111290660"/>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For the GMIB reinsurance contract asset, represents a transfer from amounts due from reinsurers</w:t>
      </w:r>
      <w:r>
        <w:rPr>
          <w:rFonts w:eastAsia="Times New Roman"/>
          <w:color w:val="000000"/>
          <w:sz w:val="18"/>
          <w:szCs w:val="18"/>
        </w:rPr>
        <w:t>.</w:t>
      </w:r>
    </w:p>
    <w:p w:rsidR="00000000" w:rsidRDefault="00775A8F">
      <w:pPr>
        <w:ind w:hanging="360"/>
        <w:divId w:val="1896428301"/>
        <w:rPr>
          <w:rFonts w:eastAsia="Times New Roman"/>
        </w:rPr>
      </w:pPr>
      <w:r>
        <w:rPr>
          <w:rFonts w:eastAsia="Times New Roman"/>
          <w:color w:val="000000"/>
          <w:sz w:val="18"/>
          <w:szCs w:val="18"/>
        </w:rPr>
        <w:t>(6</w:t>
      </w:r>
      <w:r>
        <w:rPr>
          <w:rFonts w:eastAsia="Times New Roman"/>
          <w:color w:val="000000"/>
          <w:sz w:val="18"/>
          <w:szCs w:val="18"/>
        </w:rPr>
        <w:t>)</w:t>
      </w:r>
      <w:r>
        <w:rPr>
          <w:rFonts w:eastAsia="Times New Roman"/>
          <w:color w:val="000000"/>
          <w:sz w:val="18"/>
          <w:szCs w:val="18"/>
        </w:rPr>
        <w:t>Transfers into/out of the Level 3 classification are reflected at beginning-of-period fair values</w:t>
      </w:r>
      <w:r>
        <w:rPr>
          <w:rFonts w:eastAsia="Times New Roman"/>
          <w:color w:val="000000"/>
          <w:sz w:val="18"/>
          <w:szCs w:val="18"/>
        </w:rPr>
        <w:t>.</w:t>
      </w:r>
    </w:p>
    <w:p w:rsidR="00000000" w:rsidRDefault="00775A8F">
      <w:pPr>
        <w:divId w:val="53624551"/>
        <w:rPr>
          <w:rFonts w:eastAsia="Times New Roman"/>
        </w:rPr>
      </w:pPr>
      <w:r>
        <w:rPr>
          <w:rFonts w:eastAsia="Times New Roman"/>
          <w:color w:val="000000"/>
          <w:sz w:val="20"/>
          <w:szCs w:val="20"/>
        </w:rPr>
        <w:t>The table below details changes in unrealized gains (loss</w:t>
      </w:r>
      <w:r>
        <w:rPr>
          <w:rFonts w:eastAsia="Times New Roman"/>
          <w:color w:val="000000"/>
          <w:sz w:val="20"/>
          <w:szCs w:val="20"/>
        </w:rPr>
        <w:t>es) for the six months ended June 30, 2020 and 2019 by category for Level 3 assets and liabilities still held at June 30, 2020 and 2019, respectively</w:t>
      </w:r>
      <w:r>
        <w:rPr>
          <w:rFonts w:eastAsia="Times New Roman"/>
          <w:color w:val="000000"/>
          <w:sz w:val="20"/>
          <w:szCs w:val="20"/>
        </w:rPr>
        <w:t>.</w:t>
      </w:r>
    </w:p>
    <w:p w:rsidR="00000000" w:rsidRDefault="00775A8F">
      <w:pPr>
        <w:jc w:val="center"/>
        <w:divId w:val="1333724726"/>
        <w:rPr>
          <w:rFonts w:eastAsia="Times New Roman"/>
        </w:rPr>
      </w:pPr>
      <w:r>
        <w:rPr>
          <w:rFonts w:eastAsia="Times New Roman"/>
          <w:color w:val="000000"/>
          <w:sz w:val="20"/>
          <w:szCs w:val="20"/>
        </w:rPr>
        <w:t>4</w:t>
      </w:r>
      <w:r>
        <w:rPr>
          <w:rFonts w:eastAsia="Times New Roman"/>
          <w:color w:val="000000"/>
          <w:sz w:val="20"/>
          <w:szCs w:val="20"/>
        </w:rPr>
        <w:t>7</w:t>
      </w:r>
    </w:p>
    <w:p w:rsidR="00000000" w:rsidRDefault="00775A8F">
      <w:pPr>
        <w:rPr>
          <w:rFonts w:eastAsia="Times New Roman"/>
        </w:rPr>
      </w:pPr>
      <w:r>
        <w:rPr>
          <w:rFonts w:eastAsia="Times New Roman"/>
        </w:rPr>
        <w:pict>
          <v:rect id="_x0000_i1073" style="width:0;height:1.5pt" o:hralign="center" o:hrstd="t" o:hr="t" fillcolor="#a0a0a0" stroked="f"/>
        </w:pict>
      </w:r>
    </w:p>
    <w:p w:rsidR="00000000" w:rsidRDefault="00775A8F">
      <w:pPr>
        <w:jc w:val="center"/>
        <w:divId w:val="214976514"/>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214976514"/>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 (Unaudited), Continue</w:t>
      </w:r>
      <w:r>
        <w:rPr>
          <w:rFonts w:eastAsia="Times New Roman"/>
          <w:b/>
          <w:bCs/>
          <w:color w:val="000000"/>
          <w:sz w:val="20"/>
          <w:szCs w:val="20"/>
        </w:rPr>
        <w:t>d</w:t>
      </w:r>
    </w:p>
    <w:p w:rsidR="00000000" w:rsidRDefault="00775A8F">
      <w:pPr>
        <w:jc w:val="center"/>
        <w:rPr>
          <w:rFonts w:eastAsia="Times New Roman"/>
        </w:rPr>
      </w:pPr>
      <w:r>
        <w:rPr>
          <w:rFonts w:eastAsia="Times New Roman"/>
          <w:b/>
          <w:bCs/>
          <w:color w:val="000000"/>
          <w:sz w:val="20"/>
          <w:szCs w:val="20"/>
        </w:rPr>
        <w:t>Change in Unrealized Gains (Losses) for Level 3 Instrument</w:t>
      </w:r>
      <w:r>
        <w:rPr>
          <w:rFonts w:eastAsia="Times New Roman"/>
          <w:b/>
          <w:bCs/>
          <w:color w:val="000000"/>
          <w:sz w:val="20"/>
          <w:szCs w:val="20"/>
        </w:rPr>
        <w:t>s</w:t>
      </w:r>
    </w:p>
    <w:tbl>
      <w:tblPr>
        <w:tblW w:w="4649" w:type="pct"/>
        <w:tblCellMar>
          <w:top w:w="15" w:type="dxa"/>
          <w:left w:w="15" w:type="dxa"/>
          <w:bottom w:w="15" w:type="dxa"/>
          <w:right w:w="15" w:type="dxa"/>
        </w:tblCellMar>
        <w:tblLook w:val="04A0" w:firstRow="1" w:lastRow="0" w:firstColumn="1" w:lastColumn="0" w:noHBand="0" w:noVBand="1"/>
      </w:tblPr>
      <w:tblGrid>
        <w:gridCol w:w="41"/>
        <w:gridCol w:w="4789"/>
        <w:gridCol w:w="40"/>
        <w:gridCol w:w="36"/>
        <w:gridCol w:w="36"/>
        <w:gridCol w:w="36"/>
        <w:gridCol w:w="36"/>
        <w:gridCol w:w="135"/>
        <w:gridCol w:w="986"/>
        <w:gridCol w:w="85"/>
        <w:gridCol w:w="36"/>
        <w:gridCol w:w="36"/>
        <w:gridCol w:w="36"/>
        <w:gridCol w:w="135"/>
        <w:gridCol w:w="959"/>
        <w:gridCol w:w="85"/>
        <w:gridCol w:w="36"/>
        <w:gridCol w:w="36"/>
        <w:gridCol w:w="36"/>
        <w:gridCol w:w="36"/>
        <w:gridCol w:w="36"/>
        <w:gridCol w:w="36"/>
      </w:tblGrid>
      <w:tr w:rsidR="00000000">
        <w:trPr>
          <w:gridAfter w:val="6"/>
          <w:divId w:val="1009797176"/>
        </w:trPr>
        <w:tc>
          <w:tcPr>
            <w:tcW w:w="50" w:type="pct"/>
            <w:vAlign w:val="center"/>
            <w:hideMark/>
          </w:tcPr>
          <w:p w:rsidR="00000000" w:rsidRDefault="00775A8F">
            <w:pPr>
              <w:jc w:val="center"/>
              <w:rPr>
                <w:rFonts w:eastAsia="Times New Roman"/>
              </w:rPr>
            </w:pPr>
          </w:p>
        </w:tc>
        <w:tc>
          <w:tcPr>
            <w:tcW w:w="32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3"/>
          <w:divId w:val="1009797176"/>
        </w:trPr>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w:t>
            </w:r>
          </w:p>
        </w:tc>
        <w:tc>
          <w:tcPr>
            <w:tcW w:w="0" w:type="auto"/>
            <w:vAlign w:val="center"/>
            <w:hideMark/>
          </w:tcPr>
          <w:p w:rsidR="00000000" w:rsidRDefault="00775A8F">
            <w:pPr>
              <w:jc w:val="center"/>
              <w:rPr>
                <w:rFonts w:eastAsia="Times New Roman"/>
              </w:rPr>
            </w:pPr>
          </w:p>
        </w:tc>
        <w:tc>
          <w:tcPr>
            <w:tcW w:w="0" w:type="auto"/>
            <w:gridSpan w:val="6"/>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Income (Loss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w:t>
            </w:r>
          </w:p>
        </w:tc>
      </w:tr>
      <w:tr w:rsidR="00000000">
        <w:trPr>
          <w:gridAfter w:val="3"/>
          <w:divId w:val="1009797176"/>
        </w:trPr>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w:t>
            </w:r>
          </w:p>
        </w:tc>
        <w:tc>
          <w:tcPr>
            <w:tcW w:w="0" w:type="auto"/>
            <w:vAlign w:val="center"/>
            <w:hideMark/>
          </w:tcPr>
          <w:p w:rsidR="00000000" w:rsidRDefault="00775A8F">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Net Derivative Gains (Losses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OC</w:t>
            </w:r>
            <w:r>
              <w:rPr>
                <w:rFonts w:eastAsia="Times New Roman"/>
                <w:b/>
                <w:bCs/>
                <w:color w:val="000000"/>
                <w:sz w:val="16"/>
                <w:szCs w:val="16"/>
              </w:rPr>
              <w:t>I</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00979717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Held at June 30, 2020</w:t>
            </w:r>
            <w:r>
              <w:rPr>
                <w:rFonts w:eastAsia="Times New Roman"/>
                <w:b/>
                <w:bCs/>
                <w:color w:val="000000"/>
                <w:sz w:val="20"/>
                <w:szCs w:val="20"/>
              </w:rPr>
              <w:t>:</w:t>
            </w:r>
          </w:p>
        </w:tc>
        <w:tc>
          <w:tcPr>
            <w:tcW w:w="0" w:type="auto"/>
            <w:vAlign w:val="center"/>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unrealized gains (losses)</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Fixed maturities, AF</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State and political subdivisions</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Asset-backed</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fixed maturities, AF</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GMIB reinsurance contracts</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GMxB derivative features liabilit</w:t>
            </w:r>
            <w:r>
              <w:rPr>
                <w:rFonts w:eastAsia="Times New Roman"/>
                <w:color w:val="000000"/>
                <w:sz w:val="20"/>
                <w:szCs w:val="20"/>
              </w:rPr>
              <w:t>y</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(3,994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(3,155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Held at June 30, 2019</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unrealized gains (losses)</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Fixed maturities, AF</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State and political subdivisions</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Asset-backed</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fixed maturities, AF</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GMIB reinsurance contracts</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GMxB derivative features liabilit</w:t>
            </w:r>
            <w:r>
              <w:rPr>
                <w:rFonts w:eastAsia="Times New Roman"/>
                <w:color w:val="000000"/>
                <w:sz w:val="20"/>
                <w:szCs w:val="20"/>
              </w:rPr>
              <w:t>y</w:t>
            </w:r>
          </w:p>
        </w:tc>
        <w:tc>
          <w:tcPr>
            <w:tcW w:w="0" w:type="auto"/>
            <w:vAlign w:val="cente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(1,126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shd w:val="clear" w:color="auto" w:fill="FFFF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w:t>
            </w:r>
            <w:r>
              <w:rPr>
                <w:rFonts w:eastAsia="Times New Roman"/>
                <w:color w:val="000000"/>
                <w:sz w:val="20"/>
                <w:szCs w:val="20"/>
              </w:rPr>
              <w:t xml:space="preserve"> </w:t>
            </w:r>
          </w:p>
        </w:tc>
        <w:tc>
          <w:tcPr>
            <w:tcW w:w="0" w:type="auto"/>
            <w:vAlign w:val="center"/>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(949</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9797176"/>
        </w:trPr>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824974407"/>
        <w:rPr>
          <w:rFonts w:eastAsia="Times New Roman"/>
        </w:rPr>
      </w:pPr>
    </w:p>
    <w:p w:rsidR="00000000" w:rsidRDefault="00775A8F">
      <w:pPr>
        <w:divId w:val="1342661293"/>
        <w:rPr>
          <w:rFonts w:eastAsia="Times New Roman"/>
        </w:rPr>
      </w:pPr>
      <w:r>
        <w:rPr>
          <w:rFonts w:eastAsia="Times New Roman"/>
          <w:color w:val="000000"/>
          <w:sz w:val="20"/>
          <w:szCs w:val="20"/>
          <w:u w:val="single"/>
        </w:rPr>
        <w:t>Quantitative and Qualitative Information about Level 3 Fair Value Measurement</w:t>
      </w:r>
      <w:r>
        <w:rPr>
          <w:rFonts w:eastAsia="Times New Roman"/>
          <w:color w:val="000000"/>
          <w:sz w:val="20"/>
          <w:szCs w:val="20"/>
          <w:u w:val="single"/>
        </w:rPr>
        <w:t>s</w:t>
      </w:r>
    </w:p>
    <w:p w:rsidR="00000000" w:rsidRDefault="00775A8F">
      <w:pPr>
        <w:divId w:val="895238570"/>
        <w:rPr>
          <w:rFonts w:eastAsia="Times New Roman"/>
        </w:rPr>
      </w:pPr>
      <w:r>
        <w:rPr>
          <w:rFonts w:eastAsia="Times New Roman"/>
          <w:color w:val="000000"/>
          <w:sz w:val="20"/>
          <w:szCs w:val="20"/>
        </w:rPr>
        <w:t>The following tables disclose quantitative information about Level 3 fair value measurements by category for assets and liabilities at June 30, 2020 and December 31, 2019, respectively</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Quantitative Information about Level 3 Fair Value Measurements at June</w:t>
      </w:r>
      <w:r>
        <w:rPr>
          <w:rFonts w:eastAsia="Times New Roman"/>
          <w:b/>
          <w:bCs/>
          <w:color w:val="000000"/>
          <w:sz w:val="20"/>
          <w:szCs w:val="20"/>
        </w:rPr>
        <w:t> 30, 202</w:t>
      </w:r>
      <w:r>
        <w:rPr>
          <w:rFonts w:eastAsia="Times New Roman"/>
          <w:b/>
          <w:bCs/>
          <w:color w:val="000000"/>
          <w:sz w:val="20"/>
          <w:szCs w:val="20"/>
        </w:rPr>
        <w:t>0</w:t>
      </w:r>
    </w:p>
    <w:tbl>
      <w:tblPr>
        <w:tblW w:w="4597" w:type="pct"/>
        <w:tblCellMar>
          <w:top w:w="15" w:type="dxa"/>
          <w:left w:w="15" w:type="dxa"/>
          <w:bottom w:w="15" w:type="dxa"/>
          <w:right w:w="15" w:type="dxa"/>
        </w:tblCellMar>
        <w:tblLook w:val="04A0" w:firstRow="1" w:lastRow="0" w:firstColumn="1" w:lastColumn="0" w:noHBand="0" w:noVBand="1"/>
      </w:tblPr>
      <w:tblGrid>
        <w:gridCol w:w="52"/>
        <w:gridCol w:w="1516"/>
        <w:gridCol w:w="52"/>
        <w:gridCol w:w="126"/>
        <w:gridCol w:w="389"/>
        <w:gridCol w:w="80"/>
        <w:gridCol w:w="36"/>
        <w:gridCol w:w="36"/>
        <w:gridCol w:w="36"/>
        <w:gridCol w:w="74"/>
        <w:gridCol w:w="778"/>
        <w:gridCol w:w="74"/>
        <w:gridCol w:w="36"/>
        <w:gridCol w:w="36"/>
        <w:gridCol w:w="36"/>
        <w:gridCol w:w="41"/>
        <w:gridCol w:w="1494"/>
        <w:gridCol w:w="44"/>
        <w:gridCol w:w="36"/>
        <w:gridCol w:w="36"/>
        <w:gridCol w:w="36"/>
        <w:gridCol w:w="42"/>
        <w:gridCol w:w="873"/>
        <w:gridCol w:w="44"/>
        <w:gridCol w:w="36"/>
        <w:gridCol w:w="36"/>
        <w:gridCol w:w="36"/>
        <w:gridCol w:w="51"/>
        <w:gridCol w:w="777"/>
        <w:gridCol w:w="5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336419625"/>
        </w:trPr>
        <w:tc>
          <w:tcPr>
            <w:tcW w:w="50" w:type="pct"/>
            <w:vAlign w:val="center"/>
            <w:hideMark/>
          </w:tcPr>
          <w:p w:rsidR="00000000" w:rsidRDefault="00775A8F">
            <w:pPr>
              <w:jc w:val="center"/>
              <w:rPr>
                <w:rFonts w:eastAsia="Times New Roman"/>
              </w:rPr>
            </w:pPr>
          </w:p>
        </w:tc>
        <w:tc>
          <w:tcPr>
            <w:tcW w:w="110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1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5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18"/>
          <w:divId w:val="133641962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w:t>
            </w:r>
            <w:r>
              <w:rPr>
                <w:rFonts w:eastAsia="Times New Roman"/>
                <w:b/>
                <w:bCs/>
                <w:color w:val="000000"/>
                <w:sz w:val="16"/>
                <w:szCs w:val="16"/>
              </w:rPr>
              <w:t>r</w:t>
            </w:r>
          </w:p>
          <w:p w:rsidR="00000000" w:rsidRDefault="00775A8F">
            <w:pPr>
              <w:jc w:val="center"/>
              <w:rPr>
                <w:rFonts w:eastAsia="Times New Roman"/>
              </w:rPr>
            </w:pPr>
            <w:r>
              <w:rPr>
                <w:rFonts w:eastAsia="Times New Roman"/>
                <w:b/>
                <w:bCs/>
                <w:color w:val="000000"/>
                <w:sz w:val="16"/>
                <w:szCs w:val="16"/>
              </w:rPr>
              <w:t>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Valuatio</w:t>
            </w:r>
            <w:r>
              <w:rPr>
                <w:rFonts w:eastAsia="Times New Roman"/>
                <w:b/>
                <w:bCs/>
                <w:color w:val="000000"/>
                <w:sz w:val="16"/>
                <w:szCs w:val="16"/>
              </w:rPr>
              <w:t>n</w:t>
            </w:r>
          </w:p>
          <w:p w:rsidR="00000000" w:rsidRDefault="00775A8F">
            <w:pPr>
              <w:jc w:val="center"/>
              <w:rPr>
                <w:rFonts w:eastAsia="Times New Roman"/>
              </w:rPr>
            </w:pPr>
            <w:r>
              <w:rPr>
                <w:rFonts w:eastAsia="Times New Roman"/>
                <w:b/>
                <w:bCs/>
                <w:color w:val="000000"/>
                <w:sz w:val="16"/>
                <w:szCs w:val="16"/>
              </w:rPr>
              <w:t>Techniqu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Significan</w:t>
            </w:r>
            <w:r>
              <w:rPr>
                <w:rFonts w:eastAsia="Times New Roman"/>
                <w:b/>
                <w:bCs/>
                <w:color w:val="000000"/>
                <w:sz w:val="16"/>
                <w:szCs w:val="16"/>
              </w:rPr>
              <w:t>t</w:t>
            </w:r>
          </w:p>
          <w:p w:rsidR="00000000" w:rsidRDefault="00775A8F">
            <w:pPr>
              <w:jc w:val="center"/>
              <w:rPr>
                <w:rFonts w:eastAsia="Times New Roman"/>
              </w:rPr>
            </w:pPr>
            <w:r>
              <w:rPr>
                <w:rFonts w:eastAsia="Times New Roman"/>
                <w:b/>
                <w:bCs/>
                <w:color w:val="000000"/>
                <w:sz w:val="16"/>
                <w:szCs w:val="16"/>
              </w:rPr>
              <w:t>Unobservable Inpu</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Rang</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Weighted Average (2</w:t>
            </w:r>
            <w:r>
              <w:rPr>
                <w:rFonts w:eastAsia="Times New Roman"/>
                <w:b/>
                <w:bCs/>
                <w:color w:val="000000"/>
                <w:sz w:val="16"/>
                <w:szCs w:val="16"/>
              </w:rPr>
              <w:t>)</w:t>
            </w:r>
          </w:p>
        </w:tc>
      </w:tr>
      <w:tr w:rsidR="00000000">
        <w:trPr>
          <w:divId w:val="133641962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336419625"/>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18"/>
                <w:szCs w:val="18"/>
              </w:rPr>
              <w:t>Assets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3641962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18"/>
                <w:szCs w:val="18"/>
              </w:rPr>
              <w:t>Investments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36419625"/>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18"/>
                <w:szCs w:val="18"/>
              </w:rPr>
              <w:t>Fixed maturities, AFS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36419625"/>
        </w:trPr>
        <w:tc>
          <w:tcPr>
            <w:tcW w:w="0" w:type="auto"/>
            <w:gridSpan w:val="3"/>
            <w:shd w:val="clear" w:color="auto" w:fill="CCEEFF"/>
            <w:tcMar>
              <w:top w:w="30" w:type="dxa"/>
              <w:left w:w="495" w:type="dxa"/>
              <w:bottom w:w="30" w:type="dxa"/>
              <w:right w:w="20" w:type="dxa"/>
            </w:tcMar>
            <w:vAlign w:val="center"/>
            <w:hideMark/>
          </w:tcPr>
          <w:p w:rsidR="00000000" w:rsidRDefault="00775A8F">
            <w:pPr>
              <w:rPr>
                <w:rFonts w:eastAsia="Times New Roman"/>
              </w:rPr>
            </w:pPr>
            <w:r>
              <w:rPr>
                <w:rFonts w:eastAsia="Times New Roman"/>
                <w:color w:val="000000"/>
                <w:sz w:val="18"/>
                <w:szCs w:val="18"/>
              </w:rPr>
              <w:t>Corporat</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18"/>
                <w:szCs w:val="18"/>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260</w:t>
            </w:r>
            <w:r>
              <w:rPr>
                <w:rFonts w:eastAsia="Times New Roman"/>
                <w:b/>
                <w:bCs/>
                <w:color w:val="000000"/>
                <w:sz w:val="18"/>
                <w:szCs w:val="18"/>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Matrix pricing mode</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Spread over Benchmar</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0 - 580 bp</w:t>
            </w:r>
            <w:r>
              <w:rPr>
                <w:rFonts w:eastAsia="Times New Roman"/>
                <w:b/>
                <w:bCs/>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5A8F">
            <w:pPr>
              <w:jc w:val="center"/>
              <w:rPr>
                <w:rFonts w:eastAsia="Times New Roman"/>
              </w:rPr>
            </w:pPr>
            <w:r>
              <w:rPr>
                <w:rFonts w:ascii="Calibri" w:eastAsia="Times New Roman" w:hAnsi="Calibri" w:cs="Calibri"/>
                <w:b/>
                <w:bCs/>
                <w:color w:val="000000"/>
                <w:sz w:val="18"/>
                <w:szCs w:val="18"/>
              </w:rPr>
              <w:t>36 bp</w:t>
            </w:r>
            <w:r>
              <w:rPr>
                <w:rFonts w:ascii="Calibri" w:eastAsia="Times New Roman" w:hAnsi="Calibri" w:cs="Calibri"/>
                <w:b/>
                <w:bCs/>
                <w:color w:val="000000"/>
                <w:sz w:val="18"/>
                <w:szCs w:val="18"/>
              </w:rPr>
              <w:t>s</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36419625"/>
        </w:trPr>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1,062</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Market comparable </w:t>
            </w:r>
            <w:r>
              <w:rPr>
                <w:rFonts w:eastAsia="Times New Roman"/>
                <w:color w:val="000000"/>
                <w:sz w:val="18"/>
                <w:szCs w:val="18"/>
              </w:rPr>
              <w:br/>
              <w:t>companie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EBITDA multiples</w:t>
            </w:r>
            <w:r>
              <w:rPr>
                <w:rFonts w:eastAsia="Times New Roman"/>
                <w:color w:val="000000"/>
                <w:sz w:val="18"/>
                <w:szCs w:val="18"/>
              </w:rPr>
              <w:br/>
              <w:t xml:space="preserve">Discount rate </w:t>
            </w:r>
            <w:r>
              <w:rPr>
                <w:rFonts w:eastAsia="Times New Roman"/>
                <w:color w:val="000000"/>
                <w:sz w:val="18"/>
                <w:szCs w:val="18"/>
              </w:rPr>
              <w:br/>
              <w:t>Cash flow multiple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3.7x - 33.6x</w:t>
            </w:r>
            <w:r>
              <w:rPr>
                <w:rFonts w:eastAsia="Times New Roman"/>
                <w:b/>
                <w:bCs/>
                <w:color w:val="000000"/>
                <w:sz w:val="18"/>
                <w:szCs w:val="18"/>
              </w:rPr>
              <w:br/>
              <w:t>6.2% - 23.4%</w:t>
            </w:r>
            <w:r>
              <w:rPr>
                <w:rFonts w:eastAsia="Times New Roman"/>
                <w:b/>
                <w:bCs/>
                <w:color w:val="000000"/>
                <w:sz w:val="18"/>
                <w:szCs w:val="18"/>
              </w:rPr>
              <w:br/>
              <w:t>0.9x - 25.0</w:t>
            </w:r>
            <w:r>
              <w:rPr>
                <w:rFonts w:eastAsia="Times New Roman"/>
                <w:b/>
                <w:bCs/>
                <w:color w:val="000000"/>
                <w:sz w:val="18"/>
                <w:szCs w:val="18"/>
              </w:rPr>
              <w:t>x</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14.0x</w:t>
            </w:r>
            <w:r>
              <w:rPr>
                <w:rFonts w:eastAsia="Times New Roman"/>
                <w:b/>
                <w:bCs/>
                <w:color w:val="000000"/>
                <w:sz w:val="18"/>
                <w:szCs w:val="18"/>
              </w:rPr>
              <w:br/>
              <w:t>10.2%</w:t>
            </w:r>
            <w:r>
              <w:rPr>
                <w:rFonts w:eastAsia="Times New Roman"/>
                <w:b/>
                <w:bCs/>
                <w:color w:val="000000"/>
                <w:sz w:val="18"/>
                <w:szCs w:val="18"/>
              </w:rPr>
              <w:br/>
              <w:t>11.1</w:t>
            </w:r>
            <w:r>
              <w:rPr>
                <w:rFonts w:eastAsia="Times New Roman"/>
                <w:b/>
                <w:bCs/>
                <w:color w:val="000000"/>
                <w:sz w:val="18"/>
                <w:szCs w:val="18"/>
              </w:rPr>
              <w:t>x</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36419625"/>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Other equity investment</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37</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 factor</w:t>
            </w:r>
            <w:r>
              <w:rPr>
                <w:rFonts w:eastAsia="Times New Roman"/>
                <w:color w:val="000000"/>
                <w:sz w:val="18"/>
                <w:szCs w:val="18"/>
              </w:rPr>
              <w:br/>
              <w:t>Discount year</w:t>
            </w:r>
            <w:r>
              <w:rPr>
                <w:rFonts w:eastAsia="Times New Roman"/>
                <w:color w:val="000000"/>
                <w:sz w:val="18"/>
                <w:szCs w:val="18"/>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8.0x</w:t>
            </w:r>
            <w:r>
              <w:rPr>
                <w:rFonts w:eastAsia="Times New Roman"/>
                <w:b/>
                <w:bCs/>
                <w:color w:val="000000"/>
                <w:sz w:val="18"/>
                <w:szCs w:val="18"/>
              </w:rPr>
              <w:br/>
              <w:t>10.0%</w:t>
            </w:r>
            <w:r>
              <w:rPr>
                <w:rFonts w:eastAsia="Times New Roman"/>
                <w:b/>
                <w:bCs/>
                <w:color w:val="000000"/>
                <w:sz w:val="18"/>
                <w:szCs w:val="18"/>
              </w:rPr>
              <w:br/>
              <w:t>1</w:t>
            </w:r>
            <w:r>
              <w:rPr>
                <w:rFonts w:eastAsia="Times New Roman"/>
                <w:b/>
                <w:bCs/>
                <w:color w:val="000000"/>
                <w:sz w:val="18"/>
                <w:szCs w:val="18"/>
              </w:rPr>
              <w:t>1</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36419625"/>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GMIB reinsurance contract asse</w:t>
            </w:r>
            <w:r>
              <w:rPr>
                <w:rFonts w:eastAsia="Times New Roman"/>
                <w:color w:val="000000"/>
                <w:sz w:val="18"/>
                <w:szCs w:val="18"/>
              </w:rPr>
              <w:t>t</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2,931</w:t>
            </w:r>
            <w:r>
              <w:rPr>
                <w:rFonts w:eastAsia="Times New Roman"/>
                <w:b/>
                <w:bCs/>
                <w:color w:val="000000"/>
                <w:sz w:val="18"/>
                <w:szCs w:val="18"/>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w:t>
            </w:r>
            <w:r>
              <w:rPr>
                <w:rFonts w:eastAsia="Times New Roman"/>
                <w:color w:val="000000"/>
                <w:sz w:val="18"/>
                <w:szCs w:val="18"/>
              </w:rPr>
              <w:t>5</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55 - 144 bps</w:t>
            </w:r>
            <w:r>
              <w:rPr>
                <w:rFonts w:eastAsia="Times New Roman"/>
                <w:b/>
                <w:bCs/>
                <w:color w:val="000000"/>
                <w:sz w:val="18"/>
                <w:szCs w:val="18"/>
              </w:rPr>
              <w:br/>
              <w:t>0.8%-10%</w:t>
            </w:r>
            <w:r>
              <w:rPr>
                <w:rFonts w:eastAsia="Times New Roman"/>
                <w:b/>
                <w:bCs/>
                <w:color w:val="000000"/>
                <w:sz w:val="18"/>
                <w:szCs w:val="18"/>
              </w:rPr>
              <w:br/>
              <w:t>0%-8%</w:t>
            </w:r>
            <w:r>
              <w:rPr>
                <w:rFonts w:eastAsia="Times New Roman"/>
                <w:b/>
                <w:bCs/>
                <w:color w:val="000000"/>
                <w:sz w:val="18"/>
                <w:szCs w:val="18"/>
              </w:rPr>
              <w:br/>
              <w:t>0%-49%</w:t>
            </w:r>
            <w:r>
              <w:rPr>
                <w:rFonts w:eastAsia="Times New Roman"/>
                <w:b/>
                <w:bCs/>
                <w:color w:val="000000"/>
                <w:sz w:val="18"/>
                <w:szCs w:val="18"/>
              </w:rPr>
              <w:br/>
              <w:t>14%-34%</w:t>
            </w:r>
            <w:r>
              <w:rPr>
                <w:rFonts w:eastAsia="Times New Roman"/>
                <w:b/>
                <w:bCs/>
                <w:color w:val="000000"/>
                <w:sz w:val="18"/>
                <w:szCs w:val="18"/>
              </w:rPr>
              <w:br/>
            </w:r>
            <w:r>
              <w:rPr>
                <w:rFonts w:eastAsia="Times New Roman"/>
                <w:b/>
                <w:bCs/>
                <w:color w:val="000000"/>
                <w:sz w:val="18"/>
                <w:szCs w:val="18"/>
              </w:rPr>
              <w:br/>
              <w:t>0.01%-0.18%</w:t>
            </w:r>
            <w:r>
              <w:rPr>
                <w:rFonts w:eastAsia="Times New Roman"/>
                <w:b/>
                <w:bCs/>
                <w:color w:val="000000"/>
                <w:sz w:val="18"/>
                <w:szCs w:val="18"/>
              </w:rPr>
              <w:br/>
              <w:t>0.07%-0.54%</w:t>
            </w:r>
            <w:r>
              <w:rPr>
                <w:rFonts w:eastAsia="Times New Roman"/>
                <w:b/>
                <w:bCs/>
                <w:color w:val="000000"/>
                <w:sz w:val="18"/>
                <w:szCs w:val="18"/>
              </w:rPr>
              <w:br/>
              <w:t>0.42%-42.20</w:t>
            </w:r>
            <w:r>
              <w:rPr>
                <w:rFonts w:eastAsia="Times New Roman"/>
                <w:b/>
                <w:bCs/>
                <w:color w:val="000000"/>
                <w:sz w:val="18"/>
                <w:szCs w:val="18"/>
              </w:rPr>
              <w:t>%</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73 bps</w:t>
            </w:r>
            <w:r>
              <w:rPr>
                <w:rFonts w:eastAsia="Times New Roman"/>
                <w:b/>
                <w:bCs/>
                <w:color w:val="000000"/>
                <w:sz w:val="18"/>
                <w:szCs w:val="18"/>
              </w:rPr>
              <w:br/>
              <w:t>1.55%</w:t>
            </w:r>
            <w:r>
              <w:rPr>
                <w:rFonts w:eastAsia="Times New Roman"/>
                <w:b/>
                <w:bCs/>
                <w:color w:val="000000"/>
                <w:sz w:val="18"/>
                <w:szCs w:val="18"/>
              </w:rPr>
              <w:br/>
              <w:t>1.11%</w:t>
            </w:r>
            <w:r>
              <w:rPr>
                <w:rFonts w:eastAsia="Times New Roman"/>
                <w:b/>
                <w:bCs/>
                <w:color w:val="000000"/>
                <w:sz w:val="18"/>
                <w:szCs w:val="18"/>
              </w:rPr>
              <w:br/>
              <w:t>6.20%</w:t>
            </w:r>
            <w:r>
              <w:rPr>
                <w:rFonts w:eastAsia="Times New Roman"/>
                <w:b/>
                <w:bCs/>
                <w:color w:val="000000"/>
                <w:sz w:val="18"/>
                <w:szCs w:val="18"/>
              </w:rPr>
              <w:br/>
              <w:t>24%</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All ages 2.76%</w:t>
            </w:r>
            <w:r>
              <w:rPr>
                <w:rFonts w:eastAsia="Times New Roman"/>
                <w:b/>
                <w:bCs/>
                <w:color w:val="000000"/>
                <w:sz w:val="18"/>
                <w:szCs w:val="18"/>
              </w:rPr>
              <w:br/>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867379101"/>
        <w:rPr>
          <w:rFonts w:eastAsia="Times New Roman"/>
        </w:rPr>
      </w:pPr>
      <w:r>
        <w:rPr>
          <w:rFonts w:eastAsia="Times New Roman"/>
          <w:color w:val="000000"/>
          <w:sz w:val="20"/>
          <w:szCs w:val="20"/>
        </w:rPr>
        <w:t>4</w:t>
      </w:r>
      <w:r>
        <w:rPr>
          <w:rFonts w:eastAsia="Times New Roman"/>
          <w:color w:val="000000"/>
          <w:sz w:val="20"/>
          <w:szCs w:val="20"/>
        </w:rPr>
        <w:t>8</w:t>
      </w:r>
    </w:p>
    <w:p w:rsidR="00000000" w:rsidRDefault="00775A8F">
      <w:pPr>
        <w:rPr>
          <w:rFonts w:eastAsia="Times New Roman"/>
        </w:rPr>
      </w:pPr>
      <w:r>
        <w:rPr>
          <w:rFonts w:eastAsia="Times New Roman"/>
        </w:rPr>
        <w:pict>
          <v:rect id="_x0000_i1074" style="width:0;height:1.5pt" o:hralign="center" o:hrstd="t" o:hr="t" fillcolor="#a0a0a0" stroked="f"/>
        </w:pict>
      </w:r>
    </w:p>
    <w:p w:rsidR="00000000" w:rsidRDefault="00775A8F">
      <w:pPr>
        <w:jc w:val="center"/>
        <w:divId w:val="1871186517"/>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871186517"/>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597" w:type="pct"/>
        <w:tblCellMar>
          <w:top w:w="15" w:type="dxa"/>
          <w:left w:w="15" w:type="dxa"/>
          <w:bottom w:w="15" w:type="dxa"/>
          <w:right w:w="15" w:type="dxa"/>
        </w:tblCellMar>
        <w:tblLook w:val="04A0" w:firstRow="1" w:lastRow="0" w:firstColumn="1" w:lastColumn="0" w:noHBand="0" w:noVBand="1"/>
      </w:tblPr>
      <w:tblGrid>
        <w:gridCol w:w="58"/>
        <w:gridCol w:w="1676"/>
        <w:gridCol w:w="58"/>
        <w:gridCol w:w="97"/>
        <w:gridCol w:w="463"/>
        <w:gridCol w:w="80"/>
        <w:gridCol w:w="36"/>
        <w:gridCol w:w="36"/>
        <w:gridCol w:w="36"/>
        <w:gridCol w:w="69"/>
        <w:gridCol w:w="767"/>
        <w:gridCol w:w="68"/>
        <w:gridCol w:w="36"/>
        <w:gridCol w:w="36"/>
        <w:gridCol w:w="36"/>
        <w:gridCol w:w="43"/>
        <w:gridCol w:w="1683"/>
        <w:gridCol w:w="58"/>
        <w:gridCol w:w="36"/>
        <w:gridCol w:w="36"/>
        <w:gridCol w:w="36"/>
        <w:gridCol w:w="48"/>
        <w:gridCol w:w="984"/>
        <w:gridCol w:w="58"/>
        <w:gridCol w:w="36"/>
        <w:gridCol w:w="36"/>
        <w:gridCol w:w="36"/>
        <w:gridCol w:w="51"/>
        <w:gridCol w:w="885"/>
        <w:gridCol w:w="59"/>
      </w:tblGrid>
      <w:tr w:rsidR="00000000">
        <w:trPr>
          <w:divId w:val="181208962"/>
        </w:trPr>
        <w:tc>
          <w:tcPr>
            <w:tcW w:w="50" w:type="pct"/>
            <w:vAlign w:val="center"/>
            <w:hideMark/>
          </w:tcPr>
          <w:p w:rsidR="00000000" w:rsidRDefault="00775A8F">
            <w:pPr>
              <w:jc w:val="center"/>
              <w:rPr>
                <w:rFonts w:eastAsia="Times New Roman"/>
              </w:rPr>
            </w:pPr>
          </w:p>
        </w:tc>
        <w:tc>
          <w:tcPr>
            <w:tcW w:w="110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2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1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5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8120896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w:t>
            </w:r>
            <w:r>
              <w:rPr>
                <w:rFonts w:eastAsia="Times New Roman"/>
                <w:b/>
                <w:bCs/>
                <w:color w:val="000000"/>
                <w:sz w:val="16"/>
                <w:szCs w:val="16"/>
              </w:rPr>
              <w:t>r</w:t>
            </w:r>
          </w:p>
          <w:p w:rsidR="00000000" w:rsidRDefault="00775A8F">
            <w:pPr>
              <w:jc w:val="center"/>
              <w:rPr>
                <w:rFonts w:eastAsia="Times New Roman"/>
              </w:rPr>
            </w:pPr>
            <w:r>
              <w:rPr>
                <w:rFonts w:eastAsia="Times New Roman"/>
                <w:b/>
                <w:bCs/>
                <w:color w:val="000000"/>
                <w:sz w:val="16"/>
                <w:szCs w:val="16"/>
              </w:rPr>
              <w:t>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Valuatio</w:t>
            </w:r>
            <w:r>
              <w:rPr>
                <w:rFonts w:eastAsia="Times New Roman"/>
                <w:b/>
                <w:bCs/>
                <w:color w:val="000000"/>
                <w:sz w:val="16"/>
                <w:szCs w:val="16"/>
              </w:rPr>
              <w:t>n</w:t>
            </w:r>
          </w:p>
          <w:p w:rsidR="00000000" w:rsidRDefault="00775A8F">
            <w:pPr>
              <w:jc w:val="center"/>
              <w:rPr>
                <w:rFonts w:eastAsia="Times New Roman"/>
              </w:rPr>
            </w:pPr>
            <w:r>
              <w:rPr>
                <w:rFonts w:eastAsia="Times New Roman"/>
                <w:b/>
                <w:bCs/>
                <w:color w:val="000000"/>
                <w:sz w:val="16"/>
                <w:szCs w:val="16"/>
              </w:rPr>
              <w:t>Techniqu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Significan</w:t>
            </w:r>
            <w:r>
              <w:rPr>
                <w:rFonts w:eastAsia="Times New Roman"/>
                <w:b/>
                <w:bCs/>
                <w:color w:val="000000"/>
                <w:sz w:val="16"/>
                <w:szCs w:val="16"/>
              </w:rPr>
              <w:t>t</w:t>
            </w:r>
          </w:p>
          <w:p w:rsidR="00000000" w:rsidRDefault="00775A8F">
            <w:pPr>
              <w:jc w:val="center"/>
              <w:rPr>
                <w:rFonts w:eastAsia="Times New Roman"/>
              </w:rPr>
            </w:pPr>
            <w:r>
              <w:rPr>
                <w:rFonts w:eastAsia="Times New Roman"/>
                <w:b/>
                <w:bCs/>
                <w:color w:val="000000"/>
                <w:sz w:val="16"/>
                <w:szCs w:val="16"/>
              </w:rPr>
              <w:t>Unobservable Inpu</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Rang</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Weighted Average (2</w:t>
            </w:r>
            <w:r>
              <w:rPr>
                <w:rFonts w:eastAsia="Times New Roman"/>
                <w:b/>
                <w:bCs/>
                <w:color w:val="000000"/>
                <w:sz w:val="16"/>
                <w:szCs w:val="16"/>
              </w:rPr>
              <w:t>)</w:t>
            </w:r>
          </w:p>
        </w:tc>
      </w:tr>
      <w:tr w:rsidR="00000000">
        <w:trPr>
          <w:divId w:val="1812089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b/>
                <w:bCs/>
                <w:color w:val="000000"/>
                <w:sz w:val="18"/>
                <w:szCs w:val="18"/>
              </w:rPr>
              <w:t>Liabilities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81208962"/>
        </w:trPr>
        <w:tc>
          <w:tcPr>
            <w:tcW w:w="0" w:type="auto"/>
            <w:gridSpan w:val="3"/>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GMIBNL</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12,081</w:t>
            </w:r>
            <w:r>
              <w:rPr>
                <w:rFonts w:eastAsia="Times New Roman"/>
                <w:b/>
                <w:bCs/>
                <w:color w:val="000000"/>
                <w:sz w:val="18"/>
                <w:szCs w:val="18"/>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r>
            <w:r>
              <w:rPr>
                <w:rFonts w:eastAsia="Times New Roman"/>
                <w:color w:val="000000"/>
                <w:sz w:val="18"/>
                <w:szCs w:val="18"/>
              </w:rPr>
              <w:t>Annuitization rates</w:t>
            </w:r>
            <w:r>
              <w:rPr>
                <w:rFonts w:eastAsia="Times New Roman"/>
                <w:color w:val="000000"/>
                <w:sz w:val="18"/>
                <w:szCs w:val="18"/>
              </w:rPr>
              <w:br/>
              <w:t>Mortality rates (1):</w:t>
            </w:r>
            <w:r>
              <w:rPr>
                <w:rFonts w:eastAsia="Times New Roman"/>
                <w:color w:val="000000"/>
                <w:sz w:val="18"/>
                <w:szCs w:val="18"/>
              </w:rPr>
              <w:br/>
              <w:t>Ages 0 - 40</w:t>
            </w:r>
            <w:r>
              <w:rPr>
                <w:rFonts w:eastAsia="Times New Roman"/>
                <w:color w:val="000000"/>
                <w:sz w:val="18"/>
                <w:szCs w:val="18"/>
              </w:rPr>
              <w:br/>
              <w:t>Ages 41 - 60</w:t>
            </w:r>
            <w:r>
              <w:rPr>
                <w:rFonts w:eastAsia="Times New Roman"/>
                <w:color w:val="000000"/>
                <w:sz w:val="18"/>
                <w:szCs w:val="18"/>
              </w:rPr>
              <w:br/>
              <w:t>Ages 61 - 11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166.0 bps</w:t>
            </w:r>
            <w:r>
              <w:rPr>
                <w:rFonts w:eastAsia="Times New Roman"/>
                <w:b/>
                <w:bCs/>
                <w:color w:val="000000"/>
                <w:sz w:val="18"/>
                <w:szCs w:val="18"/>
              </w:rPr>
              <w:br/>
              <w:t>0.8%-19.9%</w:t>
            </w:r>
            <w:r>
              <w:rPr>
                <w:rFonts w:eastAsia="Times New Roman"/>
                <w:b/>
                <w:bCs/>
                <w:color w:val="000000"/>
                <w:sz w:val="18"/>
                <w:szCs w:val="18"/>
              </w:rPr>
              <w:br/>
              <w:t>0.3%-11%</w:t>
            </w:r>
            <w:r>
              <w:rPr>
                <w:rFonts w:eastAsia="Times New Roman"/>
                <w:b/>
                <w:bCs/>
                <w:color w:val="000000"/>
                <w:sz w:val="18"/>
                <w:szCs w:val="18"/>
              </w:rPr>
              <w:br/>
              <w:t>0%-100%</w:t>
            </w:r>
            <w:r>
              <w:rPr>
                <w:rFonts w:eastAsia="Times New Roman"/>
                <w:b/>
                <w:bCs/>
                <w:color w:val="000000"/>
                <w:sz w:val="18"/>
                <w:szCs w:val="18"/>
              </w:rPr>
              <w:br/>
            </w:r>
            <w:r>
              <w:rPr>
                <w:rFonts w:eastAsia="Times New Roman"/>
                <w:b/>
                <w:bCs/>
                <w:color w:val="000000"/>
                <w:sz w:val="18"/>
                <w:szCs w:val="18"/>
              </w:rPr>
              <w:br/>
              <w:t>0.01%-0.19%</w:t>
            </w:r>
            <w:r>
              <w:rPr>
                <w:rFonts w:eastAsia="Times New Roman"/>
                <w:b/>
                <w:bCs/>
                <w:color w:val="000000"/>
                <w:sz w:val="18"/>
                <w:szCs w:val="18"/>
              </w:rPr>
              <w:br/>
              <w:t>0.06%-0.53%</w:t>
            </w:r>
            <w:r>
              <w:rPr>
                <w:rFonts w:eastAsia="Times New Roman"/>
                <w:b/>
                <w:bCs/>
                <w:color w:val="000000"/>
                <w:sz w:val="18"/>
                <w:szCs w:val="18"/>
              </w:rPr>
              <w:br/>
              <w:t>0.41%-41.39</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br/>
              <w:t>2.59%</w:t>
            </w:r>
            <w:r>
              <w:rPr>
                <w:rFonts w:eastAsia="Times New Roman"/>
                <w:b/>
                <w:bCs/>
                <w:color w:val="000000"/>
                <w:sz w:val="18"/>
                <w:szCs w:val="18"/>
              </w:rPr>
              <w:br/>
              <w:t>1.17%</w:t>
            </w:r>
            <w:r>
              <w:rPr>
                <w:rFonts w:eastAsia="Times New Roman"/>
                <w:b/>
                <w:bCs/>
                <w:color w:val="000000"/>
                <w:sz w:val="18"/>
                <w:szCs w:val="18"/>
              </w:rPr>
              <w:br/>
              <w:t>6.19%</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All ages 1.38</w:t>
            </w:r>
            <w:r>
              <w:rPr>
                <w:rFonts w:eastAsia="Times New Roman"/>
                <w:b/>
                <w:bCs/>
                <w:color w:val="000000"/>
                <w:sz w:val="18"/>
                <w:szCs w:val="18"/>
              </w:rPr>
              <w:t>%</w:t>
            </w:r>
          </w:p>
        </w:tc>
      </w:tr>
      <w:tr w:rsidR="00000000">
        <w:trPr>
          <w:divId w:val="1812089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Assumed GMIB Reinsurance Contract</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231</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 xml:space="preserve">Non-performance risk </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109 - 232 bps</w:t>
            </w:r>
            <w:r>
              <w:rPr>
                <w:rFonts w:eastAsia="Times New Roman"/>
                <w:b/>
                <w:bCs/>
                <w:color w:val="000000"/>
                <w:sz w:val="18"/>
                <w:szCs w:val="18"/>
              </w:rPr>
              <w:br/>
              <w:t>1.1% - 11.1%</w:t>
            </w:r>
            <w:r>
              <w:rPr>
                <w:rFonts w:eastAsia="Times New Roman"/>
                <w:b/>
                <w:bCs/>
                <w:color w:val="000000"/>
                <w:sz w:val="18"/>
                <w:szCs w:val="18"/>
              </w:rPr>
              <w:br/>
            </w:r>
            <w:r>
              <w:rPr>
                <w:rFonts w:eastAsia="Times New Roman"/>
                <w:b/>
                <w:bCs/>
                <w:color w:val="000000"/>
                <w:sz w:val="18"/>
                <w:szCs w:val="18"/>
              </w:rPr>
              <w:t>0.6% - 22.2%</w:t>
            </w:r>
            <w:r>
              <w:rPr>
                <w:rFonts w:eastAsia="Times New Roman"/>
                <w:b/>
                <w:bCs/>
                <w:color w:val="000000"/>
                <w:sz w:val="18"/>
                <w:szCs w:val="18"/>
              </w:rPr>
              <w:br/>
              <w:t>1.1% - 100%</w:t>
            </w:r>
            <w:r>
              <w:rPr>
                <w:rFonts w:eastAsia="Times New Roman"/>
                <w:b/>
                <w:bCs/>
                <w:color w:val="000000"/>
                <w:sz w:val="18"/>
                <w:szCs w:val="18"/>
              </w:rPr>
              <w:br/>
              <w:t>0% - 30%</w:t>
            </w:r>
            <w:r>
              <w:rPr>
                <w:rFonts w:eastAsia="Times New Roman"/>
                <w:b/>
                <w:bCs/>
                <w:color w:val="000000"/>
                <w:sz w:val="18"/>
                <w:szCs w:val="18"/>
              </w:rPr>
              <w:br/>
              <w:t>14% - 34</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178 bps</w:t>
            </w:r>
            <w:r>
              <w:rPr>
                <w:rFonts w:eastAsia="Times New Roman"/>
                <w:b/>
                <w:bCs/>
                <w:color w:val="000000"/>
                <w:sz w:val="18"/>
                <w:szCs w:val="18"/>
              </w:rPr>
              <w:br/>
              <w:t>1.55%</w:t>
            </w:r>
            <w:r>
              <w:rPr>
                <w:rFonts w:eastAsia="Times New Roman"/>
                <w:b/>
                <w:bCs/>
                <w:color w:val="000000"/>
                <w:sz w:val="18"/>
                <w:szCs w:val="18"/>
              </w:rPr>
              <w:br/>
              <w:t>All ages 1.11%</w:t>
            </w:r>
            <w:r>
              <w:rPr>
                <w:rFonts w:eastAsia="Times New Roman"/>
                <w:b/>
                <w:bCs/>
                <w:color w:val="000000"/>
                <w:sz w:val="18"/>
                <w:szCs w:val="18"/>
              </w:rPr>
              <w:br/>
            </w:r>
            <w:r>
              <w:rPr>
                <w:rFonts w:eastAsia="Times New Roman"/>
                <w:b/>
                <w:bCs/>
                <w:color w:val="000000"/>
                <w:sz w:val="18"/>
                <w:szCs w:val="18"/>
              </w:rPr>
              <w:br/>
              <w:t>6.20%</w:t>
            </w:r>
            <w:r>
              <w:rPr>
                <w:rFonts w:eastAsia="Times New Roman"/>
                <w:b/>
                <w:bCs/>
                <w:color w:val="000000"/>
                <w:sz w:val="18"/>
                <w:szCs w:val="18"/>
              </w:rPr>
              <w:br/>
              <w:t>24</w:t>
            </w:r>
            <w:r>
              <w:rPr>
                <w:rFonts w:eastAsia="Times New Roman"/>
                <w:b/>
                <w:bCs/>
                <w:color w:val="000000"/>
                <w:sz w:val="18"/>
                <w:szCs w:val="18"/>
              </w:rPr>
              <w:t>%</w:t>
            </w:r>
          </w:p>
        </w:tc>
      </w:tr>
      <w:tr w:rsidR="00000000">
        <w:trPr>
          <w:divId w:val="181208962"/>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GWBL/GMW</w:t>
            </w:r>
            <w:r>
              <w:rPr>
                <w:rFonts w:eastAsia="Times New Roman"/>
                <w:color w:val="000000"/>
                <w:sz w:val="18"/>
                <w:szCs w:val="18"/>
              </w:rPr>
              <w:t>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167</w:t>
            </w:r>
            <w:r>
              <w:rPr>
                <w:rFonts w:eastAsia="Times New Roman"/>
                <w:b/>
                <w:bCs/>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r>
            <w:r>
              <w:rPr>
                <w:rFonts w:eastAsia="Times New Roman"/>
                <w:color w:val="000000"/>
                <w:sz w:val="18"/>
                <w:szCs w:val="18"/>
              </w:rPr>
              <w:t>Volatility rates - Equit</w:t>
            </w:r>
            <w:r>
              <w:rPr>
                <w:rFonts w:eastAsia="Times New Roman"/>
                <w:color w:val="000000"/>
                <w:sz w:val="18"/>
                <w:szCs w:val="18"/>
              </w:rPr>
              <w:t>y</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166.0 bps</w:t>
            </w:r>
            <w:r>
              <w:rPr>
                <w:rFonts w:eastAsia="Times New Roman"/>
                <w:b/>
                <w:bCs/>
                <w:color w:val="000000"/>
                <w:sz w:val="18"/>
                <w:szCs w:val="18"/>
              </w:rPr>
              <w:br/>
              <w:t>0.8%-10%</w:t>
            </w:r>
            <w:r>
              <w:rPr>
                <w:rFonts w:eastAsia="Times New Roman"/>
                <w:b/>
                <w:bCs/>
                <w:color w:val="000000"/>
                <w:sz w:val="18"/>
                <w:szCs w:val="18"/>
              </w:rPr>
              <w:br/>
              <w:t>0%-7%</w:t>
            </w:r>
            <w:r>
              <w:rPr>
                <w:rFonts w:eastAsia="Times New Roman"/>
                <w:b/>
                <w:bCs/>
                <w:color w:val="000000"/>
                <w:sz w:val="18"/>
                <w:szCs w:val="18"/>
              </w:rPr>
              <w:br/>
              <w:t>100% once starting</w:t>
            </w:r>
            <w:r>
              <w:rPr>
                <w:rFonts w:eastAsia="Times New Roman"/>
                <w:b/>
                <w:bCs/>
                <w:color w:val="000000"/>
                <w:sz w:val="18"/>
                <w:szCs w:val="18"/>
              </w:rPr>
              <w:br/>
              <w:t>14%-34%</w:t>
            </w:r>
            <w:r>
              <w:rPr>
                <w:rFonts w:eastAsia="Times New Roman"/>
                <w:b/>
                <w:bCs/>
                <w:color w:val="000000"/>
                <w:sz w:val="18"/>
                <w:szCs w:val="18"/>
              </w:rPr>
              <w:br/>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br/>
              <w:t>1.55%</w:t>
            </w:r>
            <w:r>
              <w:rPr>
                <w:rFonts w:eastAsia="Times New Roman"/>
                <w:b/>
                <w:bCs/>
                <w:color w:val="000000"/>
                <w:sz w:val="18"/>
                <w:szCs w:val="18"/>
              </w:rPr>
              <w:br/>
              <w:t>1.11%</w:t>
            </w:r>
            <w:r>
              <w:rPr>
                <w:rFonts w:eastAsia="Times New Roman"/>
                <w:b/>
                <w:bCs/>
                <w:color w:val="000000"/>
                <w:sz w:val="18"/>
                <w:szCs w:val="18"/>
              </w:rPr>
              <w:br/>
            </w:r>
            <w:r>
              <w:rPr>
                <w:rFonts w:eastAsia="Times New Roman"/>
                <w:b/>
                <w:bCs/>
                <w:color w:val="000000"/>
                <w:sz w:val="18"/>
                <w:szCs w:val="18"/>
              </w:rPr>
              <w:br/>
            </w:r>
            <w:r>
              <w:rPr>
                <w:rFonts w:eastAsia="Times New Roman"/>
                <w:b/>
                <w:bCs/>
                <w:color w:val="000000"/>
                <w:sz w:val="18"/>
                <w:szCs w:val="18"/>
              </w:rPr>
              <w:br/>
              <w:t>24.08%</w:t>
            </w:r>
            <w:r>
              <w:rPr>
                <w:rFonts w:eastAsia="Times New Roman"/>
                <w:b/>
                <w:bCs/>
                <w:color w:val="000000"/>
                <w:sz w:val="18"/>
                <w:szCs w:val="18"/>
              </w:rPr>
              <w:br/>
            </w:r>
          </w:p>
        </w:tc>
      </w:tr>
      <w:tr w:rsidR="00000000">
        <w:trPr>
          <w:divId w:val="181208962"/>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GI</w:t>
            </w:r>
            <w:r>
              <w:rPr>
                <w:rFonts w:eastAsia="Times New Roman"/>
                <w:color w:val="000000"/>
                <w:sz w:val="18"/>
                <w:szCs w:val="18"/>
              </w:rPr>
              <w:t>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124</w:t>
            </w:r>
            <w:r>
              <w:rPr>
                <w:rFonts w:eastAsia="Times New Roman"/>
                <w:b/>
                <w:bCs/>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t>Volatility rates - Equit</w:t>
            </w:r>
            <w:r>
              <w:rPr>
                <w:rFonts w:eastAsia="Times New Roman"/>
                <w:color w:val="000000"/>
                <w:sz w:val="18"/>
                <w:szCs w:val="18"/>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t>166.0 bps</w:t>
            </w:r>
            <w:r>
              <w:rPr>
                <w:rFonts w:eastAsia="Times New Roman"/>
                <w:b/>
                <w:bCs/>
                <w:color w:val="000000"/>
                <w:sz w:val="18"/>
                <w:szCs w:val="18"/>
              </w:rPr>
              <w:br/>
              <w:t>1.2%-19.9%</w:t>
            </w:r>
            <w:r>
              <w:rPr>
                <w:rFonts w:eastAsia="Times New Roman"/>
                <w:b/>
                <w:bCs/>
                <w:color w:val="000000"/>
                <w:sz w:val="18"/>
                <w:szCs w:val="18"/>
              </w:rPr>
              <w:br/>
              <w:t>0%-8%</w:t>
            </w:r>
            <w:r>
              <w:rPr>
                <w:rFonts w:eastAsia="Times New Roman"/>
                <w:b/>
                <w:bCs/>
                <w:color w:val="000000"/>
                <w:sz w:val="18"/>
                <w:szCs w:val="18"/>
              </w:rPr>
              <w:br/>
              <w:t>0%-100%</w:t>
            </w:r>
            <w:r>
              <w:rPr>
                <w:rFonts w:eastAsia="Times New Roman"/>
                <w:b/>
                <w:bCs/>
                <w:color w:val="000000"/>
                <w:sz w:val="18"/>
                <w:szCs w:val="18"/>
              </w:rPr>
              <w:br/>
              <w:t>14%-34</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b/>
                <w:bCs/>
                <w:color w:val="000000"/>
                <w:sz w:val="18"/>
                <w:szCs w:val="18"/>
              </w:rPr>
              <w:br/>
              <w:t>1.55%</w:t>
            </w:r>
            <w:r>
              <w:rPr>
                <w:rFonts w:eastAsia="Times New Roman"/>
                <w:b/>
                <w:bCs/>
                <w:color w:val="000000"/>
                <w:sz w:val="18"/>
                <w:szCs w:val="18"/>
              </w:rPr>
              <w:br/>
              <w:t>1.11%</w:t>
            </w:r>
            <w:r>
              <w:rPr>
                <w:rFonts w:eastAsia="Times New Roman"/>
                <w:b/>
                <w:bCs/>
                <w:color w:val="000000"/>
                <w:sz w:val="18"/>
                <w:szCs w:val="18"/>
              </w:rPr>
              <w:br/>
              <w:t>6.20%</w:t>
            </w:r>
            <w:r>
              <w:rPr>
                <w:rFonts w:eastAsia="Times New Roman"/>
                <w:b/>
                <w:bCs/>
                <w:color w:val="000000"/>
                <w:sz w:val="18"/>
                <w:szCs w:val="18"/>
              </w:rPr>
              <w:br/>
              <w:t>24</w:t>
            </w:r>
            <w:r>
              <w:rPr>
                <w:rFonts w:eastAsia="Times New Roman"/>
                <w:b/>
                <w:bCs/>
                <w:color w:val="000000"/>
                <w:sz w:val="18"/>
                <w:szCs w:val="18"/>
              </w:rPr>
              <w:t>%</w:t>
            </w:r>
          </w:p>
        </w:tc>
      </w:tr>
      <w:tr w:rsidR="00000000">
        <w:trPr>
          <w:divId w:val="181208962"/>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GMA</w:t>
            </w:r>
            <w:r>
              <w:rPr>
                <w:rFonts w:eastAsia="Times New Roman"/>
                <w:color w:val="000000"/>
                <w:sz w:val="18"/>
                <w:szCs w:val="18"/>
              </w:rPr>
              <w:t>B</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18"/>
                <w:szCs w:val="18"/>
              </w:rPr>
              <w:t>10</w:t>
            </w:r>
            <w:r>
              <w:rPr>
                <w:rFonts w:eastAsia="Times New Roman"/>
                <w:b/>
                <w:bCs/>
                <w:color w:val="000000"/>
                <w:sz w:val="18"/>
                <w:szCs w:val="18"/>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18"/>
                <w:szCs w:val="18"/>
              </w:rPr>
              <w:t> </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Volatility rates - Equit</w:t>
            </w:r>
            <w:r>
              <w:rPr>
                <w:rFonts w:eastAsia="Times New Roman"/>
                <w:color w:val="000000"/>
                <w:sz w:val="18"/>
                <w:szCs w:val="18"/>
              </w:rPr>
              <w:t>y</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8"/>
                <w:szCs w:val="18"/>
              </w:rPr>
              <w:t>166.0 bps</w:t>
            </w:r>
            <w:r>
              <w:rPr>
                <w:rFonts w:eastAsia="Times New Roman"/>
                <w:b/>
                <w:bCs/>
                <w:color w:val="000000"/>
                <w:sz w:val="18"/>
                <w:szCs w:val="18"/>
              </w:rPr>
              <w:br/>
              <w:t>1%-10%</w:t>
            </w:r>
            <w:r>
              <w:rPr>
                <w:rFonts w:eastAsia="Times New Roman"/>
                <w:b/>
                <w:bCs/>
                <w:color w:val="000000"/>
                <w:sz w:val="18"/>
                <w:szCs w:val="18"/>
              </w:rPr>
              <w:br/>
              <w:t>14%-34</w:t>
            </w:r>
            <w:r>
              <w:rPr>
                <w:rFonts w:eastAsia="Times New Roman"/>
                <w:b/>
                <w:bCs/>
                <w:color w:val="000000"/>
                <w:sz w:val="18"/>
                <w:szCs w:val="18"/>
              </w:rPr>
              <w:t>%</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8"/>
                <w:szCs w:val="18"/>
              </w:rPr>
              <w:br/>
              <w:t>1.55%</w:t>
            </w:r>
            <w:r>
              <w:rPr>
                <w:rFonts w:eastAsia="Times New Roman"/>
                <w:b/>
                <w:bCs/>
                <w:color w:val="000000"/>
                <w:sz w:val="18"/>
                <w:szCs w:val="18"/>
              </w:rPr>
              <w:br/>
              <w:t>24</w:t>
            </w:r>
            <w:r>
              <w:rPr>
                <w:rFonts w:eastAsia="Times New Roman"/>
                <w:b/>
                <w:bCs/>
                <w:color w:val="000000"/>
                <w:sz w:val="18"/>
                <w:szCs w:val="18"/>
              </w:rPr>
              <w:t>%</w:t>
            </w:r>
          </w:p>
        </w:tc>
      </w:tr>
    </w:tbl>
    <w:p w:rsidR="00000000" w:rsidRDefault="00775A8F">
      <w:pPr>
        <w:divId w:val="60715336"/>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775A8F">
      <w:pPr>
        <w:ind w:hanging="360"/>
        <w:divId w:val="186327878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w:t>
      </w:r>
      <w:r>
        <w:rPr>
          <w:rFonts w:eastAsia="Times New Roman"/>
          <w:color w:val="000000"/>
          <w:sz w:val="18"/>
          <w:szCs w:val="18"/>
        </w:rPr>
        <w:t>ied. For any given contract, mortality rates vary throughout the period over which cash flows are projected for purposes of valuating the embedded derivatives</w:t>
      </w:r>
      <w:r>
        <w:rPr>
          <w:rFonts w:eastAsia="Times New Roman"/>
          <w:color w:val="000000"/>
          <w:sz w:val="18"/>
          <w:szCs w:val="18"/>
        </w:rPr>
        <w:t>.</w:t>
      </w:r>
    </w:p>
    <w:p w:rsidR="00000000" w:rsidRDefault="00775A8F">
      <w:pPr>
        <w:ind w:hanging="360"/>
        <w:divId w:val="1840928861"/>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For Lapses, Withdrawals, and Utilizations the rates were weighted by counts, for Mortality we</w:t>
      </w:r>
      <w:r>
        <w:rPr>
          <w:rFonts w:eastAsia="Times New Roman"/>
          <w:color w:val="000000"/>
          <w:sz w:val="18"/>
          <w:szCs w:val="18"/>
        </w:rPr>
        <w:t>ighted average rates are shown for all ages combined and for Withdrawals the weighted averages were based on an estimated split of partial withdrawal and dollar-for-dollar withdrawals.</w:t>
      </w:r>
      <w:r>
        <w:rPr>
          <w:rFonts w:eastAsia="Times New Roman"/>
          <w:color w:val="000000"/>
          <w:sz w:val="18"/>
          <w:szCs w:val="18"/>
        </w:rPr>
        <w:t xml:space="preserve"> </w:t>
      </w:r>
    </w:p>
    <w:p w:rsidR="00000000" w:rsidRDefault="00775A8F">
      <w:pPr>
        <w:divId w:val="216477846"/>
        <w:rPr>
          <w:rFonts w:eastAsia="Times New Roman"/>
        </w:rPr>
      </w:pPr>
    </w:p>
    <w:p w:rsidR="00000000" w:rsidRDefault="00775A8F">
      <w:pPr>
        <w:jc w:val="center"/>
        <w:rPr>
          <w:rFonts w:eastAsia="Times New Roman"/>
        </w:rPr>
      </w:pPr>
      <w:r>
        <w:rPr>
          <w:rFonts w:eastAsia="Times New Roman"/>
          <w:b/>
          <w:bCs/>
          <w:color w:val="000000"/>
          <w:sz w:val="20"/>
          <w:szCs w:val="20"/>
        </w:rPr>
        <w:t>Quantitative Information about Level 3 Fair Value Measurements at December 31, 201</w:t>
      </w:r>
      <w:r>
        <w:rPr>
          <w:rFonts w:eastAsia="Times New Roman"/>
          <w:b/>
          <w:bCs/>
          <w:color w:val="000000"/>
          <w:sz w:val="20"/>
          <w:szCs w:val="20"/>
        </w:rPr>
        <w:t>9</w:t>
      </w:r>
    </w:p>
    <w:tbl>
      <w:tblPr>
        <w:tblW w:w="4641" w:type="pct"/>
        <w:tblCellMar>
          <w:top w:w="15" w:type="dxa"/>
          <w:left w:w="15" w:type="dxa"/>
          <w:bottom w:w="15" w:type="dxa"/>
          <w:right w:w="15" w:type="dxa"/>
        </w:tblCellMar>
        <w:tblLook w:val="04A0" w:firstRow="1" w:lastRow="0" w:firstColumn="1" w:lastColumn="0" w:noHBand="0" w:noVBand="1"/>
      </w:tblPr>
      <w:tblGrid>
        <w:gridCol w:w="46"/>
        <w:gridCol w:w="1009"/>
        <w:gridCol w:w="46"/>
        <w:gridCol w:w="126"/>
        <w:gridCol w:w="591"/>
        <w:gridCol w:w="124"/>
        <w:gridCol w:w="36"/>
        <w:gridCol w:w="36"/>
        <w:gridCol w:w="36"/>
        <w:gridCol w:w="82"/>
        <w:gridCol w:w="1344"/>
        <w:gridCol w:w="81"/>
        <w:gridCol w:w="36"/>
        <w:gridCol w:w="36"/>
        <w:gridCol w:w="36"/>
        <w:gridCol w:w="89"/>
        <w:gridCol w:w="1992"/>
        <w:gridCol w:w="88"/>
        <w:gridCol w:w="36"/>
        <w:gridCol w:w="36"/>
        <w:gridCol w:w="36"/>
        <w:gridCol w:w="40"/>
        <w:gridCol w:w="516"/>
        <w:gridCol w:w="40"/>
        <w:gridCol w:w="36"/>
        <w:gridCol w:w="36"/>
        <w:gridCol w:w="36"/>
        <w:gridCol w:w="80"/>
        <w:gridCol w:w="503"/>
        <w:gridCol w:w="79"/>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16868148"/>
        </w:trPr>
        <w:tc>
          <w:tcPr>
            <w:tcW w:w="50" w:type="pct"/>
            <w:vAlign w:val="center"/>
            <w:hideMark/>
          </w:tcPr>
          <w:p w:rsidR="00000000" w:rsidRDefault="00775A8F">
            <w:pPr>
              <w:jc w:val="center"/>
              <w:rPr>
                <w:rFonts w:eastAsia="Times New Roman"/>
              </w:rPr>
            </w:pPr>
          </w:p>
        </w:tc>
        <w:tc>
          <w:tcPr>
            <w:tcW w:w="10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3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12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1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18"/>
          <w:divId w:val="21686814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Fair</w:t>
            </w:r>
            <w:r>
              <w:rPr>
                <w:rFonts w:eastAsia="Times New Roman"/>
                <w:color w:val="000000"/>
                <w:sz w:val="16"/>
                <w:szCs w:val="16"/>
              </w:rPr>
              <w:t> </w:t>
            </w:r>
            <w:r>
              <w:rPr>
                <w:rFonts w:eastAsia="Times New Roman"/>
                <w:color w:val="000000"/>
                <w:sz w:val="16"/>
                <w:szCs w:val="16"/>
              </w:rPr>
              <w:t>Valu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Valuation</w:t>
            </w:r>
            <w:r>
              <w:rPr>
                <w:rFonts w:eastAsia="Times New Roman"/>
                <w:color w:val="000000"/>
                <w:sz w:val="16"/>
                <w:szCs w:val="16"/>
              </w:rPr>
              <w:t> </w:t>
            </w:r>
            <w:r>
              <w:rPr>
                <w:rFonts w:eastAsia="Times New Roman"/>
                <w:color w:val="000000"/>
                <w:sz w:val="16"/>
                <w:szCs w:val="16"/>
              </w:rPr>
              <w:t>Techniqu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Significant</w:t>
            </w:r>
            <w:r>
              <w:rPr>
                <w:rFonts w:eastAsia="Times New Roman"/>
                <w:color w:val="000000"/>
                <w:sz w:val="16"/>
                <w:szCs w:val="16"/>
              </w:rPr>
              <w:t> </w:t>
            </w:r>
            <w:r>
              <w:rPr>
                <w:rFonts w:eastAsia="Times New Roman"/>
                <w:color w:val="000000"/>
                <w:sz w:val="16"/>
                <w:szCs w:val="16"/>
              </w:rPr>
              <w:t>Unobservable Inpu</w:t>
            </w:r>
            <w:r>
              <w:rPr>
                <w:rFonts w:eastAsia="Times New Roman"/>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Rang</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Weighted Average</w:t>
            </w:r>
            <w:r>
              <w:rPr>
                <w:rFonts w:eastAsia="Times New Roman"/>
                <w:color w:val="000000"/>
                <w:sz w:val="16"/>
                <w:szCs w:val="16"/>
              </w:rPr>
              <w:t xml:space="preserve"> </w:t>
            </w:r>
          </w:p>
        </w:tc>
      </w:tr>
      <w:tr w:rsidR="00000000">
        <w:trPr>
          <w:divId w:val="21686814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8"/>
                <w:szCs w:val="18"/>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(in millions</w:t>
            </w:r>
            <w:r>
              <w:rPr>
                <w:rFonts w:eastAsia="Times New Roman"/>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216868148"/>
        </w:trPr>
        <w:tc>
          <w:tcPr>
            <w:tcW w:w="0" w:type="auto"/>
            <w:gridSpan w:val="3"/>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Assets</w:t>
            </w:r>
            <w:r>
              <w:rPr>
                <w:rFonts w:eastAsia="Times New Roman"/>
                <w:color w:val="000000"/>
                <w:sz w:val="18"/>
                <w:szCs w:val="18"/>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16868148"/>
        </w:trPr>
        <w:tc>
          <w:tcPr>
            <w:tcW w:w="0" w:type="auto"/>
            <w:gridSpan w:val="3"/>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Investments</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16868148"/>
        </w:trPr>
        <w:tc>
          <w:tcPr>
            <w:tcW w:w="0" w:type="auto"/>
            <w:gridSpan w:val="3"/>
            <w:shd w:val="clear" w:color="auto" w:fill="FFFFFF"/>
            <w:tcMar>
              <w:top w:w="30" w:type="dxa"/>
              <w:left w:w="135" w:type="dxa"/>
              <w:bottom w:w="30" w:type="dxa"/>
              <w:right w:w="20" w:type="dxa"/>
            </w:tcMar>
            <w:vAlign w:val="center"/>
            <w:hideMark/>
          </w:tcPr>
          <w:p w:rsidR="00000000" w:rsidRDefault="00775A8F">
            <w:pPr>
              <w:rPr>
                <w:rFonts w:eastAsia="Times New Roman"/>
              </w:rPr>
            </w:pPr>
            <w:r>
              <w:rPr>
                <w:rFonts w:eastAsia="Times New Roman"/>
                <w:color w:val="000000"/>
                <w:sz w:val="18"/>
                <w:szCs w:val="18"/>
              </w:rPr>
              <w:t>Fixed maturities, AFS</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16868148"/>
        </w:trPr>
        <w:tc>
          <w:tcPr>
            <w:tcW w:w="0" w:type="auto"/>
            <w:gridSpan w:val="3"/>
            <w:shd w:val="clear" w:color="auto" w:fill="CCEEFF"/>
            <w:tcMar>
              <w:top w:w="30" w:type="dxa"/>
              <w:left w:w="360" w:type="dxa"/>
              <w:bottom w:w="30" w:type="dxa"/>
              <w:right w:w="20" w:type="dxa"/>
            </w:tcMar>
            <w:vAlign w:val="center"/>
            <w:hideMark/>
          </w:tcPr>
          <w:p w:rsidR="00000000" w:rsidRDefault="00775A8F">
            <w:pPr>
              <w:rPr>
                <w:rFonts w:eastAsia="Times New Roman"/>
              </w:rPr>
            </w:pPr>
            <w:r>
              <w:rPr>
                <w:rFonts w:eastAsia="Times New Roman"/>
                <w:color w:val="000000"/>
                <w:sz w:val="18"/>
                <w:szCs w:val="18"/>
              </w:rPr>
              <w:t>Corporat</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Matrix pricing mode</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Spread over benchmark</w:t>
            </w:r>
            <w:r>
              <w:rPr>
                <w:rFonts w:eastAsia="Times New Roman"/>
                <w:color w:val="000000"/>
                <w:sz w:val="18"/>
                <w:szCs w:val="18"/>
              </w:rPr>
              <w:t xml:space="preserve">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65 - 580 bp</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184 bp</w:t>
            </w:r>
            <w:r>
              <w:rPr>
                <w:rFonts w:eastAsia="Times New Roman"/>
                <w:color w:val="000000"/>
                <w:sz w:val="18"/>
                <w:szCs w:val="18"/>
              </w:rPr>
              <w:t>s</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16868148"/>
        </w:trPr>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1,025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Market comparable companie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EBITDA multiples</w:t>
            </w:r>
            <w:r>
              <w:rPr>
                <w:rFonts w:eastAsia="Times New Roman"/>
                <w:color w:val="000000"/>
                <w:sz w:val="18"/>
                <w:szCs w:val="18"/>
              </w:rPr>
              <w:br/>
              <w:t>Discount rate</w:t>
            </w:r>
            <w:r>
              <w:rPr>
                <w:rFonts w:eastAsia="Times New Roman"/>
                <w:color w:val="000000"/>
                <w:sz w:val="18"/>
                <w:szCs w:val="18"/>
              </w:rPr>
              <w:br/>
              <w:t>Cash flow multiple</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3.3x - 56.7x</w:t>
            </w:r>
            <w:r>
              <w:rPr>
                <w:rFonts w:eastAsia="Times New Roman"/>
                <w:color w:val="000000"/>
                <w:sz w:val="18"/>
                <w:szCs w:val="18"/>
              </w:rPr>
              <w:br/>
            </w:r>
            <w:r>
              <w:rPr>
                <w:rFonts w:eastAsia="Times New Roman"/>
                <w:color w:val="000000"/>
                <w:sz w:val="18"/>
                <w:szCs w:val="18"/>
              </w:rPr>
              <w:t>3.9% - 16.5%</w:t>
            </w:r>
            <w:r>
              <w:rPr>
                <w:rFonts w:eastAsia="Times New Roman"/>
                <w:color w:val="000000"/>
                <w:sz w:val="18"/>
                <w:szCs w:val="18"/>
              </w:rPr>
              <w:br/>
              <w:t>0.8x - 48.1</w:t>
            </w:r>
            <w:r>
              <w:rPr>
                <w:rFonts w:eastAsia="Times New Roman"/>
                <w:color w:val="000000"/>
                <w:sz w:val="18"/>
                <w:szCs w:val="18"/>
              </w:rPr>
              <w:t>x</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14.3x</w:t>
            </w:r>
            <w:r>
              <w:rPr>
                <w:rFonts w:eastAsia="Times New Roman"/>
                <w:color w:val="000000"/>
                <w:sz w:val="18"/>
                <w:szCs w:val="18"/>
              </w:rPr>
              <w:br/>
              <w:t>10.0%</w:t>
            </w:r>
            <w:r>
              <w:rPr>
                <w:rFonts w:eastAsia="Times New Roman"/>
                <w:color w:val="000000"/>
                <w:sz w:val="18"/>
                <w:szCs w:val="18"/>
              </w:rPr>
              <w:br/>
              <w:t>10.7</w:t>
            </w:r>
            <w:r>
              <w:rPr>
                <w:rFonts w:eastAsia="Times New Roman"/>
                <w:color w:val="000000"/>
                <w:sz w:val="18"/>
                <w:szCs w:val="18"/>
              </w:rPr>
              <w:t>x</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16868148"/>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Other equity investment</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Earnings multiple</w:t>
            </w:r>
            <w:r>
              <w:rPr>
                <w:rFonts w:eastAsia="Times New Roman"/>
                <w:color w:val="000000"/>
                <w:sz w:val="18"/>
                <w:szCs w:val="18"/>
              </w:rPr>
              <w:br/>
              <w:t>Discounts factor</w:t>
            </w:r>
            <w:r>
              <w:rPr>
                <w:rFonts w:eastAsia="Times New Roman"/>
                <w:color w:val="000000"/>
                <w:sz w:val="18"/>
                <w:szCs w:val="18"/>
              </w:rPr>
              <w:br/>
              <w:t>Discount year</w:t>
            </w:r>
            <w:r>
              <w:rPr>
                <w:rFonts w:eastAsia="Times New Roman"/>
                <w:color w:val="000000"/>
                <w:sz w:val="18"/>
                <w:szCs w:val="18"/>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8.0x</w:t>
            </w:r>
            <w:r>
              <w:rPr>
                <w:rFonts w:eastAsia="Times New Roman"/>
                <w:color w:val="000000"/>
                <w:sz w:val="18"/>
                <w:szCs w:val="18"/>
              </w:rPr>
              <w:br/>
              <w:t>10.0%</w:t>
            </w:r>
            <w:r>
              <w:rPr>
                <w:rFonts w:eastAsia="Times New Roman"/>
                <w:color w:val="000000"/>
                <w:sz w:val="18"/>
                <w:szCs w:val="18"/>
              </w:rPr>
              <w:br/>
              <w:t>1</w:t>
            </w:r>
            <w:r>
              <w:rPr>
                <w:rFonts w:eastAsia="Times New Roman"/>
                <w:color w:val="000000"/>
                <w:sz w:val="18"/>
                <w:szCs w:val="18"/>
              </w:rPr>
              <w:t>1</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16868148"/>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GMIB reinsurance contract asse</w:t>
            </w:r>
            <w:r>
              <w:rPr>
                <w:rFonts w:eastAsia="Times New Roman"/>
                <w:color w:val="000000"/>
                <w:sz w:val="18"/>
                <w:szCs w:val="18"/>
              </w:rPr>
              <w:t>t</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2,139</w:t>
            </w: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Equity</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w:t>
            </w:r>
            <w:r>
              <w:rPr>
                <w:rFonts w:eastAsia="Times New Roman"/>
                <w:color w:val="000000"/>
                <w:sz w:val="18"/>
                <w:szCs w:val="18"/>
              </w:rPr>
              <w:t>5</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55 - 109 bps</w:t>
            </w:r>
            <w:r>
              <w:rPr>
                <w:rFonts w:eastAsia="Times New Roman"/>
                <w:color w:val="000000"/>
                <w:sz w:val="18"/>
                <w:szCs w:val="18"/>
              </w:rPr>
              <w:br/>
              <w:t>0.8% - 10%</w:t>
            </w:r>
            <w:r>
              <w:rPr>
                <w:rFonts w:eastAsia="Times New Roman"/>
                <w:color w:val="000000"/>
                <w:sz w:val="18"/>
                <w:szCs w:val="18"/>
              </w:rPr>
              <w:br/>
              <w:t>0.0% - 8.0%</w:t>
            </w:r>
            <w:r>
              <w:rPr>
                <w:rFonts w:eastAsia="Times New Roman"/>
                <w:color w:val="000000"/>
                <w:sz w:val="18"/>
                <w:szCs w:val="18"/>
              </w:rPr>
              <w:br/>
              <w:t>0.0% - 49.0%</w:t>
            </w:r>
            <w:r>
              <w:rPr>
                <w:rFonts w:eastAsia="Times New Roman"/>
                <w:color w:val="000000"/>
                <w:sz w:val="18"/>
                <w:szCs w:val="18"/>
              </w:rPr>
              <w:br/>
              <w:t>9.0% - 30.0%</w:t>
            </w:r>
            <w:r>
              <w:rPr>
                <w:rFonts w:eastAsia="Times New Roman"/>
                <w:color w:val="000000"/>
                <w:sz w:val="18"/>
                <w:szCs w:val="18"/>
              </w:rPr>
              <w:br/>
            </w:r>
            <w:r>
              <w:rPr>
                <w:rFonts w:eastAsia="Times New Roman"/>
                <w:color w:val="000000"/>
                <w:sz w:val="18"/>
                <w:szCs w:val="18"/>
              </w:rPr>
              <w:br/>
              <w:t>0.01% - 0.18%</w:t>
            </w:r>
            <w:r>
              <w:rPr>
                <w:rFonts w:eastAsia="Times New Roman"/>
                <w:color w:val="000000"/>
                <w:sz w:val="18"/>
                <w:szCs w:val="18"/>
              </w:rPr>
              <w:br/>
              <w:t>0.07% - 0.54%</w:t>
            </w:r>
            <w:r>
              <w:rPr>
                <w:rFonts w:eastAsia="Times New Roman"/>
                <w:color w:val="000000"/>
                <w:sz w:val="18"/>
                <w:szCs w:val="18"/>
              </w:rPr>
              <w:br/>
              <w:t>0.42% - 42.20</w:t>
            </w:r>
            <w:r>
              <w:rPr>
                <w:rFonts w:eastAsia="Times New Roman"/>
                <w:color w:val="000000"/>
                <w:sz w:val="18"/>
                <w:szCs w:val="18"/>
              </w:rPr>
              <w:t>%</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538347091"/>
        <w:rPr>
          <w:rFonts w:eastAsia="Times New Roman"/>
        </w:rPr>
      </w:pPr>
      <w:r>
        <w:rPr>
          <w:rFonts w:eastAsia="Times New Roman"/>
          <w:color w:val="000000"/>
          <w:sz w:val="20"/>
          <w:szCs w:val="20"/>
        </w:rPr>
        <w:t>4</w:t>
      </w:r>
      <w:r>
        <w:rPr>
          <w:rFonts w:eastAsia="Times New Roman"/>
          <w:color w:val="000000"/>
          <w:sz w:val="20"/>
          <w:szCs w:val="20"/>
        </w:rPr>
        <w:t>9</w:t>
      </w:r>
    </w:p>
    <w:p w:rsidR="00000000" w:rsidRDefault="00775A8F">
      <w:pPr>
        <w:rPr>
          <w:rFonts w:eastAsia="Times New Roman"/>
        </w:rPr>
      </w:pPr>
      <w:r>
        <w:rPr>
          <w:rFonts w:eastAsia="Times New Roman"/>
        </w:rPr>
        <w:pict>
          <v:rect id="_x0000_i1075" style="width:0;height:1.5pt" o:hralign="center" o:hrstd="t" o:hr="t" fillcolor="#a0a0a0" stroked="f"/>
        </w:pict>
      </w:r>
    </w:p>
    <w:p w:rsidR="00000000" w:rsidRDefault="00775A8F">
      <w:pPr>
        <w:jc w:val="center"/>
        <w:divId w:val="897210047"/>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97210047"/>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41" w:type="pct"/>
        <w:tblCellMar>
          <w:top w:w="15" w:type="dxa"/>
          <w:left w:w="15" w:type="dxa"/>
          <w:bottom w:w="15" w:type="dxa"/>
          <w:right w:w="15" w:type="dxa"/>
        </w:tblCellMar>
        <w:tblLook w:val="04A0" w:firstRow="1" w:lastRow="0" w:firstColumn="1" w:lastColumn="0" w:noHBand="0" w:noVBand="1"/>
      </w:tblPr>
      <w:tblGrid>
        <w:gridCol w:w="51"/>
        <w:gridCol w:w="1402"/>
        <w:gridCol w:w="51"/>
        <w:gridCol w:w="125"/>
        <w:gridCol w:w="591"/>
        <w:gridCol w:w="124"/>
        <w:gridCol w:w="36"/>
        <w:gridCol w:w="36"/>
        <w:gridCol w:w="36"/>
        <w:gridCol w:w="82"/>
        <w:gridCol w:w="1344"/>
        <w:gridCol w:w="81"/>
        <w:gridCol w:w="36"/>
        <w:gridCol w:w="36"/>
        <w:gridCol w:w="36"/>
        <w:gridCol w:w="89"/>
        <w:gridCol w:w="1992"/>
        <w:gridCol w:w="88"/>
        <w:gridCol w:w="36"/>
        <w:gridCol w:w="36"/>
        <w:gridCol w:w="36"/>
        <w:gridCol w:w="40"/>
        <w:gridCol w:w="516"/>
        <w:gridCol w:w="40"/>
        <w:gridCol w:w="36"/>
        <w:gridCol w:w="36"/>
        <w:gridCol w:w="36"/>
        <w:gridCol w:w="80"/>
        <w:gridCol w:w="503"/>
        <w:gridCol w:w="79"/>
      </w:tblGrid>
      <w:tr w:rsidR="00000000">
        <w:trPr>
          <w:divId w:val="346832136"/>
        </w:trPr>
        <w:tc>
          <w:tcPr>
            <w:tcW w:w="50" w:type="pct"/>
            <w:vAlign w:val="center"/>
            <w:hideMark/>
          </w:tcPr>
          <w:p w:rsidR="00000000" w:rsidRDefault="00775A8F">
            <w:pPr>
              <w:jc w:val="center"/>
              <w:rPr>
                <w:rFonts w:eastAsia="Times New Roman"/>
              </w:rPr>
            </w:pPr>
          </w:p>
        </w:tc>
        <w:tc>
          <w:tcPr>
            <w:tcW w:w="10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3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12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1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34683213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Fair</w:t>
            </w:r>
            <w:r>
              <w:rPr>
                <w:rFonts w:eastAsia="Times New Roman"/>
                <w:color w:val="000000"/>
                <w:sz w:val="16"/>
                <w:szCs w:val="16"/>
              </w:rPr>
              <w:t> </w:t>
            </w:r>
            <w:r>
              <w:rPr>
                <w:rFonts w:eastAsia="Times New Roman"/>
                <w:color w:val="000000"/>
                <w:sz w:val="16"/>
                <w:szCs w:val="16"/>
              </w:rPr>
              <w:t>Valu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Valuation</w:t>
            </w:r>
            <w:r>
              <w:rPr>
                <w:rFonts w:eastAsia="Times New Roman"/>
                <w:color w:val="000000"/>
                <w:sz w:val="16"/>
                <w:szCs w:val="16"/>
              </w:rPr>
              <w:t> </w:t>
            </w:r>
            <w:r>
              <w:rPr>
                <w:rFonts w:eastAsia="Times New Roman"/>
                <w:color w:val="000000"/>
                <w:sz w:val="16"/>
                <w:szCs w:val="16"/>
              </w:rPr>
              <w:t>Techniqu</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Significant</w:t>
            </w:r>
            <w:r>
              <w:rPr>
                <w:rFonts w:eastAsia="Times New Roman"/>
                <w:color w:val="000000"/>
                <w:sz w:val="16"/>
                <w:szCs w:val="16"/>
              </w:rPr>
              <w:t> </w:t>
            </w:r>
            <w:r>
              <w:rPr>
                <w:rFonts w:eastAsia="Times New Roman"/>
                <w:color w:val="000000"/>
                <w:sz w:val="16"/>
                <w:szCs w:val="16"/>
              </w:rPr>
              <w:t>Unobservable Inpu</w:t>
            </w:r>
            <w:r>
              <w:rPr>
                <w:rFonts w:eastAsia="Times New Roman"/>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Rang</w:t>
            </w:r>
            <w:r>
              <w:rPr>
                <w:rFonts w:eastAsia="Times New Roman"/>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Weighted Average</w:t>
            </w:r>
            <w:r>
              <w:rPr>
                <w:rFonts w:eastAsia="Times New Roman"/>
                <w:color w:val="000000"/>
                <w:sz w:val="16"/>
                <w:szCs w:val="16"/>
              </w:rPr>
              <w:t xml:space="preserve"> </w:t>
            </w:r>
          </w:p>
        </w:tc>
      </w:tr>
      <w:tr w:rsidR="00000000">
        <w:trPr>
          <w:divId w:val="3468321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Liabilities</w:t>
            </w:r>
            <w:r>
              <w:rPr>
                <w:rFonts w:eastAsia="Times New Roman"/>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346832136"/>
        </w:trPr>
        <w:tc>
          <w:tcPr>
            <w:tcW w:w="0" w:type="auto"/>
            <w:gridSpan w:val="3"/>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GMIBNL</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8,128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r>
            <w:r>
              <w:rPr>
                <w:rFonts w:eastAsia="Times New Roman"/>
                <w:color w:val="000000"/>
                <w:sz w:val="18"/>
                <w:szCs w:val="18"/>
              </w:rPr>
              <w:t>Annuitization rates</w:t>
            </w:r>
            <w:r>
              <w:rPr>
                <w:rFonts w:eastAsia="Times New Roman"/>
                <w:color w:val="000000"/>
                <w:sz w:val="18"/>
                <w:szCs w:val="18"/>
              </w:rPr>
              <w:br/>
              <w:t>Mortality rates (1):</w:t>
            </w:r>
            <w:r>
              <w:rPr>
                <w:rFonts w:eastAsia="Times New Roman"/>
                <w:color w:val="000000"/>
                <w:sz w:val="18"/>
                <w:szCs w:val="18"/>
              </w:rPr>
              <w:br/>
              <w:t xml:space="preserve">Ages 0 - 40 </w:t>
            </w:r>
            <w:r>
              <w:rPr>
                <w:rFonts w:eastAsia="Times New Roman"/>
                <w:color w:val="000000"/>
                <w:sz w:val="18"/>
                <w:szCs w:val="18"/>
              </w:rPr>
              <w:br/>
              <w:t xml:space="preserve">Ages 41 - 60 </w:t>
            </w:r>
            <w:r>
              <w:rPr>
                <w:rFonts w:eastAsia="Times New Roman"/>
                <w:color w:val="000000"/>
                <w:sz w:val="18"/>
                <w:szCs w:val="18"/>
              </w:rPr>
              <w:br/>
              <w:t>Ages 60 - 11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775A8F">
            <w:pPr>
              <w:jc w:val="center"/>
              <w:rPr>
                <w:rFonts w:eastAsia="Times New Roman"/>
              </w:rPr>
            </w:pPr>
            <w:r>
              <w:rPr>
                <w:rFonts w:ascii="Calibri" w:eastAsia="Times New Roman" w:hAnsi="Calibri" w:cs="Calibri"/>
                <w:color w:val="000000"/>
                <w:sz w:val="18"/>
                <w:szCs w:val="18"/>
              </w:rPr>
              <w:t>124 bps</w:t>
            </w:r>
            <w:r>
              <w:rPr>
                <w:rFonts w:ascii="Calibri" w:eastAsia="Times New Roman" w:hAnsi="Calibri" w:cs="Calibri"/>
                <w:color w:val="000000"/>
                <w:sz w:val="18"/>
                <w:szCs w:val="18"/>
              </w:rPr>
              <w:br/>
              <w:t>0.8% - 19.9%</w:t>
            </w:r>
            <w:r>
              <w:rPr>
                <w:rFonts w:ascii="Calibri" w:eastAsia="Times New Roman" w:hAnsi="Calibri" w:cs="Calibri"/>
                <w:color w:val="000000"/>
                <w:sz w:val="18"/>
                <w:szCs w:val="18"/>
              </w:rPr>
              <w:br/>
              <w:t>0.3% - 11.0%</w:t>
            </w:r>
            <w:r>
              <w:rPr>
                <w:rFonts w:ascii="Calibri" w:eastAsia="Times New Roman" w:hAnsi="Calibri" w:cs="Calibri"/>
                <w:color w:val="000000"/>
                <w:sz w:val="18"/>
                <w:szCs w:val="18"/>
              </w:rPr>
              <w:br/>
              <w:t>0.0% - 100.0%</w:t>
            </w:r>
            <w:r>
              <w:rPr>
                <w:rFonts w:ascii="Calibri" w:eastAsia="Times New Roman" w:hAnsi="Calibri" w:cs="Calibri"/>
                <w:color w:val="000000"/>
                <w:sz w:val="18"/>
                <w:szCs w:val="18"/>
              </w:rPr>
              <w:br/>
            </w:r>
            <w:r>
              <w:rPr>
                <w:rFonts w:ascii="Calibri" w:eastAsia="Times New Roman" w:hAnsi="Calibri" w:cs="Calibri"/>
                <w:color w:val="000000"/>
                <w:sz w:val="18"/>
                <w:szCs w:val="18"/>
              </w:rPr>
              <w:br/>
              <w:t>0.01% - 0.19%</w:t>
            </w:r>
            <w:r>
              <w:rPr>
                <w:rFonts w:ascii="Calibri" w:eastAsia="Times New Roman" w:hAnsi="Calibri" w:cs="Calibri"/>
                <w:color w:val="000000"/>
                <w:sz w:val="18"/>
                <w:szCs w:val="18"/>
              </w:rPr>
              <w:br/>
              <w:t>0.06% - 0.53%</w:t>
            </w:r>
            <w:r>
              <w:rPr>
                <w:rFonts w:ascii="Calibri" w:eastAsia="Times New Roman" w:hAnsi="Calibri" w:cs="Calibri"/>
                <w:color w:val="000000"/>
                <w:sz w:val="18"/>
                <w:szCs w:val="18"/>
              </w:rPr>
              <w:br/>
              <w:t>0.41% - 41.39</w:t>
            </w:r>
            <w:r>
              <w:rPr>
                <w:rFonts w:ascii="Calibri" w:eastAsia="Times New Roman" w:hAnsi="Calibri" w:cs="Calibri"/>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3468321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Assumed GMIB Reinsurance Contract</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186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 (Age 0 - 85)</w:t>
            </w:r>
            <w:r>
              <w:rPr>
                <w:rFonts w:eastAsia="Times New Roman"/>
                <w:color w:val="000000"/>
                <w:sz w:val="18"/>
                <w:szCs w:val="18"/>
              </w:rPr>
              <w:br/>
              <w:t>Withdrawal rates (Age 86+)</w:t>
            </w:r>
            <w:r>
              <w:rPr>
                <w:rFonts w:eastAsia="Times New Roman"/>
                <w:color w:val="000000"/>
                <w:sz w:val="18"/>
                <w:szCs w:val="18"/>
              </w:rPr>
              <w:br/>
              <w:t>Utilization rates</w:t>
            </w:r>
            <w:r>
              <w:rPr>
                <w:rFonts w:eastAsia="Times New Roman"/>
                <w:color w:val="000000"/>
                <w:sz w:val="18"/>
                <w:szCs w:val="18"/>
              </w:rPr>
              <w:br/>
              <w:t>Volatility rates - Equit</w:t>
            </w:r>
            <w:r>
              <w:rPr>
                <w:rFonts w:eastAsia="Times New Roman"/>
                <w:color w:val="000000"/>
                <w:sz w:val="18"/>
                <w:szCs w:val="18"/>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61 - 141 bps</w:t>
            </w:r>
            <w:r>
              <w:rPr>
                <w:rFonts w:eastAsia="Times New Roman"/>
                <w:color w:val="000000"/>
                <w:sz w:val="18"/>
                <w:szCs w:val="18"/>
              </w:rPr>
              <w:br/>
              <w:t>1.1% - 11.1%</w:t>
            </w:r>
            <w:r>
              <w:rPr>
                <w:rFonts w:eastAsia="Times New Roman"/>
                <w:color w:val="000000"/>
                <w:sz w:val="18"/>
                <w:szCs w:val="18"/>
              </w:rPr>
              <w:br/>
              <w:t>0.6% - 22.2%</w:t>
            </w:r>
            <w:r>
              <w:rPr>
                <w:rFonts w:eastAsia="Times New Roman"/>
                <w:color w:val="000000"/>
                <w:sz w:val="18"/>
                <w:szCs w:val="18"/>
              </w:rPr>
              <w:br/>
              <w:t>1.1% - 100.0%</w:t>
            </w:r>
            <w:r>
              <w:rPr>
                <w:rFonts w:eastAsia="Times New Roman"/>
                <w:color w:val="000000"/>
                <w:sz w:val="18"/>
                <w:szCs w:val="18"/>
              </w:rPr>
              <w:br/>
              <w:t>0.0% - 30.0%</w:t>
            </w:r>
            <w:r>
              <w:rPr>
                <w:rFonts w:eastAsia="Times New Roman"/>
                <w:color w:val="000000"/>
                <w:sz w:val="18"/>
                <w:szCs w:val="18"/>
              </w:rPr>
              <w:br/>
              <w:t>9.0% - 30.0</w:t>
            </w:r>
            <w:r>
              <w:rPr>
                <w:rFonts w:eastAsia="Times New Roman"/>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346832136"/>
        </w:trPr>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GWBL/GMW</w:t>
            </w:r>
            <w:r>
              <w:rPr>
                <w:rFonts w:eastAsia="Times New Roman"/>
                <w:color w:val="000000"/>
                <w:sz w:val="18"/>
                <w:szCs w:val="18"/>
              </w:rPr>
              <w:t>B</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109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r>
            <w:r>
              <w:rPr>
                <w:rFonts w:eastAsia="Times New Roman"/>
                <w:color w:val="000000"/>
                <w:sz w:val="18"/>
                <w:szCs w:val="18"/>
              </w:rPr>
              <w:br/>
              <w:t>Volatility rates - Equit</w:t>
            </w:r>
            <w:r>
              <w:rPr>
                <w:rFonts w:eastAsia="Times New Roman"/>
                <w:color w:val="000000"/>
                <w:sz w:val="18"/>
                <w:szCs w:val="18"/>
              </w:rPr>
              <w:t>y</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124 bps</w:t>
            </w:r>
            <w:r>
              <w:rPr>
                <w:rFonts w:eastAsia="Times New Roman"/>
                <w:color w:val="000000"/>
                <w:sz w:val="18"/>
                <w:szCs w:val="18"/>
              </w:rPr>
              <w:br/>
              <w:t>0.8% - 10.0%</w:t>
            </w:r>
            <w:r>
              <w:rPr>
                <w:rFonts w:eastAsia="Times New Roman"/>
                <w:color w:val="000000"/>
                <w:sz w:val="18"/>
                <w:szCs w:val="18"/>
              </w:rPr>
              <w:br/>
              <w:t>0.0% - 7.0%</w:t>
            </w:r>
            <w:r>
              <w:rPr>
                <w:rFonts w:eastAsia="Times New Roman"/>
                <w:color w:val="000000"/>
                <w:sz w:val="18"/>
                <w:szCs w:val="18"/>
              </w:rPr>
              <w:br/>
              <w:t>100% after starting</w:t>
            </w:r>
            <w:r>
              <w:rPr>
                <w:rFonts w:eastAsia="Times New Roman"/>
                <w:color w:val="000000"/>
                <w:sz w:val="18"/>
                <w:szCs w:val="18"/>
              </w:rPr>
              <w:br/>
              <w:t>9.0% - 30.0</w:t>
            </w:r>
            <w:r>
              <w:rPr>
                <w:rFonts w:eastAsia="Times New Roman"/>
                <w:color w:val="000000"/>
                <w:sz w:val="18"/>
                <w:szCs w:val="18"/>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346832136"/>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GI</w:t>
            </w:r>
            <w:r>
              <w:rPr>
                <w:rFonts w:eastAsia="Times New Roman"/>
                <w:color w:val="000000"/>
                <w:sz w:val="18"/>
                <w:szCs w:val="18"/>
              </w:rPr>
              <w:t>B</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Non-performance risk</w:t>
            </w:r>
            <w:r>
              <w:rPr>
                <w:rFonts w:eastAsia="Times New Roman"/>
                <w:color w:val="000000"/>
                <w:sz w:val="18"/>
                <w:szCs w:val="18"/>
              </w:rPr>
              <w:br/>
              <w:t>Lapse rates</w:t>
            </w:r>
            <w:r>
              <w:rPr>
                <w:rFonts w:eastAsia="Times New Roman"/>
                <w:color w:val="000000"/>
                <w:sz w:val="18"/>
                <w:szCs w:val="18"/>
              </w:rPr>
              <w:br/>
              <w:t>Withdrawal rates</w:t>
            </w:r>
            <w:r>
              <w:rPr>
                <w:rFonts w:eastAsia="Times New Roman"/>
                <w:color w:val="000000"/>
                <w:sz w:val="18"/>
                <w:szCs w:val="18"/>
              </w:rPr>
              <w:br/>
              <w:t>Utilization rates</w:t>
            </w:r>
            <w:r>
              <w:rPr>
                <w:rFonts w:eastAsia="Times New Roman"/>
                <w:color w:val="000000"/>
                <w:sz w:val="18"/>
                <w:szCs w:val="18"/>
              </w:rPr>
              <w:br/>
              <w:t>Volatility rates - Equit</w:t>
            </w:r>
            <w:r>
              <w:rPr>
                <w:rFonts w:eastAsia="Times New Roman"/>
                <w:color w:val="000000"/>
                <w:sz w:val="18"/>
                <w:szCs w:val="18"/>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124 bps</w:t>
            </w:r>
            <w:r>
              <w:rPr>
                <w:rFonts w:eastAsia="Times New Roman"/>
                <w:color w:val="000000"/>
                <w:sz w:val="18"/>
                <w:szCs w:val="18"/>
              </w:rPr>
              <w:br/>
              <w:t>1.2% - 19.9%</w:t>
            </w:r>
            <w:r>
              <w:rPr>
                <w:rFonts w:eastAsia="Times New Roman"/>
                <w:color w:val="000000"/>
                <w:sz w:val="18"/>
                <w:szCs w:val="18"/>
              </w:rPr>
              <w:br/>
              <w:t>0.0% - 8.0%</w:t>
            </w:r>
            <w:r>
              <w:rPr>
                <w:rFonts w:eastAsia="Times New Roman"/>
                <w:color w:val="000000"/>
                <w:sz w:val="18"/>
                <w:szCs w:val="18"/>
              </w:rPr>
              <w:br/>
              <w:t>0.0% - 100.0%</w:t>
            </w:r>
            <w:r>
              <w:rPr>
                <w:rFonts w:eastAsia="Times New Roman"/>
                <w:color w:val="000000"/>
                <w:sz w:val="18"/>
                <w:szCs w:val="18"/>
              </w:rPr>
              <w:br/>
              <w:t>9.0% - 30.0</w:t>
            </w:r>
            <w:r>
              <w:rPr>
                <w:rFonts w:eastAsia="Times New Roman"/>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346832136"/>
        </w:trPr>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GMA</w:t>
            </w:r>
            <w:r>
              <w:rPr>
                <w:rFonts w:eastAsia="Times New Roman"/>
                <w:color w:val="000000"/>
                <w:sz w:val="18"/>
                <w:szCs w:val="18"/>
              </w:rPr>
              <w:t>B</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tcBorders>
              <w:top w:val="single" w:sz="8" w:space="0" w:color="000000"/>
              <w:bottom w:val="single" w:sz="8" w:space="0" w:color="000000"/>
            </w:tcBorders>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color w:val="000000"/>
                <w:sz w:val="18"/>
                <w:szCs w:val="18"/>
              </w:rPr>
              <w:t> </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center"/>
            <w:hideMark/>
          </w:tcPr>
          <w:p w:rsidR="00000000" w:rsidRDefault="00775A8F">
            <w:pPr>
              <w:rPr>
                <w:rFonts w:eastAsia="Times New Roman"/>
              </w:rPr>
            </w:pPr>
            <w:r>
              <w:rPr>
                <w:rFonts w:eastAsia="Times New Roman"/>
                <w:color w:val="000000"/>
                <w:sz w:val="18"/>
                <w:szCs w:val="18"/>
              </w:rPr>
              <w:t>Discounted cash flo</w:t>
            </w:r>
            <w:r>
              <w:rPr>
                <w:rFonts w:eastAsia="Times New Roman"/>
                <w:color w:val="000000"/>
                <w:sz w:val="18"/>
                <w:szCs w:val="18"/>
              </w:rPr>
              <w:t>w</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18"/>
                <w:szCs w:val="18"/>
              </w:rPr>
              <w:t>Lapse rates</w:t>
            </w:r>
            <w:r>
              <w:rPr>
                <w:rFonts w:eastAsia="Times New Roman"/>
                <w:color w:val="000000"/>
                <w:sz w:val="18"/>
                <w:szCs w:val="18"/>
              </w:rPr>
              <w:br/>
              <w:t>Volatility rates - Equit</w:t>
            </w:r>
            <w:r>
              <w:rPr>
                <w:rFonts w:eastAsia="Times New Roman"/>
                <w:color w:val="000000"/>
                <w:sz w:val="18"/>
                <w:szCs w:val="18"/>
              </w:rPr>
              <w:t>y</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18"/>
                <w:szCs w:val="18"/>
              </w:rPr>
              <w:t>1.0% - 10.0%</w:t>
            </w:r>
            <w:r>
              <w:rPr>
                <w:rFonts w:eastAsia="Times New Roman"/>
                <w:color w:val="000000"/>
                <w:sz w:val="18"/>
                <w:szCs w:val="18"/>
              </w:rPr>
              <w:br/>
              <w:t>9.0% - 30.0</w:t>
            </w:r>
            <w:r>
              <w:rPr>
                <w:rFonts w:eastAsia="Times New Roman"/>
                <w:color w:val="000000"/>
                <w:sz w:val="18"/>
                <w:szCs w:val="18"/>
              </w:rPr>
              <w:t>%</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bl>
    <w:p w:rsidR="00000000" w:rsidRDefault="00775A8F">
      <w:pPr>
        <w:ind w:hanging="360"/>
        <w:jc w:val="both"/>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775A8F">
      <w:pPr>
        <w:ind w:hanging="360"/>
        <w:divId w:val="1743336923"/>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Mortality rates vary by age and demographic characteristic such as gender. Mortality rate assumptions are based on a combination of company and industry experience. A mortality improvement assumption is also applied. For any given contract, mortality </w:t>
      </w:r>
      <w:r>
        <w:rPr>
          <w:rFonts w:eastAsia="Times New Roman"/>
          <w:color w:val="000000"/>
          <w:sz w:val="18"/>
          <w:szCs w:val="18"/>
        </w:rPr>
        <w:t>rates vary throughout the period over which cash flows are projected for purposes of valuating the embedded derivatives</w:t>
      </w:r>
      <w:r>
        <w:rPr>
          <w:rFonts w:eastAsia="Times New Roman"/>
          <w:color w:val="000000"/>
          <w:sz w:val="18"/>
          <w:szCs w:val="18"/>
        </w:rPr>
        <w:t>.</w:t>
      </w:r>
    </w:p>
    <w:p w:rsidR="00000000" w:rsidRDefault="00775A8F">
      <w:pPr>
        <w:jc w:val="both"/>
        <w:divId w:val="466092319"/>
        <w:rPr>
          <w:rFonts w:eastAsia="Times New Roman"/>
        </w:rPr>
      </w:pPr>
      <w:r>
        <w:rPr>
          <w:rFonts w:eastAsia="Times New Roman"/>
          <w:b/>
          <w:bCs/>
          <w:i/>
          <w:iCs/>
          <w:color w:val="000000"/>
          <w:sz w:val="20"/>
          <w:szCs w:val="20"/>
        </w:rPr>
        <w:t>Level 3 Financial Instruments for which Quantitative Inputs are Not Availabl</w:t>
      </w:r>
      <w:r>
        <w:rPr>
          <w:rFonts w:eastAsia="Times New Roman"/>
          <w:b/>
          <w:bCs/>
          <w:i/>
          <w:iCs/>
          <w:color w:val="000000"/>
          <w:sz w:val="20"/>
          <w:szCs w:val="20"/>
        </w:rPr>
        <w:t>e</w:t>
      </w:r>
    </w:p>
    <w:p w:rsidR="00000000" w:rsidRDefault="00775A8F">
      <w:pPr>
        <w:jc w:val="both"/>
        <w:divId w:val="451291865"/>
        <w:rPr>
          <w:rFonts w:eastAsia="Times New Roman"/>
        </w:rPr>
      </w:pPr>
      <w:r>
        <w:rPr>
          <w:rFonts w:eastAsia="Times New Roman"/>
          <w:color w:val="000000"/>
          <w:sz w:val="20"/>
          <w:szCs w:val="20"/>
          <w:u w:val="single"/>
        </w:rPr>
        <w:t>Certain Privately Placed Debt Securities with Limited Trading Activit</w:t>
      </w:r>
      <w:r>
        <w:rPr>
          <w:rFonts w:eastAsia="Times New Roman"/>
          <w:color w:val="000000"/>
          <w:sz w:val="20"/>
          <w:szCs w:val="20"/>
          <w:u w:val="single"/>
        </w:rPr>
        <w:t>y</w:t>
      </w:r>
    </w:p>
    <w:p w:rsidR="00000000" w:rsidRDefault="00775A8F">
      <w:pPr>
        <w:divId w:val="1357317254"/>
        <w:rPr>
          <w:rFonts w:eastAsia="Times New Roman"/>
        </w:rPr>
      </w:pPr>
      <w:r>
        <w:rPr>
          <w:rFonts w:eastAsia="Times New Roman"/>
          <w:color w:val="000000"/>
          <w:sz w:val="20"/>
          <w:szCs w:val="20"/>
        </w:rPr>
        <w:t>Excluded from the tables above at June 30, 2020 and December 31, 2019, respectively, are approximately $499 million and $428 million of Level 3 fair value measurements of investments fo</w:t>
      </w:r>
      <w:r>
        <w:rPr>
          <w:rFonts w:eastAsia="Times New Roman"/>
          <w:color w:val="000000"/>
          <w:sz w:val="20"/>
          <w:szCs w:val="20"/>
        </w:rPr>
        <w:t>r which the underlying quantitative inputs are not developed by the Company and are not readily available. These investments primarily consist of certain privately placed debt securities with limited trading activity, including residential mortgage- and as</w:t>
      </w:r>
      <w:r>
        <w:rPr>
          <w:rFonts w:eastAsia="Times New Roman"/>
          <w:color w:val="000000"/>
          <w:sz w:val="20"/>
          <w:szCs w:val="20"/>
        </w:rPr>
        <w:t>set-backed instruments, and their fair values generally reflect unadjusted prices obtained from independent valuation service providers and indicative, non-binding quotes obtained from third-party broker-dealers recognized as market participants. Significa</w:t>
      </w:r>
      <w:r>
        <w:rPr>
          <w:rFonts w:eastAsia="Times New Roman"/>
          <w:color w:val="000000"/>
          <w:sz w:val="20"/>
          <w:szCs w:val="20"/>
        </w:rPr>
        <w:t>nt increases or decreases in the fair value amounts received from these pricing sources may result in the Company’s reporting significantly higher or lower fair value measurements for these Level 3 investments</w:t>
      </w:r>
      <w:r>
        <w:rPr>
          <w:rFonts w:eastAsia="Times New Roman"/>
          <w:color w:val="000000"/>
          <w:sz w:val="20"/>
          <w:szCs w:val="20"/>
        </w:rPr>
        <w:t>.</w:t>
      </w:r>
    </w:p>
    <w:p w:rsidR="00000000" w:rsidRDefault="00775A8F">
      <w:pPr>
        <w:ind w:hanging="360"/>
        <w:jc w:val="both"/>
        <w:divId w:val="533541240"/>
        <w:rPr>
          <w:rFonts w:eastAsia="Times New Roman"/>
        </w:rPr>
      </w:pPr>
      <w:r>
        <w:rPr>
          <w:rFonts w:eastAsia="Times New Roman"/>
          <w:color w:val="000000"/>
          <w:sz w:val="20"/>
          <w:szCs w:val="20"/>
        </w:rPr>
        <w:t>•</w:t>
      </w:r>
      <w:r>
        <w:rPr>
          <w:rFonts w:eastAsia="Times New Roman"/>
          <w:color w:val="000000"/>
          <w:sz w:val="20"/>
          <w:szCs w:val="20"/>
        </w:rPr>
        <w:t>The fair value of private placement securiti</w:t>
      </w:r>
      <w:r>
        <w:rPr>
          <w:rFonts w:eastAsia="Times New Roman"/>
          <w:color w:val="000000"/>
          <w:sz w:val="20"/>
          <w:szCs w:val="20"/>
        </w:rPr>
        <w:t>es is determined by application of a matrix pricing model or a market comparable company value technique. The significant unobservable input to the matrix pricing model valuation technique is the spread over the industry-specific benchmark yield curve. Gen</w:t>
      </w:r>
      <w:r>
        <w:rPr>
          <w:rFonts w:eastAsia="Times New Roman"/>
          <w:color w:val="000000"/>
          <w:sz w:val="20"/>
          <w:szCs w:val="20"/>
        </w:rPr>
        <w:t>erally, an increase or decrease in spreads would lead to directionally inverse movement in the fair value measurements of these securities. The significant unobservable input to the market comparable company valuation technique is the discount rate. Genera</w:t>
      </w:r>
      <w:r>
        <w:rPr>
          <w:rFonts w:eastAsia="Times New Roman"/>
          <w:color w:val="000000"/>
          <w:sz w:val="20"/>
          <w:szCs w:val="20"/>
        </w:rPr>
        <w:t>lly, a significant increase (decrease) in the discount rate would result in significantly lower (higher) fair value measurements of these securities</w:t>
      </w:r>
      <w:r>
        <w:rPr>
          <w:rFonts w:eastAsia="Times New Roman"/>
          <w:color w:val="000000"/>
          <w:sz w:val="20"/>
          <w:szCs w:val="20"/>
        </w:rPr>
        <w:t>.</w:t>
      </w:r>
    </w:p>
    <w:p w:rsidR="00000000" w:rsidRDefault="00775A8F">
      <w:pPr>
        <w:ind w:hanging="360"/>
        <w:jc w:val="both"/>
        <w:divId w:val="1431586308"/>
        <w:rPr>
          <w:rFonts w:eastAsia="Times New Roman"/>
        </w:rPr>
      </w:pPr>
      <w:r>
        <w:rPr>
          <w:rFonts w:eastAsia="Times New Roman"/>
          <w:color w:val="000000"/>
          <w:sz w:val="20"/>
          <w:szCs w:val="20"/>
        </w:rPr>
        <w:t>•</w:t>
      </w:r>
      <w:r>
        <w:rPr>
          <w:rFonts w:eastAsia="Times New Roman"/>
          <w:color w:val="000000"/>
          <w:sz w:val="20"/>
          <w:szCs w:val="20"/>
        </w:rPr>
        <w:t>Residential mortgage-backed securities classified as Level 3 primarily consist of non-agency paper with l</w:t>
      </w:r>
      <w:r>
        <w:rPr>
          <w:rFonts w:eastAsia="Times New Roman"/>
          <w:color w:val="000000"/>
          <w:sz w:val="20"/>
          <w:szCs w:val="20"/>
        </w:rPr>
        <w:t>ow trading activity. Included in the tables above at June 30, 2020 and December 31, 2019, there were no Level 3 securities that were determined by application of a matrix pricing model and for which the spread over the U.S. Treasury curve is the most signi</w:t>
      </w:r>
      <w:r>
        <w:rPr>
          <w:rFonts w:eastAsia="Times New Roman"/>
          <w:color w:val="000000"/>
          <w:sz w:val="20"/>
          <w:szCs w:val="20"/>
        </w:rPr>
        <w:t>ficant unobservable input to the pricing result. Generally, a change in spreads would lead to directionally inverse movement in the fair value measurements of these securities</w:t>
      </w:r>
      <w:r>
        <w:rPr>
          <w:rFonts w:eastAsia="Times New Roman"/>
          <w:color w:val="000000"/>
          <w:sz w:val="20"/>
          <w:szCs w:val="20"/>
        </w:rPr>
        <w:t>.</w:t>
      </w:r>
    </w:p>
    <w:p w:rsidR="00000000" w:rsidRDefault="00775A8F">
      <w:pPr>
        <w:ind w:hanging="360"/>
        <w:divId w:val="383217656"/>
        <w:rPr>
          <w:rFonts w:eastAsia="Times New Roman"/>
        </w:rPr>
      </w:pPr>
      <w:r>
        <w:rPr>
          <w:rFonts w:eastAsia="Times New Roman"/>
          <w:color w:val="000000"/>
          <w:sz w:val="20"/>
          <w:szCs w:val="20"/>
        </w:rPr>
        <w:t>•</w:t>
      </w:r>
      <w:r>
        <w:rPr>
          <w:rFonts w:eastAsia="Times New Roman"/>
          <w:color w:val="000000"/>
          <w:sz w:val="20"/>
          <w:szCs w:val="20"/>
        </w:rPr>
        <w:t xml:space="preserve">Asset-backed securities classified as Level 3 primarily consist of non-agency </w:t>
      </w:r>
      <w:r>
        <w:rPr>
          <w:rFonts w:eastAsia="Times New Roman"/>
          <w:color w:val="000000"/>
          <w:sz w:val="20"/>
          <w:szCs w:val="20"/>
        </w:rPr>
        <w:t>mortgage loan trust certificates, including subprime and Alt-A paper, credit tenant loans, and equipment financings. Included in the tables above at June 30, 2020 and December 31, 2019, there were no securities that were determined by the</w:t>
      </w:r>
      <w:r>
        <w:rPr>
          <w:rFonts w:eastAsia="Times New Roman"/>
          <w:color w:val="000000"/>
          <w:sz w:val="20"/>
          <w:szCs w:val="20"/>
        </w:rPr>
        <w:t xml:space="preserve"> </w:t>
      </w:r>
    </w:p>
    <w:p w:rsidR="00000000" w:rsidRDefault="00775A8F">
      <w:pPr>
        <w:jc w:val="center"/>
        <w:divId w:val="677657450"/>
        <w:rPr>
          <w:rFonts w:eastAsia="Times New Roman"/>
        </w:rPr>
      </w:pPr>
      <w:r>
        <w:rPr>
          <w:rFonts w:eastAsia="Times New Roman"/>
          <w:color w:val="000000"/>
          <w:sz w:val="20"/>
          <w:szCs w:val="20"/>
        </w:rPr>
        <w:t>5</w:t>
      </w:r>
      <w:r>
        <w:rPr>
          <w:rFonts w:eastAsia="Times New Roman"/>
          <w:color w:val="000000"/>
          <w:sz w:val="20"/>
          <w:szCs w:val="20"/>
        </w:rPr>
        <w:t>0</w:t>
      </w:r>
    </w:p>
    <w:p w:rsidR="00000000" w:rsidRDefault="00775A8F">
      <w:pPr>
        <w:rPr>
          <w:rFonts w:eastAsia="Times New Roman"/>
        </w:rPr>
      </w:pPr>
      <w:r>
        <w:rPr>
          <w:rFonts w:eastAsia="Times New Roman"/>
        </w:rPr>
        <w:pict>
          <v:rect id="_x0000_i1076" style="width:0;height:1.5pt" o:hralign="center" o:hrstd="t" o:hr="t" fillcolor="#a0a0a0" stroked="f"/>
        </w:pict>
      </w:r>
    </w:p>
    <w:p w:rsidR="00000000" w:rsidRDefault="00775A8F">
      <w:pPr>
        <w:jc w:val="center"/>
        <w:divId w:val="87242476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872424766"/>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482384680"/>
        <w:rPr>
          <w:rFonts w:eastAsia="Times New Roman"/>
        </w:rPr>
      </w:pPr>
      <w:r>
        <w:rPr>
          <w:rFonts w:eastAsia="Times New Roman"/>
          <w:color w:val="000000"/>
          <w:sz w:val="20"/>
          <w:szCs w:val="20"/>
        </w:rPr>
        <w:t>application of matrix-pricing for which the spread over the U.S. Treasury curve is the most significant unobservable input to the pricing res</w:t>
      </w:r>
      <w:r>
        <w:rPr>
          <w:rFonts w:eastAsia="Times New Roman"/>
          <w:color w:val="000000"/>
          <w:sz w:val="20"/>
          <w:szCs w:val="20"/>
        </w:rPr>
        <w:t>ult. Significant increases (decreases) in spreads would have resulted in significantly lower (higher) fair value measurements</w:t>
      </w:r>
      <w:r>
        <w:rPr>
          <w:rFonts w:eastAsia="Times New Roman"/>
          <w:color w:val="000000"/>
          <w:sz w:val="20"/>
          <w:szCs w:val="20"/>
        </w:rPr>
        <w:t>.</w:t>
      </w:r>
    </w:p>
    <w:p w:rsidR="00000000" w:rsidRDefault="00775A8F">
      <w:pPr>
        <w:jc w:val="both"/>
        <w:divId w:val="1133710897"/>
        <w:rPr>
          <w:rFonts w:eastAsia="Times New Roman"/>
        </w:rPr>
      </w:pPr>
      <w:r>
        <w:rPr>
          <w:rFonts w:eastAsia="Times New Roman"/>
          <w:color w:val="000000"/>
          <w:sz w:val="20"/>
          <w:szCs w:val="20"/>
          <w:u w:val="single"/>
        </w:rPr>
        <w:t>Other Equity Investment</w:t>
      </w:r>
      <w:r>
        <w:rPr>
          <w:rFonts w:eastAsia="Times New Roman"/>
          <w:color w:val="000000"/>
          <w:sz w:val="20"/>
          <w:szCs w:val="20"/>
          <w:u w:val="single"/>
        </w:rPr>
        <w:t>s</w:t>
      </w:r>
    </w:p>
    <w:p w:rsidR="00000000" w:rsidRDefault="00775A8F">
      <w:pPr>
        <w:divId w:val="1807157171"/>
        <w:rPr>
          <w:rFonts w:eastAsia="Times New Roman"/>
        </w:rPr>
      </w:pPr>
      <w:r>
        <w:rPr>
          <w:rFonts w:eastAsia="Times New Roman"/>
          <w:color w:val="000000"/>
          <w:sz w:val="20"/>
          <w:szCs w:val="20"/>
        </w:rPr>
        <w:t>Included in other equity investments classified as Level 3 are reporting entities’ venture capital secur</w:t>
      </w:r>
      <w:r>
        <w:rPr>
          <w:rFonts w:eastAsia="Times New Roman"/>
          <w:color w:val="000000"/>
          <w:sz w:val="20"/>
          <w:szCs w:val="20"/>
        </w:rPr>
        <w:t>ities in the Technology, Media and Telecommunications industries. The fair value measurements of these securities include significant unobservable inputs including an enterprise value to revenue multiples and a discount rate to account for liquidity and va</w:t>
      </w:r>
      <w:r>
        <w:rPr>
          <w:rFonts w:eastAsia="Times New Roman"/>
          <w:color w:val="000000"/>
          <w:sz w:val="20"/>
          <w:szCs w:val="20"/>
        </w:rPr>
        <w:t>rious risk factors. Significant increases (decreases) in the enterprise value to revenue multiple inputs in isolation would have resulted in a significantly higher (lower) fair value measurement. Significant increases (decreases) in the discount rate would</w:t>
      </w:r>
      <w:r>
        <w:rPr>
          <w:rFonts w:eastAsia="Times New Roman"/>
          <w:color w:val="000000"/>
          <w:sz w:val="20"/>
          <w:szCs w:val="20"/>
        </w:rPr>
        <w:t xml:space="preserve"> have resulted in a significantly lower (higher) fair value measurement</w:t>
      </w:r>
      <w:r>
        <w:rPr>
          <w:rFonts w:eastAsia="Times New Roman"/>
          <w:color w:val="000000"/>
          <w:sz w:val="20"/>
          <w:szCs w:val="20"/>
        </w:rPr>
        <w:t>.</w:t>
      </w:r>
    </w:p>
    <w:p w:rsidR="00000000" w:rsidRDefault="00775A8F">
      <w:pPr>
        <w:jc w:val="both"/>
        <w:divId w:val="1513034909"/>
        <w:rPr>
          <w:rFonts w:eastAsia="Times New Roman"/>
        </w:rPr>
      </w:pPr>
      <w:r>
        <w:rPr>
          <w:rFonts w:eastAsia="Times New Roman"/>
          <w:color w:val="000000"/>
          <w:sz w:val="20"/>
          <w:szCs w:val="20"/>
          <w:u w:val="single"/>
        </w:rPr>
        <w:t>GMIB Reinsurance Contract Asset and GMxB Derivative Features Liabilit</w:t>
      </w:r>
      <w:r>
        <w:rPr>
          <w:rFonts w:eastAsia="Times New Roman"/>
          <w:color w:val="000000"/>
          <w:sz w:val="20"/>
          <w:szCs w:val="20"/>
          <w:u w:val="single"/>
        </w:rPr>
        <w:t>y</w:t>
      </w:r>
    </w:p>
    <w:p w:rsidR="00000000" w:rsidRDefault="00775A8F">
      <w:pPr>
        <w:divId w:val="1254778380"/>
        <w:rPr>
          <w:rFonts w:eastAsia="Times New Roman"/>
        </w:rPr>
      </w:pPr>
      <w:r>
        <w:rPr>
          <w:rFonts w:eastAsia="Times New Roman"/>
          <w:color w:val="000000"/>
          <w:sz w:val="20"/>
          <w:szCs w:val="20"/>
        </w:rPr>
        <w:t>Significant unobservable inputs with respect to the fair value measurement of the Level 3 GMIB reinsurance contr</w:t>
      </w:r>
      <w:r>
        <w:rPr>
          <w:rFonts w:eastAsia="Times New Roman"/>
          <w:color w:val="000000"/>
          <w:sz w:val="20"/>
          <w:szCs w:val="20"/>
        </w:rPr>
        <w:t>act asset and the Level 3 liabilities identified in the table above are developed using the Company data</w:t>
      </w:r>
      <w:r>
        <w:rPr>
          <w:rFonts w:eastAsia="Times New Roman"/>
          <w:color w:val="000000"/>
          <w:sz w:val="20"/>
          <w:szCs w:val="20"/>
        </w:rPr>
        <w:t>.</w:t>
      </w:r>
    </w:p>
    <w:p w:rsidR="00000000" w:rsidRDefault="00775A8F">
      <w:pPr>
        <w:divId w:val="154302721"/>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w:t>
      </w:r>
      <w:r>
        <w:rPr>
          <w:rFonts w:eastAsia="Times New Roman"/>
          <w:color w:val="000000"/>
          <w:sz w:val="20"/>
          <w:szCs w:val="20"/>
        </w:rPr>
        <w:t>tes, and GMIB utilization rates. Significant increases in GMIB utilization rates or decreases in lapse or withdrawal rates in isolation would tend to increase the GMIB reinsurance contract asset</w:t>
      </w:r>
      <w:r>
        <w:rPr>
          <w:rFonts w:eastAsia="Times New Roman"/>
          <w:color w:val="000000"/>
          <w:sz w:val="20"/>
          <w:szCs w:val="20"/>
        </w:rPr>
        <w:t>.</w:t>
      </w:r>
    </w:p>
    <w:p w:rsidR="00000000" w:rsidRDefault="00775A8F">
      <w:pPr>
        <w:divId w:val="1068188274"/>
        <w:rPr>
          <w:rFonts w:eastAsia="Times New Roman"/>
        </w:rPr>
      </w:pPr>
      <w:r>
        <w:rPr>
          <w:rFonts w:eastAsia="Times New Roman"/>
          <w:color w:val="000000"/>
          <w:sz w:val="20"/>
          <w:szCs w:val="20"/>
        </w:rPr>
        <w:t>Fair value measurement of the GMIB reinsurance contract asse</w:t>
      </w:r>
      <w:r>
        <w:rPr>
          <w:rFonts w:eastAsia="Times New Roman"/>
          <w:color w:val="000000"/>
          <w:sz w:val="20"/>
          <w:szCs w:val="20"/>
        </w:rPr>
        <w:t>t and liabilities includes dynamic lapse and GMIB utilization assumptions whereby projected contractual lapses and GMIB utilization reflect the projected net amount of risks of the contract. As the net amount of risk of a contract increases, the assumed la</w:t>
      </w:r>
      <w:r>
        <w:rPr>
          <w:rFonts w:eastAsia="Times New Roman"/>
          <w:color w:val="000000"/>
          <w:sz w:val="20"/>
          <w:szCs w:val="20"/>
        </w:rPr>
        <w:t>pse rate decreases and the GMIB utilization increases. Increases in volatility would increase the asset and liabilities</w:t>
      </w:r>
      <w:r>
        <w:rPr>
          <w:rFonts w:eastAsia="Times New Roman"/>
          <w:color w:val="000000"/>
          <w:sz w:val="20"/>
          <w:szCs w:val="20"/>
        </w:rPr>
        <w:t>.</w:t>
      </w:r>
    </w:p>
    <w:p w:rsidR="00000000" w:rsidRDefault="00775A8F">
      <w:pPr>
        <w:divId w:val="614825320"/>
        <w:rPr>
          <w:rFonts w:eastAsia="Times New Roman"/>
        </w:rPr>
      </w:pPr>
      <w:r>
        <w:rPr>
          <w:rFonts w:eastAsia="Times New Roman"/>
          <w:color w:val="000000"/>
          <w:sz w:val="20"/>
          <w:szCs w:val="20"/>
        </w:rPr>
        <w:t>The significant unobservable inputs used in the fair value measurement of the Company’s GMIBNLG liability are lapse rates, withdrawal r</w:t>
      </w:r>
      <w:r>
        <w:rPr>
          <w:rFonts w:eastAsia="Times New Roman"/>
          <w:color w:val="000000"/>
          <w:sz w:val="20"/>
          <w:szCs w:val="20"/>
        </w:rPr>
        <w:t>ates, GMIB utilization rates, adjustment for Non-performance risk and NLG forfeiture rates. NLG forfeiture rates are caused by excess withdrawals above the annual GMIB accrual rate that cause the NLG to expire. Significant decreases in lapse rates, NLG for</w:t>
      </w:r>
      <w:r>
        <w:rPr>
          <w:rFonts w:eastAsia="Times New Roman"/>
          <w:color w:val="000000"/>
          <w:sz w:val="20"/>
          <w:szCs w:val="20"/>
        </w:rPr>
        <w:t>feiture rates, adjustment for non-performance risk and GMIB utilization rates would tend to increase the GMIBNLG liability, while decreases in withdrawal rates and volatility rates would tend to decrease the GMIBNLG liability</w:t>
      </w:r>
      <w:r>
        <w:rPr>
          <w:rFonts w:eastAsia="Times New Roman"/>
          <w:color w:val="000000"/>
          <w:sz w:val="20"/>
          <w:szCs w:val="20"/>
        </w:rPr>
        <w:t>.</w:t>
      </w:r>
    </w:p>
    <w:p w:rsidR="00000000" w:rsidRDefault="00775A8F">
      <w:pPr>
        <w:divId w:val="627978211"/>
        <w:rPr>
          <w:rFonts w:eastAsia="Times New Roman"/>
        </w:rPr>
      </w:pPr>
      <w:r>
        <w:rPr>
          <w:rFonts w:eastAsia="Times New Roman"/>
          <w:color w:val="000000"/>
          <w:sz w:val="20"/>
          <w:szCs w:val="20"/>
        </w:rPr>
        <w:t xml:space="preserve">The significant unobservable </w:t>
      </w:r>
      <w:r>
        <w:rPr>
          <w:rFonts w:eastAsia="Times New Roman"/>
          <w:color w:val="000000"/>
          <w:sz w:val="20"/>
          <w:szCs w:val="20"/>
        </w:rPr>
        <w:t xml:space="preserve">inputs used in the fair value measurement of the Company’s GMWB and GWBL liability are lapse rates and withdrawal rates. Significant increases in withdrawal rates or decreases in lapse rates in isolation would tend to increase these liabilities. Increases </w:t>
      </w:r>
      <w:r>
        <w:rPr>
          <w:rFonts w:eastAsia="Times New Roman"/>
          <w:color w:val="000000"/>
          <w:sz w:val="20"/>
          <w:szCs w:val="20"/>
        </w:rPr>
        <w:t>in volatility would increase these liabilities</w:t>
      </w:r>
      <w:r>
        <w:rPr>
          <w:rFonts w:eastAsia="Times New Roman"/>
          <w:color w:val="000000"/>
          <w:sz w:val="20"/>
          <w:szCs w:val="20"/>
        </w:rPr>
        <w:t>.</w:t>
      </w:r>
    </w:p>
    <w:p w:rsidR="00000000" w:rsidRDefault="00775A8F">
      <w:pPr>
        <w:jc w:val="both"/>
        <w:divId w:val="824517139"/>
        <w:rPr>
          <w:rFonts w:eastAsia="Times New Roman"/>
        </w:rPr>
      </w:pPr>
      <w:r>
        <w:rPr>
          <w:rFonts w:eastAsia="Times New Roman"/>
          <w:color w:val="000000"/>
          <w:sz w:val="20"/>
          <w:szCs w:val="20"/>
          <w:u w:val="single"/>
        </w:rPr>
        <w:t>AB Contingent Consideration Payabl</w:t>
      </w:r>
      <w:r>
        <w:rPr>
          <w:rFonts w:eastAsia="Times New Roman"/>
          <w:color w:val="000000"/>
          <w:sz w:val="20"/>
          <w:szCs w:val="20"/>
          <w:u w:val="single"/>
        </w:rPr>
        <w:t>e</w:t>
      </w:r>
    </w:p>
    <w:p w:rsidR="00000000" w:rsidRDefault="00775A8F">
      <w:pPr>
        <w:divId w:val="964433553"/>
        <w:rPr>
          <w:rFonts w:eastAsia="Times New Roman"/>
        </w:rPr>
      </w:pPr>
      <w:r>
        <w:rPr>
          <w:rFonts w:eastAsia="Times New Roman"/>
          <w:color w:val="000000"/>
          <w:sz w:val="20"/>
          <w:szCs w:val="20"/>
        </w:rPr>
        <w:t>As of June 30, 2020 and December 31, 2019, AB has acquisition-related contingent liabilities remaining with a fair value of $29 million and $23 million, respectively.</w:t>
      </w:r>
      <w:r>
        <w:rPr>
          <w:rFonts w:eastAsia="Times New Roman"/>
          <w:color w:val="000000"/>
          <w:sz w:val="20"/>
          <w:szCs w:val="20"/>
        </w:rPr>
        <w:t xml:space="preserve"> </w:t>
      </w:r>
    </w:p>
    <w:p w:rsidR="00000000" w:rsidRDefault="00775A8F">
      <w:pPr>
        <w:divId w:val="1068570598"/>
        <w:rPr>
          <w:rFonts w:eastAsia="Times New Roman"/>
        </w:rPr>
      </w:pPr>
      <w:r>
        <w:rPr>
          <w:rFonts w:eastAsia="Times New Roman"/>
          <w:color w:val="000000"/>
          <w:sz w:val="20"/>
          <w:szCs w:val="20"/>
        </w:rPr>
        <w:t xml:space="preserve">The liabilities were valued using expected revenue growth rates and discount rates. The </w:t>
      </w:r>
      <w:r>
        <w:rPr>
          <w:rFonts w:eastAsia="Times New Roman"/>
          <w:color w:val="000000"/>
          <w:sz w:val="20"/>
          <w:szCs w:val="20"/>
        </w:rPr>
        <w:t>expected revenue growth rates range from 0.7% to 50.0%, with a weighted average of 4.9%, calculated using cumulative revenues and range of revenue growth rates (excluding revenue growth from additional AUM contributed from existing clients). The discount r</w:t>
      </w:r>
      <w:r>
        <w:rPr>
          <w:rFonts w:eastAsia="Times New Roman"/>
          <w:color w:val="000000"/>
          <w:sz w:val="20"/>
          <w:szCs w:val="20"/>
        </w:rPr>
        <w:t>ates ranged from 1.9% to 10.4% with a weighted average of 8.0%, calculated using total contingent liabilities and range of discount rates.</w:t>
      </w:r>
      <w:r>
        <w:rPr>
          <w:rFonts w:eastAsia="Times New Roman"/>
          <w:color w:val="000000"/>
          <w:sz w:val="20"/>
          <w:szCs w:val="20"/>
        </w:rPr>
        <w:t xml:space="preserve"> </w:t>
      </w:r>
    </w:p>
    <w:p w:rsidR="00000000" w:rsidRDefault="00775A8F">
      <w:pPr>
        <w:divId w:val="1831365687"/>
        <w:rPr>
          <w:rFonts w:eastAsia="Times New Roman"/>
        </w:rPr>
      </w:pPr>
    </w:p>
    <w:p w:rsidR="00000000" w:rsidRDefault="00775A8F">
      <w:pPr>
        <w:jc w:val="both"/>
        <w:divId w:val="278419399"/>
        <w:rPr>
          <w:rFonts w:eastAsia="Times New Roman"/>
        </w:rPr>
      </w:pPr>
      <w:r>
        <w:rPr>
          <w:rFonts w:eastAsia="Times New Roman"/>
          <w:color w:val="000000"/>
          <w:sz w:val="20"/>
          <w:szCs w:val="20"/>
          <w:u w:val="single"/>
        </w:rPr>
        <w:t xml:space="preserve">Carrying Value of Financial Instruments Not Otherwise Disclosed in Note 3 and Note </w:t>
      </w:r>
      <w:r>
        <w:rPr>
          <w:rFonts w:eastAsia="Times New Roman"/>
          <w:color w:val="000000"/>
          <w:sz w:val="20"/>
          <w:szCs w:val="20"/>
          <w:u w:val="single"/>
        </w:rPr>
        <w:t>4</w:t>
      </w:r>
    </w:p>
    <w:p w:rsidR="00000000" w:rsidRDefault="00775A8F">
      <w:pPr>
        <w:divId w:val="562300247"/>
        <w:rPr>
          <w:rFonts w:eastAsia="Times New Roman"/>
        </w:rPr>
      </w:pPr>
      <w:r>
        <w:rPr>
          <w:rFonts w:eastAsia="Times New Roman"/>
          <w:color w:val="000000"/>
          <w:sz w:val="20"/>
          <w:szCs w:val="20"/>
        </w:rPr>
        <w:t xml:space="preserve">The carrying values and fair </w:t>
      </w:r>
      <w:r>
        <w:rPr>
          <w:rFonts w:eastAsia="Times New Roman"/>
          <w:color w:val="000000"/>
          <w:sz w:val="20"/>
          <w:szCs w:val="20"/>
        </w:rPr>
        <w:t>values at June 30, 2020 and December 31, 2019 for financial instruments not otherwise disclosed in Note 3 and Note 4 are presented in the table below</w:t>
      </w:r>
      <w:r>
        <w:rPr>
          <w:rFonts w:eastAsia="Times New Roman"/>
          <w:color w:val="000000"/>
          <w:sz w:val="20"/>
          <w:szCs w:val="20"/>
        </w:rPr>
        <w:t>.</w:t>
      </w:r>
    </w:p>
    <w:p w:rsidR="00000000" w:rsidRDefault="00775A8F">
      <w:pPr>
        <w:jc w:val="center"/>
        <w:divId w:val="1809319968"/>
        <w:rPr>
          <w:rFonts w:eastAsia="Times New Roman"/>
        </w:rPr>
      </w:pPr>
      <w:r>
        <w:rPr>
          <w:rFonts w:eastAsia="Times New Roman"/>
          <w:color w:val="000000"/>
          <w:sz w:val="20"/>
          <w:szCs w:val="20"/>
        </w:rPr>
        <w:t>5</w:t>
      </w:r>
      <w:r>
        <w:rPr>
          <w:rFonts w:eastAsia="Times New Roman"/>
          <w:color w:val="000000"/>
          <w:sz w:val="20"/>
          <w:szCs w:val="20"/>
        </w:rPr>
        <w:t>1</w:t>
      </w:r>
    </w:p>
    <w:p w:rsidR="00000000" w:rsidRDefault="00775A8F">
      <w:pPr>
        <w:rPr>
          <w:rFonts w:eastAsia="Times New Roman"/>
        </w:rPr>
      </w:pPr>
      <w:r>
        <w:rPr>
          <w:rFonts w:eastAsia="Times New Roman"/>
        </w:rPr>
        <w:pict>
          <v:rect id="_x0000_i1077" style="width:0;height:1.5pt" o:hralign="center" o:hrstd="t" o:hr="t" fillcolor="#a0a0a0" stroked="f"/>
        </w:pict>
      </w:r>
    </w:p>
    <w:p w:rsidR="00000000" w:rsidRDefault="00775A8F">
      <w:pPr>
        <w:jc w:val="center"/>
        <w:divId w:val="108669280"/>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08669280"/>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 (Unaudited), Continue</w:t>
      </w:r>
      <w:r>
        <w:rPr>
          <w:rFonts w:eastAsia="Times New Roman"/>
          <w:b/>
          <w:bCs/>
          <w:color w:val="000000"/>
          <w:sz w:val="20"/>
          <w:szCs w:val="20"/>
        </w:rPr>
        <w:t>d</w:t>
      </w:r>
    </w:p>
    <w:p w:rsidR="00000000" w:rsidRDefault="00775A8F">
      <w:pPr>
        <w:jc w:val="center"/>
        <w:rPr>
          <w:rFonts w:eastAsia="Times New Roman"/>
        </w:rPr>
      </w:pPr>
      <w:r>
        <w:rPr>
          <w:rFonts w:eastAsia="Times New Roman"/>
          <w:b/>
          <w:bCs/>
          <w:color w:val="000000"/>
          <w:sz w:val="20"/>
          <w:szCs w:val="20"/>
        </w:rPr>
        <w:t>Carrying Values and Fair Values for Financial Instruments Not Otherwise Disclose</w:t>
      </w:r>
      <w:r>
        <w:rPr>
          <w:rFonts w:eastAsia="Times New Roman"/>
          <w:b/>
          <w:bCs/>
          <w:color w:val="000000"/>
          <w:sz w:val="20"/>
          <w:szCs w:val="20"/>
        </w:rPr>
        <w:t>d</w:t>
      </w:r>
    </w:p>
    <w:tbl>
      <w:tblPr>
        <w:tblW w:w="4619" w:type="pct"/>
        <w:tblCellMar>
          <w:top w:w="15" w:type="dxa"/>
          <w:left w:w="15" w:type="dxa"/>
          <w:bottom w:w="15" w:type="dxa"/>
          <w:right w:w="15" w:type="dxa"/>
        </w:tblCellMar>
        <w:tblLook w:val="04A0" w:firstRow="1" w:lastRow="0" w:firstColumn="1" w:lastColumn="0" w:noHBand="0" w:noVBand="1"/>
      </w:tblPr>
      <w:tblGrid>
        <w:gridCol w:w="39"/>
        <w:gridCol w:w="1849"/>
        <w:gridCol w:w="38"/>
        <w:gridCol w:w="136"/>
        <w:gridCol w:w="1025"/>
        <w:gridCol w:w="103"/>
        <w:gridCol w:w="36"/>
        <w:gridCol w:w="36"/>
        <w:gridCol w:w="36"/>
        <w:gridCol w:w="135"/>
        <w:gridCol w:w="265"/>
        <w:gridCol w:w="85"/>
        <w:gridCol w:w="36"/>
        <w:gridCol w:w="36"/>
        <w:gridCol w:w="36"/>
        <w:gridCol w:w="135"/>
        <w:gridCol w:w="515"/>
        <w:gridCol w:w="85"/>
        <w:gridCol w:w="36"/>
        <w:gridCol w:w="36"/>
        <w:gridCol w:w="36"/>
        <w:gridCol w:w="135"/>
        <w:gridCol w:w="615"/>
        <w:gridCol w:w="85"/>
        <w:gridCol w:w="36"/>
        <w:gridCol w:w="36"/>
        <w:gridCol w:w="36"/>
        <w:gridCol w:w="135"/>
        <w:gridCol w:w="615"/>
        <w:gridCol w:w="85"/>
        <w:gridCol w:w="36"/>
        <w:gridCol w:w="36"/>
        <w:gridCol w:w="36"/>
        <w:gridCol w:w="135"/>
        <w:gridCol w:w="135"/>
        <w:gridCol w:w="13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646709578"/>
        </w:trPr>
        <w:tc>
          <w:tcPr>
            <w:tcW w:w="50" w:type="pct"/>
            <w:vAlign w:val="center"/>
            <w:hideMark/>
          </w:tcPr>
          <w:p w:rsidR="00000000" w:rsidRDefault="00775A8F">
            <w:pPr>
              <w:jc w:val="center"/>
              <w:rPr>
                <w:rFonts w:eastAsia="Times New Roman"/>
              </w:rPr>
            </w:pPr>
          </w:p>
        </w:tc>
        <w:tc>
          <w:tcPr>
            <w:tcW w:w="179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64670957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Carrying</w:t>
            </w:r>
            <w:r>
              <w:rPr>
                <w:rFonts w:eastAsia="Times New Roman"/>
                <w:b/>
                <w:bCs/>
                <w:color w:val="000000"/>
                <w:sz w:val="16"/>
                <w:szCs w:val="16"/>
              </w:rPr>
              <w:t> </w:t>
            </w:r>
            <w:r>
              <w:rPr>
                <w:rFonts w:eastAsia="Times New Roman"/>
                <w:b/>
                <w:bCs/>
                <w:color w:val="000000"/>
                <w:sz w:val="16"/>
                <w:szCs w:val="16"/>
              </w:rPr>
              <w:t>Valu</w:t>
            </w:r>
            <w:r>
              <w:rPr>
                <w:rFonts w:eastAsia="Times New Roman"/>
                <w:b/>
                <w:bCs/>
                <w:color w:val="000000"/>
                <w:sz w:val="16"/>
                <w:szCs w:val="16"/>
              </w:rPr>
              <w:t>e</w:t>
            </w:r>
          </w:p>
        </w:tc>
        <w:tc>
          <w:tcPr>
            <w:tcW w:w="0" w:type="auto"/>
            <w:gridSpan w:val="3"/>
            <w:vMerge w:val="restart"/>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64670957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vMerge/>
            <w:vAlign w:val="center"/>
            <w:hideMark/>
          </w:tcPr>
          <w:p w:rsidR="00000000" w:rsidRDefault="00775A8F">
            <w:pPr>
              <w:rPr>
                <w:rFonts w:eastAsia="Times New Roman"/>
              </w:rPr>
            </w:pPr>
          </w:p>
        </w:tc>
        <w:tc>
          <w:tcPr>
            <w:tcW w:w="0" w:type="auto"/>
            <w:gridSpan w:val="3"/>
            <w:vMerge/>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Level </w:t>
            </w:r>
            <w:r>
              <w:rPr>
                <w:rFonts w:eastAsia="Times New Roman"/>
                <w:b/>
                <w:bCs/>
                <w:color w:val="000000"/>
                <w:sz w:val="16"/>
                <w:szCs w:val="16"/>
              </w:rPr>
              <w:t>1</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Level </w:t>
            </w:r>
            <w:r>
              <w:rPr>
                <w:rFonts w:eastAsia="Times New Roman"/>
                <w:b/>
                <w:bCs/>
                <w:color w:val="000000"/>
                <w:sz w:val="16"/>
                <w:szCs w:val="16"/>
              </w:rPr>
              <w:t>2</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xml:space="preserve">Level </w:t>
            </w:r>
            <w:r>
              <w:rPr>
                <w:rFonts w:eastAsia="Times New Roman"/>
                <w:b/>
                <w:bCs/>
                <w:color w:val="000000"/>
                <w:sz w:val="16"/>
                <w:szCs w:val="16"/>
              </w:rPr>
              <w:t>3</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4670957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June 30, 2020</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Mortgage loans on real estate</w:t>
            </w:r>
            <w:r>
              <w:rPr>
                <w:rFonts w:eastAsia="Times New Roman"/>
                <w:color w:val="000000"/>
                <w:sz w:val="20"/>
                <w:szCs w:val="20"/>
              </w:rPr>
              <w:t xml:space="preserve">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Policy loan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3,689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Policyholders’ liabilities: Investment contract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FHLBNY funding agreements (1</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6,700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6,793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6,793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Short-term and long-term deb</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Separate Accounts liabilitie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December 31, 2019</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Mortgage loans on real estat</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12,334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12,334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Policy loans (2</w:t>
            </w:r>
            <w:r>
              <w:rPr>
                <w:rFonts w:eastAsia="Times New Roman"/>
                <w:color w:val="000000"/>
                <w:sz w:val="20"/>
                <w:szCs w:val="20"/>
              </w:rPr>
              <w: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 xml:space="preserve">Policyholders’ </w:t>
            </w:r>
            <w:r>
              <w:rPr>
                <w:rFonts w:eastAsia="Times New Roman"/>
                <w:color w:val="000000"/>
                <w:sz w:val="20"/>
                <w:szCs w:val="20"/>
              </w:rPr>
              <w:t>liabilities: Investment contracts (2</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FHLBNY funding agreement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Short-term and long-term deb</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4670957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Separate Accounts liabilitie</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720"/>
        <w:divId w:val="154534550"/>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983657695"/>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Federal Home Loan Bank of New York (“FHLBNY”</w:t>
      </w:r>
      <w:r>
        <w:rPr>
          <w:rFonts w:eastAsia="Times New Roman"/>
          <w:color w:val="000000"/>
          <w:sz w:val="18"/>
          <w:szCs w:val="18"/>
        </w:rPr>
        <w:t>)</w:t>
      </w:r>
    </w:p>
    <w:p w:rsidR="00000000" w:rsidRDefault="00775A8F">
      <w:pPr>
        <w:ind w:hanging="360"/>
        <w:divId w:val="1104880669"/>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Excludes amounts reclassified as Held-for-Sale</w:t>
      </w:r>
      <w:r>
        <w:rPr>
          <w:rFonts w:eastAsia="Times New Roman"/>
          <w:color w:val="000000"/>
          <w:sz w:val="18"/>
          <w:szCs w:val="18"/>
        </w:rPr>
        <w:t>.</w:t>
      </w:r>
    </w:p>
    <w:p w:rsidR="00000000" w:rsidRDefault="00775A8F">
      <w:pPr>
        <w:jc w:val="both"/>
        <w:divId w:val="222832376"/>
        <w:rPr>
          <w:rFonts w:eastAsia="Times New Roman"/>
        </w:rPr>
      </w:pPr>
      <w:r>
        <w:rPr>
          <w:rFonts w:eastAsia="Times New Roman"/>
          <w:b/>
          <w:bCs/>
          <w:i/>
          <w:iCs/>
          <w:color w:val="000000"/>
          <w:sz w:val="20"/>
          <w:szCs w:val="20"/>
        </w:rPr>
        <w:t>Mortgage Loans on Real Estat</w:t>
      </w:r>
      <w:r>
        <w:rPr>
          <w:rFonts w:eastAsia="Times New Roman"/>
          <w:b/>
          <w:bCs/>
          <w:i/>
          <w:iCs/>
          <w:color w:val="000000"/>
          <w:sz w:val="20"/>
          <w:szCs w:val="20"/>
        </w:rPr>
        <w:t>e</w:t>
      </w:r>
    </w:p>
    <w:p w:rsidR="00000000" w:rsidRDefault="00775A8F">
      <w:pPr>
        <w:divId w:val="380712010"/>
        <w:rPr>
          <w:rFonts w:eastAsia="Times New Roman"/>
        </w:rPr>
      </w:pPr>
      <w:r>
        <w:rPr>
          <w:rFonts w:eastAsia="Times New Roman"/>
          <w:color w:val="000000"/>
          <w:sz w:val="20"/>
          <w:szCs w:val="20"/>
        </w:rPr>
        <w:t xml:space="preserve">Fair values for commercial and agricultural mortgage loans on real estate are measured by discounting future contractual cash </w:t>
      </w:r>
      <w:r>
        <w:rPr>
          <w:rFonts w:eastAsia="Times New Roman"/>
          <w:color w:val="000000"/>
          <w:sz w:val="20"/>
          <w:szCs w:val="20"/>
        </w:rPr>
        <w:t xml:space="preserve">flows to be received on the mortgage loan using interest rates at which loans with similar characteristics and credit quality would be made. The discount rate is derived based on the appropriate U.S. Treasury rate with a like term to the remaining term of </w:t>
      </w:r>
      <w:r>
        <w:rPr>
          <w:rFonts w:eastAsia="Times New Roman"/>
          <w:color w:val="000000"/>
          <w:sz w:val="20"/>
          <w:szCs w:val="20"/>
        </w:rPr>
        <w:t>the loan to which a spread reflective of the risk premium associated with the specific loan is added. Fair values for mortgage loans anticipated to be foreclosed and problem mortgage loans are limited to the fair value of the underlying collateral, if lowe</w:t>
      </w:r>
      <w:r>
        <w:rPr>
          <w:rFonts w:eastAsia="Times New Roman"/>
          <w:color w:val="000000"/>
          <w:sz w:val="20"/>
          <w:szCs w:val="20"/>
        </w:rPr>
        <w:t>r</w:t>
      </w:r>
      <w:r>
        <w:rPr>
          <w:rFonts w:eastAsia="Times New Roman"/>
          <w:color w:val="000000"/>
          <w:sz w:val="20"/>
          <w:szCs w:val="20"/>
        </w:rPr>
        <w:t>.</w:t>
      </w:r>
    </w:p>
    <w:p w:rsidR="00000000" w:rsidRDefault="00775A8F">
      <w:pPr>
        <w:jc w:val="both"/>
        <w:divId w:val="105539795"/>
        <w:rPr>
          <w:rFonts w:eastAsia="Times New Roman"/>
        </w:rPr>
      </w:pPr>
      <w:r>
        <w:rPr>
          <w:rFonts w:eastAsia="Times New Roman"/>
          <w:b/>
          <w:bCs/>
          <w:i/>
          <w:iCs/>
          <w:color w:val="000000"/>
          <w:sz w:val="20"/>
          <w:szCs w:val="20"/>
        </w:rPr>
        <w:t>Policy Loan</w:t>
      </w:r>
      <w:r>
        <w:rPr>
          <w:rFonts w:eastAsia="Times New Roman"/>
          <w:b/>
          <w:bCs/>
          <w:i/>
          <w:iCs/>
          <w:color w:val="000000"/>
          <w:sz w:val="20"/>
          <w:szCs w:val="20"/>
        </w:rPr>
        <w:t>s</w:t>
      </w:r>
    </w:p>
    <w:p w:rsidR="00000000" w:rsidRDefault="00775A8F">
      <w:pPr>
        <w:divId w:val="478426865"/>
        <w:rPr>
          <w:rFonts w:eastAsia="Times New Roman"/>
        </w:rPr>
      </w:pPr>
      <w:r>
        <w:rPr>
          <w:rFonts w:eastAsia="Times New Roman"/>
          <w:color w:val="000000"/>
          <w:sz w:val="20"/>
          <w:szCs w:val="20"/>
        </w:rPr>
        <w:t>The fair value of policy loans is calculated by discounting expected cash flows based upon the U.S. Treasury yield curve and historical loan repayment patterns</w:t>
      </w:r>
      <w:r>
        <w:rPr>
          <w:rFonts w:eastAsia="Times New Roman"/>
          <w:color w:val="000000"/>
          <w:sz w:val="20"/>
          <w:szCs w:val="20"/>
        </w:rPr>
        <w:t>.</w:t>
      </w:r>
    </w:p>
    <w:p w:rsidR="00000000" w:rsidRDefault="00775A8F">
      <w:pPr>
        <w:jc w:val="both"/>
        <w:divId w:val="1587497858"/>
        <w:rPr>
          <w:rFonts w:eastAsia="Times New Roman"/>
        </w:rPr>
      </w:pPr>
      <w:r>
        <w:rPr>
          <w:rFonts w:eastAsia="Times New Roman"/>
          <w:b/>
          <w:bCs/>
          <w:i/>
          <w:iCs/>
          <w:color w:val="000000"/>
          <w:sz w:val="20"/>
          <w:szCs w:val="20"/>
        </w:rPr>
        <w:t>Short-term and Long-term Deb</w:t>
      </w:r>
      <w:r>
        <w:rPr>
          <w:rFonts w:eastAsia="Times New Roman"/>
          <w:b/>
          <w:bCs/>
          <w:i/>
          <w:iCs/>
          <w:color w:val="000000"/>
          <w:sz w:val="20"/>
          <w:szCs w:val="20"/>
        </w:rPr>
        <w:t>t</w:t>
      </w:r>
    </w:p>
    <w:p w:rsidR="00000000" w:rsidRDefault="00775A8F">
      <w:pPr>
        <w:divId w:val="1468401940"/>
        <w:rPr>
          <w:rFonts w:eastAsia="Times New Roman"/>
        </w:rPr>
      </w:pPr>
      <w:r>
        <w:rPr>
          <w:rFonts w:eastAsia="Times New Roman"/>
          <w:color w:val="000000"/>
          <w:sz w:val="20"/>
          <w:szCs w:val="20"/>
        </w:rPr>
        <w:t xml:space="preserve">The Company’s short-term debt primarily includes </w:t>
      </w:r>
      <w:r>
        <w:rPr>
          <w:rFonts w:eastAsia="Times New Roman"/>
          <w:color w:val="000000"/>
          <w:sz w:val="20"/>
          <w:szCs w:val="20"/>
        </w:rPr>
        <w:t>commercial paper with short-term maturities and carrying value approximates fair value. The fair values for the Company’s long-term debt are determined by Bloomberg’s evaluated pricing service, which uses direct observations or observed comparables.</w:t>
      </w:r>
      <w:r>
        <w:rPr>
          <w:rFonts w:eastAsia="Times New Roman"/>
          <w:color w:val="000000"/>
          <w:sz w:val="20"/>
          <w:szCs w:val="20"/>
        </w:rPr>
        <w:t xml:space="preserve"> </w:t>
      </w:r>
    </w:p>
    <w:p w:rsidR="00000000" w:rsidRDefault="00775A8F">
      <w:pPr>
        <w:jc w:val="both"/>
        <w:divId w:val="1268003720"/>
        <w:rPr>
          <w:rFonts w:eastAsia="Times New Roman"/>
        </w:rPr>
      </w:pPr>
      <w:r>
        <w:rPr>
          <w:rFonts w:eastAsia="Times New Roman"/>
          <w:b/>
          <w:bCs/>
          <w:i/>
          <w:iCs/>
          <w:color w:val="000000"/>
          <w:sz w:val="20"/>
          <w:szCs w:val="20"/>
        </w:rPr>
        <w:t xml:space="preserve">FHLB </w:t>
      </w:r>
      <w:r>
        <w:rPr>
          <w:rFonts w:eastAsia="Times New Roman"/>
          <w:b/>
          <w:bCs/>
          <w:i/>
          <w:iCs/>
          <w:color w:val="000000"/>
          <w:sz w:val="20"/>
          <w:szCs w:val="20"/>
        </w:rPr>
        <w:t>Funding Agreement</w:t>
      </w:r>
      <w:r>
        <w:rPr>
          <w:rFonts w:eastAsia="Times New Roman"/>
          <w:b/>
          <w:bCs/>
          <w:i/>
          <w:iCs/>
          <w:color w:val="000000"/>
          <w:sz w:val="20"/>
          <w:szCs w:val="20"/>
        </w:rPr>
        <w:t>s</w:t>
      </w:r>
    </w:p>
    <w:p w:rsidR="00000000" w:rsidRDefault="00775A8F">
      <w:pPr>
        <w:divId w:val="42213018"/>
        <w:rPr>
          <w:rFonts w:eastAsia="Times New Roman"/>
        </w:rPr>
      </w:pPr>
      <w:r>
        <w:rPr>
          <w:rFonts w:eastAsia="Times New Roman"/>
          <w:color w:val="000000"/>
          <w:sz w:val="20"/>
          <w:szCs w:val="20"/>
        </w:rPr>
        <w:t>The fair values of the Company’s funding agreements are determined by discounted cash flow analysis based on the indicative funding agreement rates published by the FHLB</w:t>
      </w:r>
      <w:r>
        <w:rPr>
          <w:rFonts w:eastAsia="Times New Roman"/>
          <w:color w:val="000000"/>
          <w:sz w:val="20"/>
          <w:szCs w:val="20"/>
        </w:rPr>
        <w:t>.</w:t>
      </w:r>
    </w:p>
    <w:p w:rsidR="00000000" w:rsidRDefault="00775A8F">
      <w:pPr>
        <w:jc w:val="both"/>
        <w:divId w:val="436481630"/>
        <w:rPr>
          <w:rFonts w:eastAsia="Times New Roman"/>
        </w:rPr>
      </w:pPr>
      <w:r>
        <w:rPr>
          <w:rFonts w:eastAsia="Times New Roman"/>
          <w:b/>
          <w:bCs/>
          <w:i/>
          <w:iCs/>
          <w:color w:val="000000"/>
          <w:sz w:val="20"/>
          <w:szCs w:val="20"/>
        </w:rPr>
        <w:t>Policyholder Liabilities - Investment Contracts and Separate Accou</w:t>
      </w:r>
      <w:r>
        <w:rPr>
          <w:rFonts w:eastAsia="Times New Roman"/>
          <w:b/>
          <w:bCs/>
          <w:i/>
          <w:iCs/>
          <w:color w:val="000000"/>
          <w:sz w:val="20"/>
          <w:szCs w:val="20"/>
        </w:rPr>
        <w:t>nts Liabilitie</w:t>
      </w:r>
      <w:r>
        <w:rPr>
          <w:rFonts w:eastAsia="Times New Roman"/>
          <w:b/>
          <w:bCs/>
          <w:i/>
          <w:iCs/>
          <w:color w:val="000000"/>
          <w:sz w:val="20"/>
          <w:szCs w:val="20"/>
        </w:rPr>
        <w:t>s</w:t>
      </w:r>
    </w:p>
    <w:p w:rsidR="00000000" w:rsidRDefault="00775A8F">
      <w:pPr>
        <w:divId w:val="1615482900"/>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with fund investments in Separate Accounts are estimated using projected cash flows</w:t>
      </w:r>
      <w:r>
        <w:rPr>
          <w:rFonts w:eastAsia="Times New Roman"/>
          <w:color w:val="000000"/>
          <w:sz w:val="20"/>
          <w:szCs w:val="20"/>
        </w:rPr>
        <w:t xml:space="preserve"> discounted at rates reflecting current market rates. Significant unobservable inputs reflected in the cash flows include lapse rates and withdrawal rates. Incremental adjustments may be made to the fair value to reflect non-performance risk. Certain other</w:t>
      </w:r>
      <w:r>
        <w:rPr>
          <w:rFonts w:eastAsia="Times New Roman"/>
          <w:color w:val="000000"/>
          <w:sz w:val="20"/>
          <w:szCs w:val="20"/>
        </w:rPr>
        <w:t xml:space="preserve"> products such as the Company’s association plans contracts, supplementary contracts</w:t>
      </w:r>
      <w:r>
        <w:rPr>
          <w:rFonts w:eastAsia="Times New Roman"/>
          <w:color w:val="000000"/>
          <w:sz w:val="20"/>
          <w:szCs w:val="20"/>
        </w:rPr>
        <w:t xml:space="preserve"> </w:t>
      </w:r>
    </w:p>
    <w:p w:rsidR="00000000" w:rsidRDefault="00775A8F">
      <w:pPr>
        <w:jc w:val="center"/>
        <w:divId w:val="936867143"/>
        <w:rPr>
          <w:rFonts w:eastAsia="Times New Roman"/>
        </w:rPr>
      </w:pPr>
      <w:r>
        <w:rPr>
          <w:rFonts w:eastAsia="Times New Roman"/>
          <w:color w:val="000000"/>
          <w:sz w:val="20"/>
          <w:szCs w:val="20"/>
        </w:rPr>
        <w:t>5</w:t>
      </w:r>
      <w:r>
        <w:rPr>
          <w:rFonts w:eastAsia="Times New Roman"/>
          <w:color w:val="000000"/>
          <w:sz w:val="20"/>
          <w:szCs w:val="20"/>
        </w:rPr>
        <w:t>2</w:t>
      </w:r>
    </w:p>
    <w:p w:rsidR="00000000" w:rsidRDefault="00775A8F">
      <w:pPr>
        <w:rPr>
          <w:rFonts w:eastAsia="Times New Roman"/>
        </w:rPr>
      </w:pPr>
      <w:r>
        <w:rPr>
          <w:rFonts w:eastAsia="Times New Roman"/>
        </w:rPr>
        <w:pict>
          <v:rect id="_x0000_i1078" style="width:0;height:1.5pt" o:hralign="center" o:hrstd="t" o:hr="t" fillcolor="#a0a0a0" stroked="f"/>
        </w:pict>
      </w:r>
    </w:p>
    <w:p w:rsidR="00000000" w:rsidRDefault="00775A8F">
      <w:pPr>
        <w:jc w:val="center"/>
        <w:divId w:val="1935745273"/>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935745273"/>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85558075"/>
        <w:rPr>
          <w:rFonts w:eastAsia="Times New Roman"/>
        </w:rPr>
      </w:pPr>
      <w:r>
        <w:rPr>
          <w:rFonts w:eastAsia="Times New Roman"/>
          <w:color w:val="000000"/>
          <w:sz w:val="20"/>
          <w:szCs w:val="20"/>
        </w:rPr>
        <w:t>not involving life contingencies (“SCNILC”), Access Accounts and Escrow Shield Plus product reserves are held at book value</w:t>
      </w:r>
      <w:r>
        <w:rPr>
          <w:rFonts w:eastAsia="Times New Roman"/>
          <w:color w:val="000000"/>
          <w:sz w:val="20"/>
          <w:szCs w:val="20"/>
        </w:rPr>
        <w:t>.</w:t>
      </w:r>
    </w:p>
    <w:p w:rsidR="00000000" w:rsidRDefault="00775A8F">
      <w:pPr>
        <w:divId w:val="1259410719"/>
        <w:rPr>
          <w:rFonts w:eastAsia="Times New Roman"/>
        </w:rPr>
      </w:pPr>
      <w:r>
        <w:rPr>
          <w:rFonts w:eastAsia="Times New Roman"/>
          <w:color w:val="000000"/>
          <w:sz w:val="20"/>
          <w:szCs w:val="20"/>
          <w:u w:val="single"/>
        </w:rPr>
        <w:t>Financial Instruments Exempt from Fair Value Disclosure or Otherw</w:t>
      </w:r>
      <w:r>
        <w:rPr>
          <w:rFonts w:eastAsia="Times New Roman"/>
          <w:color w:val="000000"/>
          <w:sz w:val="20"/>
          <w:szCs w:val="20"/>
          <w:u w:val="single"/>
        </w:rPr>
        <w:t>ise Not Required to be Disclose</w:t>
      </w:r>
      <w:r>
        <w:rPr>
          <w:rFonts w:eastAsia="Times New Roman"/>
          <w:color w:val="000000"/>
          <w:sz w:val="20"/>
          <w:szCs w:val="20"/>
          <w:u w:val="single"/>
        </w:rPr>
        <w:t>d</w:t>
      </w:r>
    </w:p>
    <w:p w:rsidR="00000000" w:rsidRDefault="00775A8F">
      <w:pPr>
        <w:jc w:val="both"/>
        <w:divId w:val="1735858710"/>
        <w:rPr>
          <w:rFonts w:eastAsia="Times New Roman"/>
        </w:rPr>
      </w:pPr>
      <w:r>
        <w:rPr>
          <w:rFonts w:eastAsia="Times New Roman"/>
          <w:b/>
          <w:bCs/>
          <w:i/>
          <w:iCs/>
          <w:color w:val="000000"/>
          <w:sz w:val="20"/>
          <w:szCs w:val="20"/>
        </w:rPr>
        <w:t>Exempt from Fair Value Disclosure Requirement</w:t>
      </w:r>
      <w:r>
        <w:rPr>
          <w:rFonts w:eastAsia="Times New Roman"/>
          <w:b/>
          <w:bCs/>
          <w:i/>
          <w:iCs/>
          <w:color w:val="000000"/>
          <w:sz w:val="20"/>
          <w:szCs w:val="20"/>
        </w:rPr>
        <w:t>s</w:t>
      </w:r>
    </w:p>
    <w:p w:rsidR="00000000" w:rsidRDefault="00775A8F">
      <w:pPr>
        <w:divId w:val="1072118599"/>
        <w:rPr>
          <w:rFonts w:eastAsia="Times New Roman"/>
        </w:rPr>
      </w:pPr>
      <w:r>
        <w:rPr>
          <w:rFonts w:eastAsia="Times New Roman"/>
          <w:color w:val="000000"/>
          <w:sz w:val="20"/>
          <w:szCs w:val="20"/>
        </w:rPr>
        <w:t>Certain financial instruments are exempt from the requirements for fair value disclosure, such as insurance liabilities other than financial guarantees and investment contracts</w:t>
      </w:r>
      <w:r>
        <w:rPr>
          <w:rFonts w:eastAsia="Times New Roman"/>
          <w:color w:val="000000"/>
          <w:sz w:val="20"/>
          <w:szCs w:val="20"/>
        </w:rPr>
        <w:t>, limited partnerships accounted for under the equity method and pension and other postretirement obligations.</w:t>
      </w:r>
      <w:r>
        <w:rPr>
          <w:rFonts w:eastAsia="Times New Roman"/>
          <w:color w:val="000000"/>
          <w:sz w:val="20"/>
          <w:szCs w:val="20"/>
        </w:rPr>
        <w:t xml:space="preserve"> </w:t>
      </w:r>
    </w:p>
    <w:p w:rsidR="00000000" w:rsidRDefault="00775A8F">
      <w:pPr>
        <w:jc w:val="both"/>
        <w:divId w:val="1065184491"/>
        <w:rPr>
          <w:rFonts w:eastAsia="Times New Roman"/>
        </w:rPr>
      </w:pPr>
      <w:r>
        <w:rPr>
          <w:rFonts w:eastAsia="Times New Roman"/>
          <w:b/>
          <w:bCs/>
          <w:i/>
          <w:iCs/>
          <w:color w:val="000000"/>
          <w:sz w:val="20"/>
          <w:szCs w:val="20"/>
        </w:rPr>
        <w:t>Otherwise Not Required to be Included in the Table Abov</w:t>
      </w:r>
      <w:r>
        <w:rPr>
          <w:rFonts w:eastAsia="Times New Roman"/>
          <w:b/>
          <w:bCs/>
          <w:i/>
          <w:iCs/>
          <w:color w:val="000000"/>
          <w:sz w:val="20"/>
          <w:szCs w:val="20"/>
        </w:rPr>
        <w:t>e</w:t>
      </w:r>
    </w:p>
    <w:p w:rsidR="00000000" w:rsidRDefault="00775A8F">
      <w:pPr>
        <w:divId w:val="548877837"/>
        <w:rPr>
          <w:rFonts w:eastAsia="Times New Roman"/>
        </w:rPr>
      </w:pPr>
      <w:r>
        <w:rPr>
          <w:rFonts w:eastAsia="Times New Roman"/>
          <w:color w:val="000000"/>
          <w:sz w:val="20"/>
          <w:szCs w:val="20"/>
        </w:rPr>
        <w:t>The Company’s investment in Corporate Owned Life Insurance (“COLI”) policies are record</w:t>
      </w:r>
      <w:r>
        <w:rPr>
          <w:rFonts w:eastAsia="Times New Roman"/>
          <w:color w:val="000000"/>
          <w:sz w:val="20"/>
          <w:szCs w:val="20"/>
        </w:rPr>
        <w:t>ed at their cash surrender value and are therefore not required to be included in the table above. See Note 2 to the Company’s consolidated financial statements included in the Annual Report on Form 10-K for the year ended December 31, 2019 for further des</w:t>
      </w:r>
      <w:r>
        <w:rPr>
          <w:rFonts w:eastAsia="Times New Roman"/>
          <w:color w:val="000000"/>
          <w:sz w:val="20"/>
          <w:szCs w:val="20"/>
        </w:rPr>
        <w:t>cription of the Company’s accounting policy related to its investment in COLI policies</w:t>
      </w:r>
      <w:r>
        <w:rPr>
          <w:rFonts w:eastAsia="Times New Roman"/>
          <w:color w:val="000000"/>
          <w:sz w:val="20"/>
          <w:szCs w:val="20"/>
        </w:rPr>
        <w:t>.</w:t>
      </w:r>
    </w:p>
    <w:p w:rsidR="00000000" w:rsidRDefault="00775A8F">
      <w:pPr>
        <w:divId w:val="974916863"/>
        <w:rPr>
          <w:rFonts w:eastAsia="Times New Roman"/>
        </w:rPr>
      </w:pPr>
      <w:r>
        <w:rPr>
          <w:rFonts w:eastAsia="Times New Roman"/>
          <w:b/>
          <w:bCs/>
          <w:color w:val="000000"/>
          <w:sz w:val="20"/>
          <w:szCs w:val="20"/>
        </w:rPr>
        <w:t>9) EMPLOYEE BENEFIT PLANS</w:t>
      </w:r>
      <w:r>
        <w:rPr>
          <w:rFonts w:eastAsia="Times New Roman"/>
          <w:b/>
          <w:bCs/>
          <w:color w:val="000000"/>
          <w:sz w:val="20"/>
          <w:szCs w:val="20"/>
        </w:rPr>
        <w:t xml:space="preserve"> </w:t>
      </w:r>
    </w:p>
    <w:p w:rsidR="00000000" w:rsidRDefault="00775A8F">
      <w:pPr>
        <w:divId w:val="461268833"/>
        <w:rPr>
          <w:rFonts w:eastAsia="Times New Roman"/>
        </w:rPr>
      </w:pPr>
      <w:r>
        <w:rPr>
          <w:rFonts w:eastAsia="Times New Roman"/>
          <w:color w:val="000000"/>
          <w:sz w:val="20"/>
          <w:szCs w:val="20"/>
          <w:u w:val="single"/>
        </w:rPr>
        <w:t>Pension Plan</w:t>
      </w:r>
      <w:r>
        <w:rPr>
          <w:rFonts w:eastAsia="Times New Roman"/>
          <w:color w:val="000000"/>
          <w:sz w:val="20"/>
          <w:szCs w:val="20"/>
          <w:u w:val="single"/>
        </w:rPr>
        <w:t>s</w:t>
      </w:r>
    </w:p>
    <w:p w:rsidR="00000000" w:rsidRDefault="00775A8F">
      <w:pPr>
        <w:jc w:val="both"/>
        <w:divId w:val="375156943"/>
        <w:rPr>
          <w:rFonts w:eastAsia="Times New Roman"/>
        </w:rPr>
      </w:pPr>
      <w:r>
        <w:rPr>
          <w:rFonts w:eastAsia="Times New Roman"/>
          <w:b/>
          <w:bCs/>
          <w:i/>
          <w:iCs/>
          <w:color w:val="000000"/>
          <w:sz w:val="20"/>
          <w:szCs w:val="20"/>
        </w:rPr>
        <w:t>Holdings and Equitable Financial Retirement Plan</w:t>
      </w:r>
      <w:r>
        <w:rPr>
          <w:rFonts w:eastAsia="Times New Roman"/>
          <w:b/>
          <w:bCs/>
          <w:i/>
          <w:iCs/>
          <w:color w:val="000000"/>
          <w:sz w:val="20"/>
          <w:szCs w:val="20"/>
        </w:rPr>
        <w:t>s</w:t>
      </w:r>
    </w:p>
    <w:p w:rsidR="00000000" w:rsidRDefault="00775A8F">
      <w:pPr>
        <w:divId w:val="1855538532"/>
        <w:rPr>
          <w:rFonts w:eastAsia="Times New Roman"/>
        </w:rPr>
      </w:pPr>
      <w:r>
        <w:rPr>
          <w:rFonts w:eastAsia="Times New Roman"/>
          <w:color w:val="000000"/>
          <w:sz w:val="20"/>
          <w:szCs w:val="20"/>
        </w:rPr>
        <w:t>Holdings sponsors the MONY Life Retirement Income Security Plan for Employees</w:t>
      </w:r>
      <w:r>
        <w:rPr>
          <w:rFonts w:eastAsia="Times New Roman"/>
          <w:color w:val="000000"/>
          <w:sz w:val="20"/>
          <w:szCs w:val="20"/>
        </w:rPr>
        <w:t xml:space="preserve"> and Equitable Life sponsors the Equitable Retirement Plan (the “Equitable Financial QP”), both of which are frozen qualified defined benefit plans covering eligible employees and financial professionals. These pension plans are non-contributory, and their</w:t>
      </w:r>
      <w:r>
        <w:rPr>
          <w:rFonts w:eastAsia="Times New Roman"/>
          <w:color w:val="000000"/>
          <w:sz w:val="20"/>
          <w:szCs w:val="20"/>
        </w:rPr>
        <w:t xml:space="preserve"> benefits are generally based on a cash balance formula and/or, for certain participants, years of service and average earnings over a specified period. Holdings and Equitable Financial also sponsor certain nonqualified defined benefit plans, including the</w:t>
      </w:r>
      <w:r>
        <w:rPr>
          <w:rFonts w:eastAsia="Times New Roman"/>
          <w:color w:val="000000"/>
          <w:sz w:val="20"/>
          <w:szCs w:val="20"/>
        </w:rPr>
        <w:t xml:space="preserve"> Equitable Excess Retirement Plan, that provide retirement benefits in excess of the amount permitted under the tax law for the qualified plans. Holdings has assumed primary liability for both the Equitable Financial QP and the Equitable Financial nonquali</w:t>
      </w:r>
      <w:r>
        <w:rPr>
          <w:rFonts w:eastAsia="Times New Roman"/>
          <w:color w:val="000000"/>
          <w:sz w:val="20"/>
          <w:szCs w:val="20"/>
        </w:rPr>
        <w:t>fied defined benefit plans. Equitable Financial remains secondarily liable for its obligations under the Equitable Financial QP and its nonqualified defined benefits plans and would recognize such liability in the event Holdings does not perform</w:t>
      </w:r>
      <w:r>
        <w:rPr>
          <w:rFonts w:eastAsia="Times New Roman"/>
          <w:color w:val="000000"/>
          <w:sz w:val="20"/>
          <w:szCs w:val="20"/>
        </w:rPr>
        <w:t>.</w:t>
      </w:r>
    </w:p>
    <w:p w:rsidR="00000000" w:rsidRDefault="00775A8F">
      <w:pPr>
        <w:jc w:val="both"/>
        <w:divId w:val="547033964"/>
        <w:rPr>
          <w:rFonts w:eastAsia="Times New Roman"/>
        </w:rPr>
      </w:pPr>
      <w:r>
        <w:rPr>
          <w:rFonts w:eastAsia="Times New Roman"/>
          <w:b/>
          <w:bCs/>
          <w:i/>
          <w:iCs/>
          <w:color w:val="000000"/>
          <w:sz w:val="20"/>
          <w:szCs w:val="20"/>
        </w:rPr>
        <w:t>AB Retirement Plan</w:t>
      </w:r>
      <w:r>
        <w:rPr>
          <w:rFonts w:eastAsia="Times New Roman"/>
          <w:b/>
          <w:bCs/>
          <w:i/>
          <w:iCs/>
          <w:color w:val="000000"/>
          <w:sz w:val="20"/>
          <w:szCs w:val="20"/>
        </w:rPr>
        <w:t>s</w:t>
      </w:r>
    </w:p>
    <w:p w:rsidR="00000000" w:rsidRDefault="00775A8F">
      <w:pPr>
        <w:divId w:val="821045337"/>
        <w:rPr>
          <w:rFonts w:eastAsia="Times New Roman"/>
        </w:rPr>
      </w:pPr>
      <w:r>
        <w:rPr>
          <w:rFonts w:eastAsia="Times New Roman"/>
          <w:color w:val="000000"/>
          <w:sz w:val="20"/>
          <w:szCs w:val="20"/>
        </w:rPr>
        <w:t>AB maintains a qualified, non-contributory, defined benefit retirement plan covering current and former employees who were employed by AB in the United States prior to October 2, 2000 (the “AB Plan”). Benefits under the AB Plan are base</w:t>
      </w:r>
      <w:r>
        <w:rPr>
          <w:rFonts w:eastAsia="Times New Roman"/>
          <w:color w:val="000000"/>
          <w:sz w:val="20"/>
          <w:szCs w:val="20"/>
        </w:rPr>
        <w:t>d on years of credited service, average final base salary, and primary Social Security benefits</w:t>
      </w:r>
      <w:r>
        <w:rPr>
          <w:rFonts w:eastAsia="Times New Roman"/>
          <w:color w:val="000000"/>
          <w:sz w:val="20"/>
          <w:szCs w:val="20"/>
        </w:rPr>
        <w:t>.</w:t>
      </w:r>
    </w:p>
    <w:p w:rsidR="00000000" w:rsidRDefault="00775A8F">
      <w:pPr>
        <w:jc w:val="both"/>
        <w:divId w:val="57484157"/>
        <w:rPr>
          <w:rFonts w:eastAsia="Times New Roman"/>
        </w:rPr>
      </w:pPr>
      <w:r>
        <w:rPr>
          <w:rFonts w:eastAsia="Times New Roman"/>
          <w:b/>
          <w:bCs/>
          <w:i/>
          <w:iCs/>
          <w:color w:val="000000"/>
          <w:sz w:val="20"/>
          <w:szCs w:val="20"/>
        </w:rPr>
        <w:t>Net Periodic Pension Expens</w:t>
      </w:r>
      <w:r>
        <w:rPr>
          <w:rFonts w:eastAsia="Times New Roman"/>
          <w:b/>
          <w:bCs/>
          <w:i/>
          <w:iCs/>
          <w:color w:val="000000"/>
          <w:sz w:val="20"/>
          <w:szCs w:val="20"/>
        </w:rPr>
        <w:t>e</w:t>
      </w:r>
    </w:p>
    <w:p w:rsidR="00000000" w:rsidRDefault="00775A8F">
      <w:pPr>
        <w:divId w:val="1939755490"/>
        <w:rPr>
          <w:rFonts w:eastAsia="Times New Roman"/>
        </w:rPr>
      </w:pPr>
      <w:r>
        <w:rPr>
          <w:rFonts w:eastAsia="Times New Roman"/>
          <w:color w:val="000000"/>
          <w:sz w:val="20"/>
          <w:szCs w:val="20"/>
        </w:rPr>
        <w:t>Components of net periodic pension expense for the Company’s plans were as follows</w:t>
      </w:r>
      <w:r>
        <w:rPr>
          <w:rFonts w:eastAsia="Times New Roman"/>
          <w:color w:val="000000"/>
          <w:sz w:val="20"/>
          <w:szCs w:val="20"/>
        </w:rPr>
        <w:t>:</w:t>
      </w:r>
    </w:p>
    <w:tbl>
      <w:tblPr>
        <w:tblW w:w="4649" w:type="pct"/>
        <w:tblCellMar>
          <w:top w:w="15" w:type="dxa"/>
          <w:left w:w="15" w:type="dxa"/>
          <w:bottom w:w="15" w:type="dxa"/>
          <w:right w:w="15" w:type="dxa"/>
        </w:tblCellMar>
        <w:tblLook w:val="04A0" w:firstRow="1" w:lastRow="0" w:firstColumn="1" w:lastColumn="0" w:noHBand="0" w:noVBand="1"/>
      </w:tblPr>
      <w:tblGrid>
        <w:gridCol w:w="39"/>
        <w:gridCol w:w="2517"/>
        <w:gridCol w:w="38"/>
        <w:gridCol w:w="135"/>
        <w:gridCol w:w="719"/>
        <w:gridCol w:w="85"/>
        <w:gridCol w:w="36"/>
        <w:gridCol w:w="36"/>
        <w:gridCol w:w="36"/>
        <w:gridCol w:w="135"/>
        <w:gridCol w:w="694"/>
        <w:gridCol w:w="85"/>
        <w:gridCol w:w="36"/>
        <w:gridCol w:w="36"/>
        <w:gridCol w:w="36"/>
        <w:gridCol w:w="135"/>
        <w:gridCol w:w="751"/>
        <w:gridCol w:w="85"/>
        <w:gridCol w:w="36"/>
        <w:gridCol w:w="36"/>
        <w:gridCol w:w="36"/>
        <w:gridCol w:w="135"/>
        <w:gridCol w:w="621"/>
        <w:gridCol w:w="85"/>
        <w:gridCol w:w="246"/>
        <w:gridCol w:w="24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904100790"/>
        </w:trPr>
        <w:tc>
          <w:tcPr>
            <w:tcW w:w="50" w:type="pct"/>
            <w:vAlign w:val="center"/>
            <w:hideMark/>
          </w:tcPr>
          <w:p w:rsidR="00000000" w:rsidRDefault="00775A8F">
            <w:pPr>
              <w:rPr>
                <w:rFonts w:eastAsia="Times New Roman"/>
              </w:rPr>
            </w:pPr>
          </w:p>
        </w:tc>
        <w:tc>
          <w:tcPr>
            <w:tcW w:w="198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90410079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90410079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04100790"/>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90410079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Service cos</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0410079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cos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0410079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Expected return on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0410079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Actuarial (gain) los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0410079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90410079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periodic pension expens</w:t>
            </w:r>
            <w:r>
              <w:rPr>
                <w:rFonts w:eastAsia="Times New Roman"/>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702050480"/>
        <w:rPr>
          <w:rFonts w:eastAsia="Times New Roman"/>
        </w:rPr>
      </w:pPr>
      <w:r>
        <w:rPr>
          <w:rFonts w:eastAsia="Times New Roman"/>
          <w:b/>
          <w:bCs/>
          <w:color w:val="000000"/>
          <w:sz w:val="20"/>
          <w:szCs w:val="20"/>
        </w:rPr>
        <w:t>10) INCOME TAXE</w:t>
      </w:r>
      <w:r>
        <w:rPr>
          <w:rFonts w:eastAsia="Times New Roman"/>
          <w:b/>
          <w:bCs/>
          <w:color w:val="000000"/>
          <w:sz w:val="20"/>
          <w:szCs w:val="20"/>
        </w:rPr>
        <w:t>S</w:t>
      </w:r>
      <w:r>
        <w:rPr>
          <w:rFonts w:eastAsia="Times New Roman"/>
          <w:b/>
          <w:bCs/>
          <w:color w:val="000000"/>
          <w:sz w:val="20"/>
          <w:szCs w:val="20"/>
        </w:rPr>
        <w:t xml:space="preserve"> </w:t>
      </w:r>
    </w:p>
    <w:p w:rsidR="00000000" w:rsidRDefault="00775A8F">
      <w:pPr>
        <w:divId w:val="2561041"/>
        <w:rPr>
          <w:rFonts w:eastAsia="Times New Roman"/>
        </w:rPr>
      </w:pPr>
      <w:r>
        <w:rPr>
          <w:rFonts w:eastAsia="Times New Roman"/>
          <w:color w:val="000000"/>
          <w:sz w:val="20"/>
          <w:szCs w:val="20"/>
        </w:rPr>
        <w:t>Income tax expense for the three and six months ended June 30, 2020 and 2019 was computed using an estimated annual effective tax rate (“ETR”), with discrete items recognized in the period in which they occur. The estimated ETR is revised, as necessary,</w:t>
      </w:r>
      <w:r>
        <w:rPr>
          <w:rFonts w:eastAsia="Times New Roman"/>
          <w:color w:val="000000"/>
          <w:sz w:val="20"/>
          <w:szCs w:val="20"/>
        </w:rPr>
        <w:t xml:space="preserve"> at the end of successive interim reporting periods.</w:t>
      </w:r>
      <w:r>
        <w:rPr>
          <w:rFonts w:eastAsia="Times New Roman"/>
          <w:color w:val="000000"/>
          <w:sz w:val="20"/>
          <w:szCs w:val="20"/>
        </w:rPr>
        <w:t xml:space="preserve"> </w:t>
      </w:r>
    </w:p>
    <w:p w:rsidR="00000000" w:rsidRDefault="00775A8F">
      <w:pPr>
        <w:jc w:val="center"/>
        <w:divId w:val="1802534780"/>
        <w:rPr>
          <w:rFonts w:eastAsia="Times New Roman"/>
        </w:rPr>
      </w:pPr>
      <w:r>
        <w:rPr>
          <w:rFonts w:eastAsia="Times New Roman"/>
          <w:color w:val="000000"/>
          <w:sz w:val="20"/>
          <w:szCs w:val="20"/>
        </w:rPr>
        <w:t>5</w:t>
      </w:r>
      <w:r>
        <w:rPr>
          <w:rFonts w:eastAsia="Times New Roman"/>
          <w:color w:val="000000"/>
          <w:sz w:val="20"/>
          <w:szCs w:val="20"/>
        </w:rPr>
        <w:t>3</w:t>
      </w:r>
    </w:p>
    <w:p w:rsidR="00000000" w:rsidRDefault="00775A8F">
      <w:pPr>
        <w:rPr>
          <w:rFonts w:eastAsia="Times New Roman"/>
        </w:rPr>
      </w:pPr>
      <w:r>
        <w:rPr>
          <w:rFonts w:eastAsia="Times New Roman"/>
        </w:rPr>
        <w:pict>
          <v:rect id="_x0000_i1079" style="width:0;height:1.5pt" o:hralign="center" o:hrstd="t" o:hr="t" fillcolor="#a0a0a0" stroked="f"/>
        </w:pict>
      </w:r>
    </w:p>
    <w:p w:rsidR="00000000" w:rsidRDefault="00775A8F">
      <w:pPr>
        <w:jc w:val="center"/>
        <w:divId w:val="143616759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43616759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355347263"/>
        <w:rPr>
          <w:rFonts w:eastAsia="Times New Roman"/>
        </w:rPr>
      </w:pPr>
    </w:p>
    <w:p w:rsidR="00000000" w:rsidRDefault="00775A8F">
      <w:pPr>
        <w:divId w:val="507908386"/>
        <w:rPr>
          <w:rFonts w:eastAsia="Times New Roman"/>
        </w:rPr>
      </w:pPr>
      <w:r>
        <w:rPr>
          <w:rFonts w:eastAsia="Times New Roman"/>
          <w:b/>
          <w:bCs/>
          <w:color w:val="000000"/>
          <w:sz w:val="20"/>
          <w:szCs w:val="20"/>
        </w:rPr>
        <w:t>11) RELATED PARTY TRANSACTIONS</w:t>
      </w:r>
      <w:r>
        <w:rPr>
          <w:rFonts w:eastAsia="Times New Roman"/>
          <w:b/>
          <w:bCs/>
          <w:color w:val="000000"/>
          <w:sz w:val="20"/>
          <w:szCs w:val="20"/>
        </w:rPr>
        <w:t xml:space="preserve"> </w:t>
      </w:r>
    </w:p>
    <w:p w:rsidR="00000000" w:rsidRDefault="00775A8F">
      <w:pPr>
        <w:divId w:val="1263689633"/>
        <w:rPr>
          <w:rFonts w:eastAsia="Times New Roman"/>
        </w:rPr>
      </w:pPr>
      <w:r>
        <w:rPr>
          <w:rFonts w:eastAsia="Times New Roman"/>
          <w:color w:val="000000"/>
          <w:sz w:val="20"/>
          <w:szCs w:val="20"/>
        </w:rPr>
        <w:t>The Company did not enter into any new significant transactions with related parties during the six months ended June 30, 2020</w:t>
      </w:r>
      <w:r>
        <w:rPr>
          <w:rFonts w:eastAsia="Times New Roman"/>
          <w:color w:val="000000"/>
          <w:sz w:val="20"/>
          <w:szCs w:val="20"/>
        </w:rPr>
        <w:t>.</w:t>
      </w:r>
    </w:p>
    <w:p w:rsidR="00000000" w:rsidRDefault="00775A8F">
      <w:pPr>
        <w:divId w:val="965280542"/>
        <w:rPr>
          <w:rFonts w:eastAsia="Times New Roman"/>
        </w:rPr>
      </w:pPr>
      <w:r>
        <w:rPr>
          <w:rFonts w:eastAsia="Times New Roman"/>
          <w:b/>
          <w:bCs/>
          <w:color w:val="000000"/>
          <w:sz w:val="20"/>
          <w:szCs w:val="20"/>
        </w:rPr>
        <w:t>12) EQUITY</w:t>
      </w:r>
      <w:r>
        <w:rPr>
          <w:rFonts w:eastAsia="Times New Roman"/>
          <w:b/>
          <w:bCs/>
          <w:color w:val="000000"/>
          <w:sz w:val="20"/>
          <w:szCs w:val="20"/>
        </w:rPr>
        <w:t xml:space="preserve"> </w:t>
      </w:r>
    </w:p>
    <w:p w:rsidR="00000000" w:rsidRDefault="00775A8F">
      <w:pPr>
        <w:divId w:val="283847653"/>
        <w:rPr>
          <w:rFonts w:eastAsia="Times New Roman"/>
        </w:rPr>
      </w:pPr>
      <w:r>
        <w:rPr>
          <w:rFonts w:eastAsia="Times New Roman"/>
          <w:color w:val="000000"/>
          <w:sz w:val="20"/>
          <w:szCs w:val="20"/>
          <w:u w:val="single"/>
        </w:rPr>
        <w:t>Dividends to Shareholder</w:t>
      </w:r>
      <w:r>
        <w:rPr>
          <w:rFonts w:eastAsia="Times New Roman"/>
          <w:color w:val="000000"/>
          <w:sz w:val="20"/>
          <w:szCs w:val="20"/>
          <w:u w:val="single"/>
        </w:rPr>
        <w:t>s</w:t>
      </w:r>
    </w:p>
    <w:p w:rsidR="00000000" w:rsidRDefault="00775A8F">
      <w:pPr>
        <w:divId w:val="2077512070"/>
        <w:rPr>
          <w:rFonts w:eastAsia="Times New Roman"/>
        </w:rPr>
      </w:pPr>
      <w:r>
        <w:rPr>
          <w:rFonts w:eastAsia="Times New Roman"/>
          <w:color w:val="000000"/>
          <w:sz w:val="20"/>
          <w:szCs w:val="20"/>
        </w:rPr>
        <w:t>Dividends declared per share of each class of stock were as follows for the periods indicated</w:t>
      </w:r>
      <w:r>
        <w:rPr>
          <w:rFonts w:eastAsia="Times New Roman"/>
          <w:color w:val="000000"/>
          <w:sz w:val="20"/>
          <w:szCs w:val="20"/>
        </w:rPr>
        <w:t>:</w:t>
      </w:r>
    </w:p>
    <w:tbl>
      <w:tblPr>
        <w:tblW w:w="4415" w:type="pct"/>
        <w:jc w:val="center"/>
        <w:tblCellMar>
          <w:top w:w="15" w:type="dxa"/>
          <w:left w:w="15" w:type="dxa"/>
          <w:bottom w:w="15" w:type="dxa"/>
          <w:right w:w="15" w:type="dxa"/>
        </w:tblCellMar>
        <w:tblLook w:val="04A0" w:firstRow="1" w:lastRow="0" w:firstColumn="1" w:lastColumn="0" w:noHBand="0" w:noVBand="1"/>
      </w:tblPr>
      <w:tblGrid>
        <w:gridCol w:w="37"/>
        <w:gridCol w:w="2881"/>
        <w:gridCol w:w="36"/>
        <w:gridCol w:w="135"/>
        <w:gridCol w:w="686"/>
        <w:gridCol w:w="85"/>
        <w:gridCol w:w="36"/>
        <w:gridCol w:w="36"/>
        <w:gridCol w:w="36"/>
        <w:gridCol w:w="135"/>
        <w:gridCol w:w="660"/>
        <w:gridCol w:w="85"/>
        <w:gridCol w:w="36"/>
        <w:gridCol w:w="36"/>
        <w:gridCol w:w="36"/>
        <w:gridCol w:w="135"/>
        <w:gridCol w:w="662"/>
        <w:gridCol w:w="85"/>
        <w:gridCol w:w="36"/>
        <w:gridCol w:w="36"/>
        <w:gridCol w:w="36"/>
        <w:gridCol w:w="135"/>
        <w:gridCol w:w="664"/>
        <w:gridCol w:w="85"/>
        <w:gridCol w:w="36"/>
        <w:gridCol w:w="36"/>
        <w:gridCol w:w="36"/>
        <w:gridCol w:w="36"/>
        <w:gridCol w:w="36"/>
        <w:gridCol w:w="36"/>
        <w:gridCol w:w="36"/>
        <w:gridCol w:w="36"/>
        <w:gridCol w:w="36"/>
        <w:gridCol w:w="36"/>
        <w:gridCol w:w="36"/>
        <w:gridCol w:w="36"/>
        <w:gridCol w:w="36"/>
        <w:gridCol w:w="36"/>
      </w:tblGrid>
      <w:tr w:rsidR="00000000">
        <w:trPr>
          <w:gridAfter w:val="12"/>
          <w:divId w:val="1121798042"/>
          <w:jc w:val="center"/>
        </w:trPr>
        <w:tc>
          <w:tcPr>
            <w:tcW w:w="50" w:type="pct"/>
            <w:vAlign w:val="center"/>
            <w:hideMark/>
          </w:tcPr>
          <w:p w:rsidR="00000000" w:rsidRDefault="00775A8F">
            <w:pPr>
              <w:rPr>
                <w:rFonts w:eastAsia="Times New Roman"/>
              </w:rPr>
            </w:pPr>
          </w:p>
        </w:tc>
        <w:tc>
          <w:tcPr>
            <w:tcW w:w="215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5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179804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21798042"/>
          <w:jc w:val="center"/>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1798042"/>
          <w:jc w:val="center"/>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Dividends declared per share of common stoc</w:t>
            </w:r>
            <w:r>
              <w:rPr>
                <w:rFonts w:eastAsia="Times New Roman"/>
                <w:color w:val="000000"/>
                <w:sz w:val="20"/>
                <w:szCs w:val="20"/>
              </w:rPr>
              <w:t>k</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0.17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0.32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21798042"/>
          <w:jc w:val="center"/>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Dividends declared per depositary share (1</w:t>
            </w: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0.33</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0.72</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877155037"/>
        <w:rPr>
          <w:rFonts w:eastAsia="Times New Roman"/>
        </w:rPr>
      </w:pPr>
      <w:r>
        <w:rPr>
          <w:rFonts w:eastAsia="Times New Roman"/>
          <w:color w:val="000000"/>
          <w:sz w:val="18"/>
          <w:szCs w:val="18"/>
        </w:rPr>
        <w:t>______________</w:t>
      </w:r>
      <w:r>
        <w:rPr>
          <w:rFonts w:eastAsia="Times New Roman"/>
          <w:color w:val="000000"/>
          <w:sz w:val="18"/>
          <w:szCs w:val="18"/>
        </w:rPr>
        <w:t>_</w:t>
      </w:r>
    </w:p>
    <w:p w:rsidR="00000000" w:rsidRDefault="00775A8F">
      <w:pPr>
        <w:ind w:hanging="360"/>
        <w:divId w:val="151252322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Represents a 1/1,000th interest in a share of preferred stock</w:t>
      </w:r>
      <w:r>
        <w:rPr>
          <w:rFonts w:eastAsia="Times New Roman"/>
          <w:color w:val="000000"/>
          <w:sz w:val="18"/>
          <w:szCs w:val="18"/>
        </w:rPr>
        <w:t>.</w:t>
      </w:r>
    </w:p>
    <w:p w:rsidR="00000000" w:rsidRDefault="00775A8F">
      <w:pPr>
        <w:divId w:val="1516575437"/>
        <w:rPr>
          <w:rFonts w:eastAsia="Times New Roman"/>
        </w:rPr>
      </w:pPr>
      <w:r>
        <w:rPr>
          <w:rFonts w:eastAsia="Times New Roman"/>
          <w:color w:val="000000"/>
          <w:sz w:val="20"/>
          <w:szCs w:val="20"/>
          <w:u w:val="single"/>
        </w:rPr>
        <w:t>Share Repurchas</w:t>
      </w:r>
      <w:r>
        <w:rPr>
          <w:rFonts w:eastAsia="Times New Roman"/>
          <w:color w:val="000000"/>
          <w:sz w:val="20"/>
          <w:szCs w:val="20"/>
          <w:u w:val="single"/>
        </w:rPr>
        <w:t>e</w:t>
      </w:r>
    </w:p>
    <w:p w:rsidR="00000000" w:rsidRDefault="00775A8F">
      <w:pPr>
        <w:divId w:val="914703557"/>
        <w:rPr>
          <w:rFonts w:eastAsia="Times New Roman"/>
        </w:rPr>
      </w:pPr>
      <w:r>
        <w:rPr>
          <w:rFonts w:eastAsia="Times New Roman"/>
          <w:color w:val="000000"/>
          <w:sz w:val="20"/>
          <w:szCs w:val="20"/>
        </w:rPr>
        <w:t>On November 6, 2019, Holdings’ Board of Directors authorized a $400 million share repurchase program wit</w:t>
      </w:r>
      <w:r>
        <w:rPr>
          <w:rFonts w:eastAsia="Times New Roman"/>
          <w:color w:val="000000"/>
          <w:sz w:val="20"/>
          <w:szCs w:val="20"/>
        </w:rPr>
        <w:t>h an expiration date of December 31, 2020. On February 26, 2020, Holdings’ Board of Directors authorized an increase of $600 million to the capacity of this program as well as the extension of the term of the program until March 31, 2021. Under this progra</w:t>
      </w:r>
      <w:r>
        <w:rPr>
          <w:rFonts w:eastAsia="Times New Roman"/>
          <w:color w:val="000000"/>
          <w:sz w:val="20"/>
          <w:szCs w:val="20"/>
        </w:rPr>
        <w:t xml:space="preserve">m, Holdings may, from time to time through March 31, 2021, purchase up to $1.0 billion of its common stock but it is not obligated to purchase any particular number of shares. Repurchases may be effected in the open market, through derivative, accelerated </w:t>
      </w:r>
      <w:r>
        <w:rPr>
          <w:rFonts w:eastAsia="Times New Roman"/>
          <w:color w:val="000000"/>
          <w:sz w:val="20"/>
          <w:szCs w:val="20"/>
        </w:rPr>
        <w:t>repurchase and other negotiated transactions and through prearranged trading plans complying with Rule 10b5-1(c) under the Securities Exchange Act of 1934, as amended (the “Exchange Act”)</w:t>
      </w:r>
      <w:r>
        <w:rPr>
          <w:rFonts w:eastAsia="Times New Roman"/>
          <w:color w:val="000000"/>
          <w:sz w:val="20"/>
          <w:szCs w:val="20"/>
        </w:rPr>
        <w:t>.</w:t>
      </w:r>
    </w:p>
    <w:p w:rsidR="00000000" w:rsidRDefault="00775A8F">
      <w:pPr>
        <w:divId w:val="1476289493"/>
        <w:rPr>
          <w:rFonts w:eastAsia="Times New Roman"/>
        </w:rPr>
      </w:pPr>
      <w:r>
        <w:rPr>
          <w:rFonts w:eastAsia="Times New Roman"/>
          <w:color w:val="000000"/>
          <w:sz w:val="20"/>
          <w:szCs w:val="20"/>
        </w:rPr>
        <w:t>During the three and six months ended June 30, 2020, Holdings repur</w:t>
      </w:r>
      <w:r>
        <w:rPr>
          <w:rFonts w:eastAsia="Times New Roman"/>
          <w:color w:val="000000"/>
          <w:sz w:val="20"/>
          <w:szCs w:val="20"/>
        </w:rPr>
        <w:t>chased 1.3 million and 14.9 million shares of its common stock in the open market. As of June 30, 2020, Holdings had capacity of approximately $370 million remaining in its stock repurchase program</w:t>
      </w:r>
      <w:r>
        <w:rPr>
          <w:rFonts w:eastAsia="Times New Roman"/>
          <w:color w:val="000000"/>
          <w:sz w:val="20"/>
          <w:szCs w:val="20"/>
        </w:rPr>
        <w:t>.</w:t>
      </w:r>
    </w:p>
    <w:p w:rsidR="00000000" w:rsidRDefault="00775A8F">
      <w:pPr>
        <w:divId w:val="2120634738"/>
        <w:rPr>
          <w:rFonts w:eastAsia="Times New Roman"/>
        </w:rPr>
      </w:pPr>
      <w:r>
        <w:rPr>
          <w:rFonts w:eastAsia="Times New Roman"/>
          <w:color w:val="000000"/>
          <w:sz w:val="20"/>
          <w:szCs w:val="20"/>
          <w:u w:val="single"/>
        </w:rPr>
        <w:t>Accumulated Other Comprehensive Income (Loss</w:t>
      </w:r>
      <w:r>
        <w:rPr>
          <w:rFonts w:eastAsia="Times New Roman"/>
          <w:color w:val="000000"/>
          <w:sz w:val="20"/>
          <w:szCs w:val="20"/>
          <w:u w:val="single"/>
        </w:rPr>
        <w:t>)</w:t>
      </w:r>
    </w:p>
    <w:p w:rsidR="00000000" w:rsidRDefault="00775A8F">
      <w:pPr>
        <w:divId w:val="845747755"/>
        <w:rPr>
          <w:rFonts w:eastAsia="Times New Roman"/>
        </w:rPr>
      </w:pPr>
      <w:r>
        <w:rPr>
          <w:rFonts w:eastAsia="Times New Roman"/>
          <w:color w:val="000000"/>
          <w:sz w:val="20"/>
          <w:szCs w:val="20"/>
        </w:rPr>
        <w:t>AOCI repres</w:t>
      </w:r>
      <w:r>
        <w:rPr>
          <w:rFonts w:eastAsia="Times New Roman"/>
          <w:color w:val="000000"/>
          <w:sz w:val="20"/>
          <w:szCs w:val="20"/>
        </w:rPr>
        <w:t>ents cumulative gains (losses) on items that are not reflected in Net income (loss). The balances as of June 30, 2020 and 2019 follow</w:t>
      </w:r>
      <w:r>
        <w:rPr>
          <w:rFonts w:eastAsia="Times New Roman"/>
          <w:color w:val="000000"/>
          <w:sz w:val="20"/>
          <w:szCs w:val="20"/>
        </w:rPr>
        <w:t>:</w:t>
      </w:r>
    </w:p>
    <w:tbl>
      <w:tblPr>
        <w:tblW w:w="4605" w:type="pct"/>
        <w:tblCellMar>
          <w:top w:w="15" w:type="dxa"/>
          <w:left w:w="15" w:type="dxa"/>
          <w:bottom w:w="15" w:type="dxa"/>
          <w:right w:w="15" w:type="dxa"/>
        </w:tblCellMar>
        <w:tblLook w:val="04A0" w:firstRow="1" w:lastRow="0" w:firstColumn="1" w:lastColumn="0" w:noHBand="0" w:noVBand="1"/>
      </w:tblPr>
      <w:tblGrid>
        <w:gridCol w:w="39"/>
        <w:gridCol w:w="5137"/>
        <w:gridCol w:w="39"/>
        <w:gridCol w:w="135"/>
        <w:gridCol w:w="812"/>
        <w:gridCol w:w="85"/>
        <w:gridCol w:w="36"/>
        <w:gridCol w:w="36"/>
        <w:gridCol w:w="36"/>
        <w:gridCol w:w="135"/>
        <w:gridCol w:w="787"/>
        <w:gridCol w:w="85"/>
        <w:gridCol w:w="36"/>
        <w:gridCol w:w="36"/>
        <w:gridCol w:w="36"/>
        <w:gridCol w:w="36"/>
        <w:gridCol w:w="36"/>
        <w:gridCol w:w="36"/>
        <w:gridCol w:w="36"/>
        <w:gridCol w:w="36"/>
      </w:tblGrid>
      <w:tr w:rsidR="00000000">
        <w:trPr>
          <w:gridAfter w:val="6"/>
          <w:divId w:val="1206337462"/>
        </w:trPr>
        <w:tc>
          <w:tcPr>
            <w:tcW w:w="50" w:type="pct"/>
            <w:vAlign w:val="center"/>
            <w:hideMark/>
          </w:tcPr>
          <w:p w:rsidR="00000000" w:rsidRDefault="00775A8F">
            <w:pPr>
              <w:rPr>
                <w:rFonts w:eastAsia="Times New Roman"/>
              </w:rPr>
            </w:pPr>
          </w:p>
        </w:tc>
        <w:tc>
          <w:tcPr>
            <w:tcW w:w="351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206337462"/>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6"/>
                <w:szCs w:val="16"/>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206337462"/>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Unrealized gains (losses) on investment</w:t>
            </w:r>
            <w:r>
              <w:rPr>
                <w:rFonts w:eastAsia="Times New Roman"/>
                <w:color w:val="000000"/>
                <w:sz w:val="20"/>
                <w:szCs w:val="20"/>
              </w:rPr>
              <w:t>s</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4,886</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1,799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Defined benefit pension plan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(933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Foreign currency translation adjustment</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accumulated other comprehensive income (loss</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3,881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836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Less: Accumulated other comprehensive income (loss) attributable to noncontrolling interes</w:t>
            </w:r>
            <w:r>
              <w:rPr>
                <w:rFonts w:eastAsia="Times New Roman"/>
                <w:color w:val="000000"/>
                <w:sz w:val="20"/>
                <w:szCs w:val="20"/>
              </w:rPr>
              <w:t>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w:t>
            </w:r>
            <w:r>
              <w:rPr>
                <w:rFonts w:eastAsia="Times New Roman"/>
                <w:b/>
                <w:bCs/>
                <w:color w:val="000000"/>
                <w:sz w:val="20"/>
                <w:szCs w:val="20"/>
              </w:rPr>
              <w:t>)</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w:t>
            </w:r>
            <w:r>
              <w:rPr>
                <w:rFonts w:eastAsia="Times New Roman"/>
                <w:color w:val="000000"/>
                <w:sz w:val="20"/>
                <w:szCs w:val="20"/>
              </w:rPr>
              <w:t>)</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0633746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Accumulated other comprehensive income (loss) attributable to Holding</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3,928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052585130"/>
        <w:rPr>
          <w:rFonts w:eastAsia="Times New Roman"/>
        </w:rPr>
      </w:pPr>
    </w:p>
    <w:p w:rsidR="00000000" w:rsidRDefault="00775A8F">
      <w:pPr>
        <w:jc w:val="center"/>
        <w:divId w:val="159082713"/>
        <w:rPr>
          <w:rFonts w:eastAsia="Times New Roman"/>
        </w:rPr>
      </w:pPr>
      <w:r>
        <w:rPr>
          <w:rFonts w:eastAsia="Times New Roman"/>
          <w:color w:val="000000"/>
          <w:sz w:val="20"/>
          <w:szCs w:val="20"/>
        </w:rPr>
        <w:t>5</w:t>
      </w:r>
      <w:r>
        <w:rPr>
          <w:rFonts w:eastAsia="Times New Roman"/>
          <w:color w:val="000000"/>
          <w:sz w:val="20"/>
          <w:szCs w:val="20"/>
        </w:rPr>
        <w:t>4</w:t>
      </w:r>
    </w:p>
    <w:p w:rsidR="00000000" w:rsidRDefault="00775A8F">
      <w:pPr>
        <w:rPr>
          <w:rFonts w:eastAsia="Times New Roman"/>
        </w:rPr>
      </w:pPr>
      <w:r>
        <w:rPr>
          <w:rFonts w:eastAsia="Times New Roman"/>
        </w:rPr>
        <w:pict>
          <v:rect id="_x0000_i1080" style="width:0;height:1.5pt" o:hralign="center" o:hrstd="t" o:hr="t" fillcolor="#a0a0a0" stroked="f"/>
        </w:pict>
      </w:r>
    </w:p>
    <w:p w:rsidR="00000000" w:rsidRDefault="00775A8F">
      <w:pPr>
        <w:jc w:val="center"/>
        <w:divId w:val="288241400"/>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288241400"/>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408962541"/>
        <w:rPr>
          <w:rFonts w:eastAsia="Times New Roman"/>
        </w:rPr>
      </w:pPr>
      <w:r>
        <w:rPr>
          <w:rFonts w:eastAsia="Times New Roman"/>
          <w:color w:val="000000"/>
          <w:sz w:val="20"/>
          <w:szCs w:val="20"/>
        </w:rPr>
        <w:t>The components of OCI, net of taxes for the three and six months ended June 30, 2020 and 2019 follow</w:t>
      </w:r>
      <w:r>
        <w:rPr>
          <w:rFonts w:eastAsia="Times New Roman"/>
          <w:color w:val="000000"/>
          <w:sz w:val="20"/>
          <w:szCs w:val="20"/>
        </w:rPr>
        <w:t>:</w:t>
      </w:r>
    </w:p>
    <w:tbl>
      <w:tblPr>
        <w:tblW w:w="4788" w:type="pct"/>
        <w:tblCellMar>
          <w:top w:w="15" w:type="dxa"/>
          <w:left w:w="15" w:type="dxa"/>
          <w:bottom w:w="15" w:type="dxa"/>
          <w:right w:w="15" w:type="dxa"/>
        </w:tblCellMar>
        <w:tblLook w:val="04A0" w:firstRow="1" w:lastRow="0" w:firstColumn="1" w:lastColumn="0" w:noHBand="0" w:noVBand="1"/>
      </w:tblPr>
      <w:tblGrid>
        <w:gridCol w:w="39"/>
        <w:gridCol w:w="3462"/>
        <w:gridCol w:w="38"/>
        <w:gridCol w:w="135"/>
        <w:gridCol w:w="646"/>
        <w:gridCol w:w="85"/>
        <w:gridCol w:w="36"/>
        <w:gridCol w:w="36"/>
        <w:gridCol w:w="36"/>
        <w:gridCol w:w="135"/>
        <w:gridCol w:w="615"/>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2011562595"/>
        </w:trPr>
        <w:tc>
          <w:tcPr>
            <w:tcW w:w="50" w:type="pct"/>
            <w:vAlign w:val="center"/>
            <w:hideMark/>
          </w:tcPr>
          <w:p w:rsidR="00000000" w:rsidRDefault="00775A8F">
            <w:pPr>
              <w:rPr>
                <w:rFonts w:eastAsia="Times New Roman"/>
              </w:rPr>
            </w:pPr>
          </w:p>
        </w:tc>
        <w:tc>
          <w:tcPr>
            <w:tcW w:w="243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201156259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divId w:val="2040668440"/>
              <w:rPr>
                <w:rFonts w:eastAsia="Times New Roman"/>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201156259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201156259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net unrealized gains (losses) on investments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unrealized gains (losses) arising during the perio</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1,381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4,366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(Gains) losses reclassified into net income (loss) during the period (1</w:t>
            </w:r>
            <w:r>
              <w:rPr>
                <w:rFonts w:eastAsia="Times New Roman"/>
                <w:color w:val="000000"/>
                <w:sz w:val="20"/>
                <w:szCs w:val="20"/>
              </w:rPr>
              <w:t>)</w:t>
            </w: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(152</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(199</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unrealized gains (losses) on investment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2,701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1,377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4,167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Adjustments for policyholders’ liabilities, DAC, insurance liability loss recognition and othe</w:t>
            </w:r>
            <w:r>
              <w:rPr>
                <w:rFonts w:eastAsia="Times New Roman"/>
                <w:color w:val="000000"/>
                <w:sz w:val="20"/>
                <w:szCs w:val="20"/>
              </w:rPr>
              <w:t>r</w:t>
            </w: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(1,087</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(1,119</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(525</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unrealized gains (losses), net of adjustments (net of deferred income tax expense (benefit) of $428, $362, $810 and $580</w:t>
            </w: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1,614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1,369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3,048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defined benefit plans</w:t>
            </w:r>
            <w:r>
              <w:rPr>
                <w:rFonts w:eastAsia="Times New Roman"/>
                <w:color w:val="000000"/>
                <w:sz w:val="20"/>
                <w:szCs w:val="20"/>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Reclassification to Net income (loss) of amortization of net prior service credit included in net periodic cos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Change in defined benefit plans (net of deferred income tax expense (benefit) of $6, $(5), $13 and $17</w:t>
            </w:r>
            <w:r>
              <w:rPr>
                <w:rFonts w:eastAsia="Times New Roman"/>
                <w:color w:val="000000"/>
                <w:sz w:val="20"/>
                <w:szCs w:val="20"/>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Foreign currency translation adjustments</w:t>
            </w:r>
            <w:r>
              <w:rPr>
                <w:rFonts w:eastAsia="Times New Roman"/>
                <w:color w:val="000000"/>
                <w:sz w:val="20"/>
                <w:szCs w:val="20"/>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Foreign currency translation gains (losses) arising during the perio</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Foreign currency translation adjustmen</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other comprehensive income (loss), net of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1,642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3,083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Less: Other comprehensive income (loss) attributable to noncontrolling interes</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20115625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comprehensive income (loss) attributable to Holding</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1,639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3,088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2,272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308290231"/>
        <w:rPr>
          <w:rFonts w:eastAsia="Times New Roman"/>
        </w:rPr>
      </w:pPr>
      <w:r>
        <w:rPr>
          <w:rFonts w:eastAsia="Times New Roman"/>
          <w:color w:val="000000"/>
          <w:sz w:val="18"/>
          <w:szCs w:val="18"/>
        </w:rPr>
        <w:t>______________</w:t>
      </w:r>
      <w:r>
        <w:rPr>
          <w:rFonts w:eastAsia="Times New Roman"/>
          <w:color w:val="000000"/>
          <w:sz w:val="18"/>
          <w:szCs w:val="18"/>
        </w:rPr>
        <w:t>_</w:t>
      </w:r>
    </w:p>
    <w:p w:rsidR="00000000" w:rsidRDefault="00775A8F">
      <w:pPr>
        <w:ind w:hanging="360"/>
        <w:divId w:val="1305544232"/>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See “Reclassification adjustments” in Note 3. Reclassification amounts presented net of income tax expense (benefit)</w:t>
      </w:r>
      <w:r>
        <w:rPr>
          <w:rFonts w:eastAsia="Times New Roman"/>
          <w:color w:val="000000"/>
          <w:sz w:val="18"/>
          <w:szCs w:val="18"/>
        </w:rPr>
        <w:t xml:space="preserve"> of $(41) million, $(1) million, $(53) million and $1 million for the three and six months ended June 30, 2020 and 2019, respectivel</w:t>
      </w:r>
      <w:r>
        <w:rPr>
          <w:rFonts w:eastAsia="Times New Roman"/>
          <w:color w:val="000000"/>
          <w:sz w:val="18"/>
          <w:szCs w:val="18"/>
        </w:rPr>
        <w:t>y</w:t>
      </w:r>
    </w:p>
    <w:p w:rsidR="00000000" w:rsidRDefault="00775A8F">
      <w:pPr>
        <w:divId w:val="646544961"/>
        <w:rPr>
          <w:rFonts w:eastAsia="Times New Roman"/>
        </w:rPr>
      </w:pPr>
      <w:r>
        <w:rPr>
          <w:rFonts w:eastAsia="Times New Roman"/>
          <w:color w:val="000000"/>
          <w:sz w:val="20"/>
          <w:szCs w:val="20"/>
        </w:rPr>
        <w:t>Investment gains and losses reclassified from AOCI to Net income (loss) primarily consist of realized gains (losses) on sa</w:t>
      </w:r>
      <w:r>
        <w:rPr>
          <w:rFonts w:eastAsia="Times New Roman"/>
          <w:color w:val="000000"/>
          <w:sz w:val="20"/>
          <w:szCs w:val="20"/>
        </w:rPr>
        <w:t>les and credit losses of AFS securities and are included in Total investment gains (losses), net on the consolidated statements of income (loss). Amounts reclassified from AOCI to Net income (loss) as related to defined benefit plans primarily consist of a</w:t>
      </w:r>
      <w:r>
        <w:rPr>
          <w:rFonts w:eastAsia="Times New Roman"/>
          <w:color w:val="000000"/>
          <w:sz w:val="20"/>
          <w:szCs w:val="20"/>
        </w:rPr>
        <w:t xml:space="preserve">mortization of net (gains) losses and net prior service cost (credit) recognized as a component of net periodic cost and reported in Compensation and benefits in the consolidated statements of income (loss). Amounts presented in the table above are net of </w:t>
      </w:r>
      <w:r>
        <w:rPr>
          <w:rFonts w:eastAsia="Times New Roman"/>
          <w:color w:val="000000"/>
          <w:sz w:val="20"/>
          <w:szCs w:val="20"/>
        </w:rPr>
        <w:t>tax</w:t>
      </w:r>
      <w:r>
        <w:rPr>
          <w:rFonts w:eastAsia="Times New Roman"/>
          <w:color w:val="000000"/>
          <w:sz w:val="20"/>
          <w:szCs w:val="20"/>
        </w:rPr>
        <w:t>.</w:t>
      </w:r>
    </w:p>
    <w:p w:rsidR="00000000" w:rsidRDefault="00775A8F">
      <w:pPr>
        <w:divId w:val="870842762"/>
        <w:rPr>
          <w:rFonts w:eastAsia="Times New Roman"/>
        </w:rPr>
      </w:pPr>
      <w:r>
        <w:rPr>
          <w:rFonts w:eastAsia="Times New Roman"/>
          <w:b/>
          <w:bCs/>
          <w:color w:val="000000"/>
          <w:sz w:val="20"/>
          <w:szCs w:val="20"/>
        </w:rPr>
        <w:t>13) REDEEMABLE NONCONTROLLING INTEREST</w:t>
      </w:r>
      <w:r>
        <w:rPr>
          <w:rFonts w:eastAsia="Times New Roman"/>
          <w:b/>
          <w:bCs/>
          <w:color w:val="000000"/>
          <w:sz w:val="20"/>
          <w:szCs w:val="20"/>
        </w:rPr>
        <w:t xml:space="preserve"> </w:t>
      </w:r>
    </w:p>
    <w:p w:rsidR="00000000" w:rsidRDefault="00775A8F">
      <w:pPr>
        <w:divId w:val="512692600"/>
        <w:rPr>
          <w:rFonts w:eastAsia="Times New Roman"/>
        </w:rPr>
      </w:pPr>
      <w:r>
        <w:rPr>
          <w:rFonts w:eastAsia="Times New Roman"/>
          <w:color w:val="000000"/>
          <w:sz w:val="20"/>
          <w:szCs w:val="20"/>
        </w:rPr>
        <w:t>The changes in the components of redeemable noncontrolling interests are presented in the table that follows</w:t>
      </w:r>
      <w:r>
        <w:rPr>
          <w:rFonts w:eastAsia="Times New Roman"/>
          <w:color w:val="000000"/>
          <w:sz w:val="20"/>
          <w:szCs w:val="20"/>
        </w:rPr>
        <w:t>:</w:t>
      </w:r>
    </w:p>
    <w:tbl>
      <w:tblPr>
        <w:tblW w:w="4788" w:type="pct"/>
        <w:tblCellMar>
          <w:top w:w="15" w:type="dxa"/>
          <w:left w:w="15" w:type="dxa"/>
          <w:bottom w:w="15" w:type="dxa"/>
          <w:right w:w="15" w:type="dxa"/>
        </w:tblCellMar>
        <w:tblLook w:val="04A0" w:firstRow="1" w:lastRow="0" w:firstColumn="1" w:lastColumn="0" w:noHBand="0" w:noVBand="1"/>
      </w:tblPr>
      <w:tblGrid>
        <w:gridCol w:w="39"/>
        <w:gridCol w:w="3104"/>
        <w:gridCol w:w="38"/>
        <w:gridCol w:w="135"/>
        <w:gridCol w:w="747"/>
        <w:gridCol w:w="85"/>
        <w:gridCol w:w="36"/>
        <w:gridCol w:w="36"/>
        <w:gridCol w:w="36"/>
        <w:gridCol w:w="135"/>
        <w:gridCol w:w="717"/>
        <w:gridCol w:w="85"/>
        <w:gridCol w:w="36"/>
        <w:gridCol w:w="36"/>
        <w:gridCol w:w="36"/>
        <w:gridCol w:w="135"/>
        <w:gridCol w:w="526"/>
        <w:gridCol w:w="85"/>
        <w:gridCol w:w="36"/>
        <w:gridCol w:w="36"/>
        <w:gridCol w:w="36"/>
        <w:gridCol w:w="135"/>
        <w:gridCol w:w="580"/>
        <w:gridCol w:w="85"/>
        <w:gridCol w:w="81"/>
        <w:gridCol w:w="81"/>
        <w:gridCol w:w="81"/>
        <w:gridCol w:w="81"/>
        <w:gridCol w:w="81"/>
        <w:gridCol w:w="81"/>
        <w:gridCol w:w="81"/>
        <w:gridCol w:w="36"/>
        <w:gridCol w:w="36"/>
        <w:gridCol w:w="36"/>
        <w:gridCol w:w="36"/>
        <w:gridCol w:w="36"/>
        <w:gridCol w:w="36"/>
        <w:gridCol w:w="36"/>
        <w:gridCol w:w="36"/>
        <w:gridCol w:w="36"/>
        <w:gridCol w:w="36"/>
        <w:gridCol w:w="36"/>
        <w:gridCol w:w="36"/>
      </w:tblGrid>
      <w:tr w:rsidR="00000000">
        <w:trPr>
          <w:gridAfter w:val="18"/>
          <w:divId w:val="486867791"/>
        </w:trPr>
        <w:tc>
          <w:tcPr>
            <w:tcW w:w="50" w:type="pct"/>
            <w:vAlign w:val="center"/>
            <w:hideMark/>
          </w:tcPr>
          <w:p w:rsidR="00000000" w:rsidRDefault="00775A8F">
            <w:pPr>
              <w:rPr>
                <w:rFonts w:eastAsia="Times New Roman"/>
              </w:rPr>
            </w:pPr>
          </w:p>
        </w:tc>
        <w:tc>
          <w:tcPr>
            <w:tcW w:w="22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9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4868677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2"/>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7"/>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48686779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868677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48686779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beginning of perio</w:t>
            </w:r>
            <w:r>
              <w:rPr>
                <w:rFonts w:eastAsia="Times New Roman"/>
                <w:b/>
                <w:bCs/>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257</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365</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868677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earnings (loss) attributable to redeemable noncontrolling interest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8686779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Purchase/change of redeemable noncontrolling interest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8686779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Balance, end of perio</w:t>
            </w:r>
            <w:r>
              <w:rPr>
                <w:rFonts w:eastAsia="Times New Roman"/>
                <w:b/>
                <w:bCs/>
                <w:color w:val="000000"/>
                <w:sz w:val="20"/>
                <w:szCs w:val="20"/>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676224316"/>
        <w:rPr>
          <w:rFonts w:eastAsia="Times New Roman"/>
        </w:rPr>
      </w:pPr>
    </w:p>
    <w:p w:rsidR="00000000" w:rsidRDefault="00775A8F">
      <w:pPr>
        <w:jc w:val="center"/>
        <w:divId w:val="1177421331"/>
        <w:rPr>
          <w:rFonts w:eastAsia="Times New Roman"/>
        </w:rPr>
      </w:pPr>
      <w:r>
        <w:rPr>
          <w:rFonts w:eastAsia="Times New Roman"/>
          <w:color w:val="000000"/>
          <w:sz w:val="20"/>
          <w:szCs w:val="20"/>
        </w:rPr>
        <w:t>5</w:t>
      </w:r>
      <w:r>
        <w:rPr>
          <w:rFonts w:eastAsia="Times New Roman"/>
          <w:color w:val="000000"/>
          <w:sz w:val="20"/>
          <w:szCs w:val="20"/>
        </w:rPr>
        <w:t>5</w:t>
      </w:r>
    </w:p>
    <w:p w:rsidR="00000000" w:rsidRDefault="00775A8F">
      <w:pPr>
        <w:rPr>
          <w:rFonts w:eastAsia="Times New Roman"/>
        </w:rPr>
      </w:pPr>
      <w:r>
        <w:rPr>
          <w:rFonts w:eastAsia="Times New Roman"/>
        </w:rPr>
        <w:pict>
          <v:rect id="_x0000_i1081" style="width:0;height:1.5pt" o:hralign="center" o:hrstd="t" o:hr="t" fillcolor="#a0a0a0" stroked="f"/>
        </w:pict>
      </w:r>
    </w:p>
    <w:p w:rsidR="00000000" w:rsidRDefault="00775A8F">
      <w:pPr>
        <w:jc w:val="center"/>
        <w:divId w:val="2060862488"/>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2060862488"/>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449275261"/>
        <w:rPr>
          <w:rFonts w:eastAsia="Times New Roman"/>
        </w:rPr>
      </w:pPr>
      <w:r>
        <w:rPr>
          <w:rFonts w:eastAsia="Times New Roman"/>
          <w:b/>
          <w:bCs/>
          <w:color w:val="000000"/>
          <w:sz w:val="20"/>
          <w:szCs w:val="20"/>
        </w:rPr>
        <w:t>14) COMMITMENTS AND CONTINGENT LIABILITIE</w:t>
      </w:r>
      <w:r>
        <w:rPr>
          <w:rFonts w:eastAsia="Times New Roman"/>
          <w:b/>
          <w:bCs/>
          <w:color w:val="000000"/>
          <w:sz w:val="20"/>
          <w:szCs w:val="20"/>
        </w:rPr>
        <w:t>S</w:t>
      </w:r>
    </w:p>
    <w:p w:rsidR="00000000" w:rsidRDefault="00775A8F">
      <w:pPr>
        <w:divId w:val="1943561219"/>
        <w:rPr>
          <w:rFonts w:eastAsia="Times New Roman"/>
        </w:rPr>
      </w:pPr>
      <w:r>
        <w:rPr>
          <w:rFonts w:eastAsia="Times New Roman"/>
          <w:color w:val="000000"/>
          <w:sz w:val="20"/>
          <w:szCs w:val="20"/>
          <w:u w:val="single"/>
        </w:rPr>
        <w:t>Litigatio</w:t>
      </w:r>
      <w:r>
        <w:rPr>
          <w:rFonts w:eastAsia="Times New Roman"/>
          <w:color w:val="000000"/>
          <w:sz w:val="20"/>
          <w:szCs w:val="20"/>
          <w:u w:val="single"/>
        </w:rPr>
        <w:t>n</w:t>
      </w:r>
    </w:p>
    <w:p w:rsidR="00000000" w:rsidRDefault="00775A8F">
      <w:pPr>
        <w:divId w:val="1691836328"/>
        <w:rPr>
          <w:rFonts w:eastAsia="Times New Roman"/>
        </w:rPr>
      </w:pPr>
      <w:r>
        <w:rPr>
          <w:rFonts w:eastAsia="Times New Roman"/>
          <w:color w:val="000000"/>
          <w:sz w:val="20"/>
          <w:szCs w:val="20"/>
        </w:rPr>
        <w:t>Litigation, regulatory and other loss</w:t>
      </w:r>
      <w:r>
        <w:rPr>
          <w:rFonts w:eastAsia="Times New Roman"/>
          <w:color w:val="000000"/>
          <w:sz w:val="20"/>
          <w:szCs w:val="20"/>
        </w:rPr>
        <w:t xml:space="preserve"> contingencies arise in the ordinary course of the Company’s activities as a diversified financial services firm. The Company is a defendant in a number of litigation matters arising from the conduct of its business. In some of these matters, claimants see</w:t>
      </w:r>
      <w:r>
        <w:rPr>
          <w:rFonts w:eastAsia="Times New Roman"/>
          <w:color w:val="000000"/>
          <w:sz w:val="20"/>
          <w:szCs w:val="20"/>
        </w:rPr>
        <w:t>k to recover very large or indeterminate amounts, including compensatory, punitive, treble and exemplary damages. Modern pleading practice permits considerable variation in the assertion of monetary damages and other relief. Claimants are not always requir</w:t>
      </w:r>
      <w:r>
        <w:rPr>
          <w:rFonts w:eastAsia="Times New Roman"/>
          <w:color w:val="000000"/>
          <w:sz w:val="20"/>
          <w:szCs w:val="20"/>
        </w:rPr>
        <w:t>ed to specify the monetary damages they seek, or they may be required only to state an amount sufficient to meet a court’s jurisdictional requirements. Moreover, some jurisdictions allow claimants to allege monetary damages that far exceed any reasonably p</w:t>
      </w:r>
      <w:r>
        <w:rPr>
          <w:rFonts w:eastAsia="Times New Roman"/>
          <w:color w:val="000000"/>
          <w:sz w:val="20"/>
          <w:szCs w:val="20"/>
        </w:rPr>
        <w:t>ossible verdict. The variability in pleading requirements and past experience demonstrates that the monetary and other relief that may be requested in a lawsuit or claim often bears little relevance to the merits or potential value of a claim. Litigation a</w:t>
      </w:r>
      <w:r>
        <w:rPr>
          <w:rFonts w:eastAsia="Times New Roman"/>
          <w:color w:val="000000"/>
          <w:sz w:val="20"/>
          <w:szCs w:val="20"/>
        </w:rPr>
        <w:t>gainst the Company includes a variety of claims including, among other things, insurers’ sales practices, alleged agent misconduct, alleged failure to properly supervise agents, contract administration, product design, features and accompanying disclosure,</w:t>
      </w:r>
      <w:r>
        <w:rPr>
          <w:rFonts w:eastAsia="Times New Roman"/>
          <w:color w:val="000000"/>
          <w:sz w:val="20"/>
          <w:szCs w:val="20"/>
        </w:rPr>
        <w:t xml:space="preserve"> cost of insurance increases, payments of death benefits and the reporting and escheatment of unclaimed property, alleged breach of fiduciary duties, alleged mismanagement of client funds and other matters</w:t>
      </w:r>
      <w:r>
        <w:rPr>
          <w:rFonts w:eastAsia="Times New Roman"/>
          <w:color w:val="000000"/>
          <w:sz w:val="20"/>
          <w:szCs w:val="20"/>
        </w:rPr>
        <w:t>.</w:t>
      </w:r>
    </w:p>
    <w:p w:rsidR="00000000" w:rsidRDefault="00775A8F">
      <w:pPr>
        <w:divId w:val="1200510935"/>
        <w:rPr>
          <w:rFonts w:eastAsia="Times New Roman"/>
        </w:rPr>
      </w:pPr>
      <w:r>
        <w:rPr>
          <w:rFonts w:eastAsia="Times New Roman"/>
          <w:color w:val="000000"/>
          <w:sz w:val="20"/>
          <w:szCs w:val="20"/>
        </w:rPr>
        <w:t>As with other financial services companies, the C</w:t>
      </w:r>
      <w:r>
        <w:rPr>
          <w:rFonts w:eastAsia="Times New Roman"/>
          <w:color w:val="000000"/>
          <w:sz w:val="20"/>
          <w:szCs w:val="20"/>
        </w:rPr>
        <w:t>ompany periodically receives informal and formal requests for information from various state and federal governmental agencies and self-regulatory organizations in connection with inquiries and investigations of the products and practices of the Company or</w:t>
      </w:r>
      <w:r>
        <w:rPr>
          <w:rFonts w:eastAsia="Times New Roman"/>
          <w:color w:val="000000"/>
          <w:sz w:val="20"/>
          <w:szCs w:val="20"/>
        </w:rPr>
        <w:t xml:space="preserve"> the financial services industry. It is the practice of the Company to cooperate fully in these matters</w:t>
      </w:r>
      <w:r>
        <w:rPr>
          <w:rFonts w:eastAsia="Times New Roman"/>
          <w:color w:val="000000"/>
          <w:sz w:val="20"/>
          <w:szCs w:val="20"/>
        </w:rPr>
        <w:t>.</w:t>
      </w:r>
    </w:p>
    <w:p w:rsidR="00000000" w:rsidRDefault="00775A8F">
      <w:pPr>
        <w:divId w:val="46733014"/>
        <w:rPr>
          <w:rFonts w:eastAsia="Times New Roman"/>
        </w:rPr>
      </w:pPr>
      <w:r>
        <w:rPr>
          <w:rFonts w:eastAsia="Times New Roman"/>
          <w:color w:val="000000"/>
          <w:sz w:val="20"/>
          <w:szCs w:val="20"/>
        </w:rPr>
        <w:t>The outcome of a litigation or regulatory matter is difficult to predict, and the amount or range of potential losses associated with these or other lo</w:t>
      </w:r>
      <w:r>
        <w:rPr>
          <w:rFonts w:eastAsia="Times New Roman"/>
          <w:color w:val="000000"/>
          <w:sz w:val="20"/>
          <w:szCs w:val="20"/>
        </w:rPr>
        <w:t>ss contingencies requires significant management judgment. It is not possible to predict the ultimate outcome or to provide reasonably possible losses or ranges of losses for all pending regulatory matters, litigation and other loss contingencies. While it</w:t>
      </w:r>
      <w:r>
        <w:rPr>
          <w:rFonts w:eastAsia="Times New Roman"/>
          <w:color w:val="000000"/>
          <w:sz w:val="20"/>
          <w:szCs w:val="20"/>
        </w:rPr>
        <w:t xml:space="preserve"> is possible that an adverse outcome in certain cases could have a material adverse effect upon the Company’s financial position, based on information currently known, management believes that neither the outcome of pending litigation and regulatory matter</w:t>
      </w:r>
      <w:r>
        <w:rPr>
          <w:rFonts w:eastAsia="Times New Roman"/>
          <w:color w:val="000000"/>
          <w:sz w:val="20"/>
          <w:szCs w:val="20"/>
        </w:rPr>
        <w:t xml:space="preserve">s, nor potential liabilities associated with other loss contingencies, are likely to have such an effect. However, given the large and indeterminate amounts sought in certain litigation and the inherent unpredictability of all such matters, it is possible </w:t>
      </w:r>
      <w:r>
        <w:rPr>
          <w:rFonts w:eastAsia="Times New Roman"/>
          <w:color w:val="000000"/>
          <w:sz w:val="20"/>
          <w:szCs w:val="20"/>
        </w:rPr>
        <w:t>that an adverse outcome in certain of the Company’s litigation or regulatory matters, or liabilities arising from other loss contingencies, could, from time to time, have a material adverse effect upon the Company’s results of operations or cash flows in a</w:t>
      </w:r>
      <w:r>
        <w:rPr>
          <w:rFonts w:eastAsia="Times New Roman"/>
          <w:color w:val="000000"/>
          <w:sz w:val="20"/>
          <w:szCs w:val="20"/>
        </w:rPr>
        <w:t xml:space="preserve"> particular quarterly or annual period</w:t>
      </w:r>
      <w:r>
        <w:rPr>
          <w:rFonts w:eastAsia="Times New Roman"/>
          <w:color w:val="000000"/>
          <w:sz w:val="20"/>
          <w:szCs w:val="20"/>
        </w:rPr>
        <w:t>.</w:t>
      </w:r>
    </w:p>
    <w:p w:rsidR="00000000" w:rsidRDefault="00775A8F">
      <w:pPr>
        <w:divId w:val="761338513"/>
        <w:rPr>
          <w:rFonts w:eastAsia="Times New Roman"/>
        </w:rPr>
      </w:pPr>
      <w:r>
        <w:rPr>
          <w:rFonts w:eastAsia="Times New Roman"/>
          <w:color w:val="000000"/>
          <w:sz w:val="20"/>
          <w:szCs w:val="20"/>
        </w:rPr>
        <w:t>For some matters, the Company is able to estimate a possible range of loss. For such matters in which a loss is probable, an accrual has been made. For matters where the Company believes a loss is reasonably possible</w:t>
      </w:r>
      <w:r>
        <w:rPr>
          <w:rFonts w:eastAsia="Times New Roman"/>
          <w:color w:val="000000"/>
          <w:sz w:val="20"/>
          <w:szCs w:val="20"/>
        </w:rPr>
        <w:t>, but not probable, no accrual is required. For matters for which an accrual has been made, but there remains a reasonably possible range of loss in excess of the amounts accrued or for matters where no accrual is required, the Company develops an estimate</w:t>
      </w:r>
      <w:r>
        <w:rPr>
          <w:rFonts w:eastAsia="Times New Roman"/>
          <w:color w:val="000000"/>
          <w:sz w:val="20"/>
          <w:szCs w:val="20"/>
        </w:rPr>
        <w:t xml:space="preserve"> of the unaccrued amounts of the reasonably possible range of losses. As of June 30, 2020, the Company estimates the aggregate range of reasonably possible losses, in excess of any amounts accrued for these matters as of such date, to be up to approximatel</w:t>
      </w:r>
      <w:r>
        <w:rPr>
          <w:rFonts w:eastAsia="Times New Roman"/>
          <w:color w:val="000000"/>
          <w:sz w:val="20"/>
          <w:szCs w:val="20"/>
        </w:rPr>
        <w:t>y $100 million</w:t>
      </w:r>
      <w:r>
        <w:rPr>
          <w:rFonts w:eastAsia="Times New Roman"/>
          <w:color w:val="000000"/>
          <w:sz w:val="20"/>
          <w:szCs w:val="20"/>
        </w:rPr>
        <w:t>.</w:t>
      </w:r>
    </w:p>
    <w:p w:rsidR="00000000" w:rsidRDefault="00775A8F">
      <w:pPr>
        <w:divId w:val="898711738"/>
        <w:rPr>
          <w:rFonts w:eastAsia="Times New Roman"/>
        </w:rPr>
      </w:pPr>
      <w:r>
        <w:rPr>
          <w:rFonts w:eastAsia="Times New Roman"/>
          <w:color w:val="000000"/>
          <w:sz w:val="20"/>
          <w:szCs w:val="20"/>
        </w:rPr>
        <w:t>For other matters, the Company is currently not able to estimate the reasonably possible loss or range of loss. The Company is often unable to estimate the possible loss or range of loss until developments in such matters have provided suff</w:t>
      </w:r>
      <w:r>
        <w:rPr>
          <w:rFonts w:eastAsia="Times New Roman"/>
          <w:color w:val="000000"/>
          <w:sz w:val="20"/>
          <w:szCs w:val="20"/>
        </w:rPr>
        <w:t>icient information to support an assessment of the range of possible loss, such as quantification of a damage demand from plaintiffs, discovery from plaintiffs and other parties, investigation of factual allegations, rulings by a court on motions or appeal</w:t>
      </w:r>
      <w:r>
        <w:rPr>
          <w:rFonts w:eastAsia="Times New Roman"/>
          <w:color w:val="000000"/>
          <w:sz w:val="20"/>
          <w:szCs w:val="20"/>
        </w:rPr>
        <w:t>s, analysis by experts and the progress of settlement discussions. On a quarterly and annual basis, the Company reviews relevant information with respect to litigation and regulatory contingencies and updates the Company’s accruals, disclosures and reasona</w:t>
      </w:r>
      <w:r>
        <w:rPr>
          <w:rFonts w:eastAsia="Times New Roman"/>
          <w:color w:val="000000"/>
          <w:sz w:val="20"/>
          <w:szCs w:val="20"/>
        </w:rPr>
        <w:t>bly possible losses or ranges of loss based on such reviews</w:t>
      </w:r>
      <w:r>
        <w:rPr>
          <w:rFonts w:eastAsia="Times New Roman"/>
          <w:color w:val="000000"/>
          <w:sz w:val="20"/>
          <w:szCs w:val="20"/>
        </w:rPr>
        <w:t>.</w:t>
      </w:r>
    </w:p>
    <w:p w:rsidR="00000000" w:rsidRDefault="00775A8F">
      <w:pPr>
        <w:divId w:val="1305509094"/>
        <w:rPr>
          <w:rFonts w:eastAsia="Times New Roman"/>
        </w:rPr>
      </w:pPr>
      <w:r>
        <w:rPr>
          <w:rFonts w:eastAsia="Times New Roman"/>
          <w:color w:val="000000"/>
          <w:sz w:val="20"/>
          <w:szCs w:val="20"/>
        </w:rPr>
        <w:t>In August 2015, a lawsuit was filed in Connecticut Superior Court, Judicial Division of New Haven entitled Richard T. O’Donnell, on behalf of himself and all others similarly situated v. AXA Equitable Life Insurance Company. This lawsuit is a putative clas</w:t>
      </w:r>
      <w:r>
        <w:rPr>
          <w:rFonts w:eastAsia="Times New Roman"/>
          <w:color w:val="000000"/>
          <w:sz w:val="20"/>
          <w:szCs w:val="20"/>
        </w:rPr>
        <w:t>s action on behalf of all persons who purchased variable annuities from Equitable Financial, which were subsequently subjected to the volatility management strategy and who suffered injury as a result thereof. Plaintiff asserts a claim for breach of contra</w:t>
      </w:r>
      <w:r>
        <w:rPr>
          <w:rFonts w:eastAsia="Times New Roman"/>
          <w:color w:val="000000"/>
          <w:sz w:val="20"/>
          <w:szCs w:val="20"/>
        </w:rPr>
        <w:t>ct alleging that Equitable Financial implemented the volatility management strategy in violation of applicable law. Plaintiff seeks an award of damages individually and on a classwide basis, and costs and disbursements, including attorneys’ fees, expert wi</w:t>
      </w:r>
      <w:r>
        <w:rPr>
          <w:rFonts w:eastAsia="Times New Roman"/>
          <w:color w:val="000000"/>
          <w:sz w:val="20"/>
          <w:szCs w:val="20"/>
        </w:rPr>
        <w:t>tness fees and other costs. In November 2015, the Connecticut Federal District Court transferred this action to the United States District Court for the Southern District</w:t>
      </w:r>
      <w:r>
        <w:rPr>
          <w:rFonts w:eastAsia="Times New Roman"/>
          <w:color w:val="000000"/>
          <w:sz w:val="20"/>
          <w:szCs w:val="20"/>
        </w:rPr>
        <w:t xml:space="preserve"> </w:t>
      </w:r>
    </w:p>
    <w:p w:rsidR="00000000" w:rsidRDefault="00775A8F">
      <w:pPr>
        <w:jc w:val="center"/>
        <w:divId w:val="780883378"/>
        <w:rPr>
          <w:rFonts w:eastAsia="Times New Roman"/>
        </w:rPr>
      </w:pPr>
      <w:r>
        <w:rPr>
          <w:rFonts w:eastAsia="Times New Roman"/>
          <w:color w:val="000000"/>
          <w:sz w:val="20"/>
          <w:szCs w:val="20"/>
        </w:rPr>
        <w:t>5</w:t>
      </w:r>
      <w:r>
        <w:rPr>
          <w:rFonts w:eastAsia="Times New Roman"/>
          <w:color w:val="000000"/>
          <w:sz w:val="20"/>
          <w:szCs w:val="20"/>
        </w:rPr>
        <w:t>6</w:t>
      </w:r>
    </w:p>
    <w:p w:rsidR="00000000" w:rsidRDefault="00775A8F">
      <w:pPr>
        <w:rPr>
          <w:rFonts w:eastAsia="Times New Roman"/>
        </w:rPr>
      </w:pPr>
      <w:r>
        <w:rPr>
          <w:rFonts w:eastAsia="Times New Roman"/>
        </w:rPr>
        <w:pict>
          <v:rect id="_x0000_i1082" style="width:0;height:1.5pt" o:hralign="center" o:hrstd="t" o:hr="t" fillcolor="#a0a0a0" stroked="f"/>
        </w:pict>
      </w:r>
    </w:p>
    <w:p w:rsidR="00000000" w:rsidRDefault="00775A8F">
      <w:pPr>
        <w:jc w:val="center"/>
        <w:divId w:val="154718455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547184559"/>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 (Unaudited), Continue</w:t>
      </w:r>
      <w:r>
        <w:rPr>
          <w:rFonts w:eastAsia="Times New Roman"/>
          <w:b/>
          <w:bCs/>
          <w:color w:val="000000"/>
          <w:sz w:val="20"/>
          <w:szCs w:val="20"/>
        </w:rPr>
        <w:t>d</w:t>
      </w:r>
    </w:p>
    <w:p w:rsidR="00000000" w:rsidRDefault="00775A8F">
      <w:pPr>
        <w:divId w:val="1049919255"/>
        <w:rPr>
          <w:rFonts w:eastAsia="Times New Roman"/>
        </w:rPr>
      </w:pPr>
      <w:r>
        <w:rPr>
          <w:rFonts w:eastAsia="Times New Roman"/>
          <w:color w:val="000000"/>
          <w:sz w:val="20"/>
          <w:szCs w:val="20"/>
        </w:rPr>
        <w:t>of New York. In March 2017, the Southern District of New York granted Equitable Financial’</w:t>
      </w:r>
      <w:r>
        <w:rPr>
          <w:rFonts w:eastAsia="Times New Roman"/>
          <w:color w:val="000000"/>
          <w:sz w:val="20"/>
          <w:szCs w:val="20"/>
        </w:rPr>
        <w:t>s motion to dismiss the complaint. In April 2017, the plaintiff filed a notice of appeal. In April 2018, the United States Court of Appeals for the Second Circuit reversed the trial court’s decision with instructions to remand the case to Connecticut state</w:t>
      </w:r>
      <w:r>
        <w:rPr>
          <w:rFonts w:eastAsia="Times New Roman"/>
          <w:color w:val="000000"/>
          <w:sz w:val="20"/>
          <w:szCs w:val="20"/>
        </w:rPr>
        <w:t xml:space="preserve"> court. In September 2018, the Second Circuit issued its mandate, following Equitable Financial’s notification to the court that it would not file a petition for writ of certiorari. The case was transferred in December 2018 to the Connecticut Superior Cour</w:t>
      </w:r>
      <w:r>
        <w:rPr>
          <w:rFonts w:eastAsia="Times New Roman"/>
          <w:color w:val="000000"/>
          <w:sz w:val="20"/>
          <w:szCs w:val="20"/>
        </w:rPr>
        <w:t>t, Judicial District of Stamford. In December 2018, Equitable Financial sought dismissal of the complaint by filing a motion to strike, which the court granted in August 2019. Plaintiff filed an Amended Class Action Complaint in September 2019. Equitable F</w:t>
      </w:r>
      <w:r>
        <w:rPr>
          <w:rFonts w:eastAsia="Times New Roman"/>
          <w:color w:val="000000"/>
          <w:sz w:val="20"/>
          <w:szCs w:val="20"/>
        </w:rPr>
        <w:t>inancial filed a motion for entry of judgment in October 2019. On August 3, 2020, the court granted Equitable Financial’s motion for entry of judgment.We are vigorously defending this matter</w:t>
      </w:r>
      <w:r>
        <w:rPr>
          <w:rFonts w:eastAsia="Times New Roman"/>
          <w:color w:val="000000"/>
          <w:sz w:val="20"/>
          <w:szCs w:val="20"/>
        </w:rPr>
        <w:t>.</w:t>
      </w:r>
    </w:p>
    <w:p w:rsidR="00000000" w:rsidRDefault="00775A8F">
      <w:pPr>
        <w:divId w:val="1216816759"/>
        <w:rPr>
          <w:rFonts w:eastAsia="Times New Roman"/>
        </w:rPr>
      </w:pPr>
      <w:r>
        <w:rPr>
          <w:rFonts w:eastAsia="Times New Roman"/>
          <w:color w:val="000000"/>
          <w:sz w:val="20"/>
          <w:szCs w:val="20"/>
        </w:rPr>
        <w:t>In February 2016, a lawsuit was filed in the United States Distr</w:t>
      </w:r>
      <w:r>
        <w:rPr>
          <w:rFonts w:eastAsia="Times New Roman"/>
          <w:color w:val="000000"/>
          <w:sz w:val="20"/>
          <w:szCs w:val="20"/>
        </w:rPr>
        <w:t>ict Court for the Southern District of New York entitled Brach Family Foundation, Inc. v. AXA Equitable Life Insurance Company. This lawsuit is a putative class action brought on behalf of all owners of universal life (“UL”) policies subject to Equitable F</w:t>
      </w:r>
      <w:r>
        <w:rPr>
          <w:rFonts w:eastAsia="Times New Roman"/>
          <w:color w:val="000000"/>
          <w:sz w:val="20"/>
          <w:szCs w:val="20"/>
        </w:rPr>
        <w:t xml:space="preserve">inancial’s COI rate increase. In early 2016, Equitable Financial raised COI rates for certain UL policies issued between 2004 and 2007, which had both issue ages 70 and above and a current face value amount of $1 million and above. A second putative class </w:t>
      </w:r>
      <w:r>
        <w:rPr>
          <w:rFonts w:eastAsia="Times New Roman"/>
          <w:color w:val="000000"/>
          <w:sz w:val="20"/>
          <w:szCs w:val="20"/>
        </w:rPr>
        <w:t xml:space="preserve">action was filed in Arizona in 2017 and consolidated with the Brach matter. The current consolidated amended class action complaint alleges the following claims: breach of contract; misrepresentations by Equitable Financial in violation of Section 4226 of </w:t>
      </w:r>
      <w:r>
        <w:rPr>
          <w:rFonts w:eastAsia="Times New Roman"/>
          <w:color w:val="000000"/>
          <w:sz w:val="20"/>
          <w:szCs w:val="20"/>
        </w:rPr>
        <w:t>the New York Insurance Law; violations of New York General Business Law Section 349; and violations of the California Unfair Competition Law, and the California Elder Abuse Statute. Plaintiffs seek: (a) compensatory damages, costs, and, pre- and post-judgm</w:t>
      </w:r>
      <w:r>
        <w:rPr>
          <w:rFonts w:eastAsia="Times New Roman"/>
          <w:color w:val="000000"/>
          <w:sz w:val="20"/>
          <w:szCs w:val="20"/>
        </w:rPr>
        <w:t>ent interest; (b) with respect to their claim concerning Section 4226, a penalty in the amount of premiums paid by the plaintiffs and the putative class; and (c) injunctive relief and attorneys’ fees in connection with their statutory claims. Five other fe</w:t>
      </w:r>
      <w:r>
        <w:rPr>
          <w:rFonts w:eastAsia="Times New Roman"/>
          <w:color w:val="000000"/>
          <w:sz w:val="20"/>
          <w:szCs w:val="20"/>
        </w:rPr>
        <w:t xml:space="preserve">deral actions challenging the COI rate increase are also pending against Equitable Financial and have been coordinated with the Brach action for the purposes of pre-trial activities. They contain allegations similar to those in the Brach action as well as </w:t>
      </w:r>
      <w:r>
        <w:rPr>
          <w:rFonts w:eastAsia="Times New Roman"/>
          <w:color w:val="000000"/>
          <w:sz w:val="20"/>
          <w:szCs w:val="20"/>
        </w:rPr>
        <w:t>additional allegations for violations of various states’ consumer protection statutes and common law fraud. Three actions are also pending against Equitable Financial in New York state court. Equitable Financial is vigorously defending each of these matter</w:t>
      </w:r>
      <w:r>
        <w:rPr>
          <w:rFonts w:eastAsia="Times New Roman"/>
          <w:color w:val="000000"/>
          <w:sz w:val="20"/>
          <w:szCs w:val="20"/>
        </w:rPr>
        <w:t>s</w:t>
      </w:r>
      <w:r>
        <w:rPr>
          <w:rFonts w:eastAsia="Times New Roman"/>
          <w:color w:val="000000"/>
          <w:sz w:val="20"/>
          <w:szCs w:val="20"/>
        </w:rPr>
        <w:t>.</w:t>
      </w:r>
    </w:p>
    <w:p w:rsidR="00000000" w:rsidRDefault="00775A8F">
      <w:pPr>
        <w:jc w:val="both"/>
        <w:divId w:val="1222326791"/>
        <w:rPr>
          <w:rFonts w:eastAsia="Times New Roman"/>
        </w:rPr>
      </w:pPr>
      <w:r>
        <w:rPr>
          <w:rFonts w:eastAsia="Times New Roman"/>
          <w:b/>
          <w:bCs/>
          <w:i/>
          <w:iCs/>
          <w:color w:val="000000"/>
          <w:sz w:val="20"/>
          <w:szCs w:val="20"/>
        </w:rPr>
        <w:t>Pre-Capitalized Trust Securities (“P-Caps”</w:t>
      </w:r>
      <w:r>
        <w:rPr>
          <w:rFonts w:eastAsia="Times New Roman"/>
          <w:b/>
          <w:bCs/>
          <w:i/>
          <w:iCs/>
          <w:color w:val="000000"/>
          <w:sz w:val="20"/>
          <w:szCs w:val="20"/>
        </w:rPr>
        <w:t>)</w:t>
      </w:r>
    </w:p>
    <w:p w:rsidR="00000000" w:rsidRDefault="00775A8F">
      <w:pPr>
        <w:divId w:val="1149706149"/>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below), Pine Street T</w:t>
      </w:r>
      <w:r>
        <w:rPr>
          <w:rFonts w:eastAsia="Times New Roman"/>
          <w:color w:val="000000"/>
          <w:sz w:val="20"/>
          <w:szCs w:val="20"/>
        </w:rPr>
        <w:t>rust I, a Delaware statutory trust (the “2029 Trust”), completed the issuance and sale of 600,000 of its Pre-Capitalized Trust Securities redeemable February 15, 2029 (the “2029 P-Caps”) for an aggregate purchase price of $600 million and Pine Street Trust</w:t>
      </w:r>
      <w:r>
        <w:rPr>
          <w:rFonts w:eastAsia="Times New Roman"/>
          <w:color w:val="000000"/>
          <w:sz w:val="20"/>
          <w:szCs w:val="20"/>
        </w:rPr>
        <w:t xml:space="preserve"> II, a Delaware statutory trust (the “2049 Trust” and, together with the 2029 Trust, the “Trusts”), completed the issuance and sale of 400,000 of its Pre-Capitalized Trust Securities redeemable February 15, 2049 (the “2049 P-Caps” and, together with the 20</w:t>
      </w:r>
      <w:r>
        <w:rPr>
          <w:rFonts w:eastAsia="Times New Roman"/>
          <w:color w:val="000000"/>
          <w:sz w:val="20"/>
          <w:szCs w:val="20"/>
        </w:rPr>
        <w:t xml:space="preserve">29 P-Caps, the “P-Caps”) for an aggregate purchase price of $400 million in each case to qualified institutional buyers in reliance on Rule 144A that are also “qualified purchasers” for purposes of Section 3(c)(7) of the Investment Company Act of 1940, as </w:t>
      </w:r>
      <w:r>
        <w:rPr>
          <w:rFonts w:eastAsia="Times New Roman"/>
          <w:color w:val="000000"/>
          <w:sz w:val="20"/>
          <w:szCs w:val="20"/>
        </w:rPr>
        <w:t>amended.</w:t>
      </w:r>
      <w:r>
        <w:rPr>
          <w:rFonts w:eastAsia="Times New Roman"/>
          <w:color w:val="000000"/>
          <w:sz w:val="20"/>
          <w:szCs w:val="20"/>
        </w:rPr>
        <w:t xml:space="preserve"> </w:t>
      </w:r>
    </w:p>
    <w:p w:rsidR="00000000" w:rsidRDefault="00775A8F">
      <w:pPr>
        <w:divId w:val="375086462"/>
        <w:rPr>
          <w:rFonts w:eastAsia="Times New Roman"/>
        </w:rPr>
      </w:pPr>
      <w:r>
        <w:rPr>
          <w:rFonts w:eastAsia="Times New Roman"/>
          <w:color w:val="000000"/>
          <w:sz w:val="20"/>
          <w:szCs w:val="20"/>
        </w:rPr>
        <w:t>The P-Caps are an off-balance sheet contingent funding arrangement that, upon Holdings’ election, gives Holdings the right over a ten-year period (in the case of the 2029 Trust) or over a thirty-year period (in the case of the 2049 Trust) to issu</w:t>
      </w:r>
      <w:r>
        <w:rPr>
          <w:rFonts w:eastAsia="Times New Roman"/>
          <w:color w:val="000000"/>
          <w:sz w:val="20"/>
          <w:szCs w:val="20"/>
        </w:rPr>
        <w:t>e senior notes to the Trusts. The Trusts each invested the proceeds from the sale of their P-Caps in separate portfolios of principal and/or interest strips of U.S. Treasury securities. In return, Holdings will pay a semi-annual facility fee to the 2029 Tr</w:t>
      </w:r>
      <w:r>
        <w:rPr>
          <w:rFonts w:eastAsia="Times New Roman"/>
          <w:color w:val="000000"/>
          <w:sz w:val="20"/>
          <w:szCs w:val="20"/>
        </w:rPr>
        <w:t xml:space="preserve">ust and 2049 Trust calculated at a rate of 2.125% and 2.715% per annum, respectively, which will be applied to the unexercised portion of the contingent funding arrangement and Holdings will reimburse the Trusts for certain expenses. The facility fees are </w:t>
      </w:r>
      <w:r>
        <w:rPr>
          <w:rFonts w:eastAsia="Times New Roman"/>
          <w:color w:val="000000"/>
          <w:sz w:val="20"/>
          <w:szCs w:val="20"/>
        </w:rPr>
        <w:t>recorded in Other operating costs and expenses in the Consolidated Statements of Income (Loss)</w:t>
      </w:r>
      <w:r>
        <w:rPr>
          <w:rFonts w:eastAsia="Times New Roman"/>
          <w:color w:val="000000"/>
          <w:sz w:val="20"/>
          <w:szCs w:val="20"/>
        </w:rPr>
        <w:t>.</w:t>
      </w:r>
    </w:p>
    <w:p w:rsidR="00000000" w:rsidRDefault="00775A8F">
      <w:pPr>
        <w:divId w:val="1446845104"/>
        <w:rPr>
          <w:rFonts w:eastAsia="Times New Roman"/>
        </w:rPr>
      </w:pPr>
      <w:r>
        <w:rPr>
          <w:rFonts w:eastAsia="Times New Roman"/>
          <w:color w:val="000000"/>
          <w:sz w:val="20"/>
          <w:szCs w:val="20"/>
          <w:u w:val="single"/>
        </w:rPr>
        <w:t>Obligations under Funding Agreement</w:t>
      </w:r>
      <w:r>
        <w:rPr>
          <w:rFonts w:eastAsia="Times New Roman"/>
          <w:color w:val="000000"/>
          <w:sz w:val="20"/>
          <w:szCs w:val="20"/>
          <w:u w:val="single"/>
        </w:rPr>
        <w:t>s</w:t>
      </w:r>
    </w:p>
    <w:p w:rsidR="00000000" w:rsidRDefault="00775A8F">
      <w:pPr>
        <w:jc w:val="both"/>
        <w:divId w:val="1525630645"/>
        <w:rPr>
          <w:rFonts w:eastAsia="Times New Roman"/>
        </w:rPr>
      </w:pPr>
      <w:r>
        <w:rPr>
          <w:rFonts w:eastAsia="Times New Roman"/>
          <w:b/>
          <w:bCs/>
          <w:i/>
          <w:iCs/>
          <w:color w:val="000000"/>
          <w:sz w:val="20"/>
          <w:szCs w:val="20"/>
        </w:rPr>
        <w:t>Federal Home Loan Bank of New Yor</w:t>
      </w:r>
      <w:r>
        <w:rPr>
          <w:rFonts w:eastAsia="Times New Roman"/>
          <w:b/>
          <w:bCs/>
          <w:i/>
          <w:iCs/>
          <w:color w:val="000000"/>
          <w:sz w:val="20"/>
          <w:szCs w:val="20"/>
        </w:rPr>
        <w:t>k</w:t>
      </w:r>
    </w:p>
    <w:p w:rsidR="00000000" w:rsidRDefault="00775A8F">
      <w:pPr>
        <w:divId w:val="653142842"/>
        <w:rPr>
          <w:rFonts w:eastAsia="Times New Roman"/>
        </w:rPr>
      </w:pPr>
      <w:r>
        <w:rPr>
          <w:rFonts w:eastAsia="Times New Roman"/>
          <w:color w:val="000000"/>
          <w:sz w:val="20"/>
          <w:szCs w:val="20"/>
        </w:rPr>
        <w:t xml:space="preserve">As a member of the FHLBNY, Equitable Financial has access to collateralized borrowings. </w:t>
      </w:r>
      <w:r>
        <w:rPr>
          <w:rFonts w:eastAsia="Times New Roman"/>
          <w:color w:val="000000"/>
          <w:sz w:val="20"/>
          <w:szCs w:val="20"/>
        </w:rPr>
        <w:t>It also may issue funding agreements to the FHLBNY. Both the collateralized borrowings and funding agreements would require Equitable Financial to pledge qualified mortgage-backed assets and/or government securities as collateral. Equitable Financial issue</w:t>
      </w:r>
      <w:r>
        <w:rPr>
          <w:rFonts w:eastAsia="Times New Roman"/>
          <w:color w:val="000000"/>
          <w:sz w:val="20"/>
          <w:szCs w:val="20"/>
        </w:rPr>
        <w:t>s short-term funding agreements to the FHLBNY and uses the funds for asset, liability, and cash management purposes. Equitable Financial issues long-term funding agreements to the FHLBNY and uses the funds for spread lending purposes.</w:t>
      </w:r>
      <w:r>
        <w:rPr>
          <w:rFonts w:eastAsia="Times New Roman"/>
          <w:color w:val="000000"/>
          <w:sz w:val="20"/>
          <w:szCs w:val="20"/>
        </w:rPr>
        <w:t xml:space="preserve"> </w:t>
      </w:r>
    </w:p>
    <w:p w:rsidR="00000000" w:rsidRDefault="00775A8F">
      <w:pPr>
        <w:jc w:val="center"/>
        <w:divId w:val="1410158700"/>
        <w:rPr>
          <w:rFonts w:eastAsia="Times New Roman"/>
        </w:rPr>
      </w:pPr>
      <w:r>
        <w:rPr>
          <w:rFonts w:eastAsia="Times New Roman"/>
          <w:color w:val="000000"/>
          <w:sz w:val="20"/>
          <w:szCs w:val="20"/>
        </w:rPr>
        <w:t>5</w:t>
      </w:r>
      <w:r>
        <w:rPr>
          <w:rFonts w:eastAsia="Times New Roman"/>
          <w:color w:val="000000"/>
          <w:sz w:val="20"/>
          <w:szCs w:val="20"/>
        </w:rPr>
        <w:t>7</w:t>
      </w:r>
    </w:p>
    <w:p w:rsidR="00000000" w:rsidRDefault="00775A8F">
      <w:pPr>
        <w:rPr>
          <w:rFonts w:eastAsia="Times New Roman"/>
        </w:rPr>
      </w:pPr>
      <w:r>
        <w:rPr>
          <w:rFonts w:eastAsia="Times New Roman"/>
        </w:rPr>
        <w:pict>
          <v:rect id="_x0000_i1083" style="width:0;height:1.5pt" o:hralign="center" o:hrstd="t" o:hr="t" fillcolor="#a0a0a0" stroked="f"/>
        </w:pict>
      </w:r>
    </w:p>
    <w:p w:rsidR="00000000" w:rsidRDefault="00775A8F">
      <w:pPr>
        <w:jc w:val="center"/>
        <w:divId w:val="1780248562"/>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780248562"/>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1362589611"/>
        <w:rPr>
          <w:rFonts w:eastAsia="Times New Roman"/>
        </w:rPr>
      </w:pPr>
      <w:r>
        <w:rPr>
          <w:rFonts w:eastAsia="Times New Roman"/>
          <w:color w:val="000000"/>
          <w:sz w:val="20"/>
          <w:szCs w:val="20"/>
        </w:rPr>
        <w:t>Entering into FHLBNY membership, borrowings and funding agreements requires the ownership of FHLBNY stock and the pledge of assets as collateral.</w:t>
      </w:r>
      <w:r>
        <w:rPr>
          <w:rFonts w:eastAsia="Times New Roman"/>
          <w:color w:val="000000"/>
          <w:sz w:val="20"/>
          <w:szCs w:val="20"/>
        </w:rPr>
        <w:t xml:space="preserve"> Equitable Financial has purchased FHLBNY stock of $313 million and pledged collateral with a carrying value of $8.6 billion, as of June 30, 2020. </w:t>
      </w:r>
      <w:r>
        <w:rPr>
          <w:rFonts w:eastAsia="Times New Roman"/>
          <w:color w:val="000000"/>
          <w:sz w:val="20"/>
          <w:szCs w:val="20"/>
        </w:rPr>
        <w:t xml:space="preserve"> </w:t>
      </w:r>
    </w:p>
    <w:p w:rsidR="00000000" w:rsidRDefault="00775A8F">
      <w:pPr>
        <w:divId w:val="344865463"/>
        <w:rPr>
          <w:rFonts w:eastAsia="Times New Roman"/>
        </w:rPr>
      </w:pPr>
      <w:r>
        <w:rPr>
          <w:rFonts w:eastAsia="Times New Roman"/>
          <w:color w:val="000000"/>
          <w:sz w:val="20"/>
          <w:szCs w:val="20"/>
        </w:rPr>
        <w:t xml:space="preserve">Funding agreements are reported in Policyholders’ account balances in the consolidated balance sheets. For </w:t>
      </w:r>
      <w:r>
        <w:rPr>
          <w:rFonts w:eastAsia="Times New Roman"/>
          <w:color w:val="000000"/>
          <w:sz w:val="20"/>
          <w:szCs w:val="20"/>
        </w:rPr>
        <w:t>other instruments used for asset/liability and cash management purposes, see “Derivative and offsetting assets and liabilities” included in Note 4. The table below summarizes the Company’s activity of funding agreements with the FHLBNY</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Change in FHLBNY Fu</w:t>
      </w:r>
      <w:r>
        <w:rPr>
          <w:rFonts w:eastAsia="Times New Roman"/>
          <w:b/>
          <w:bCs/>
          <w:color w:val="000000"/>
          <w:sz w:val="20"/>
          <w:szCs w:val="20"/>
        </w:rPr>
        <w:t>nding Agreements during the Six Months Ended June 30, 2020</w:t>
      </w:r>
      <w:r>
        <w:rPr>
          <w:rFonts w:eastAsia="Times New Roman"/>
          <w:b/>
          <w:bCs/>
          <w:color w:val="000000"/>
          <w:sz w:val="20"/>
          <w:szCs w:val="20"/>
        </w:rPr>
        <w:t xml:space="preserve"> </w:t>
      </w:r>
    </w:p>
    <w:tbl>
      <w:tblPr>
        <w:tblW w:w="4919" w:type="pct"/>
        <w:jc w:val="right"/>
        <w:tblCellMar>
          <w:top w:w="15" w:type="dxa"/>
          <w:left w:w="15" w:type="dxa"/>
          <w:bottom w:w="15" w:type="dxa"/>
          <w:right w:w="15" w:type="dxa"/>
        </w:tblCellMar>
        <w:tblLook w:val="04A0" w:firstRow="1" w:lastRow="0" w:firstColumn="1" w:lastColumn="0" w:noHBand="0" w:noVBand="1"/>
      </w:tblPr>
      <w:tblGrid>
        <w:gridCol w:w="44"/>
        <w:gridCol w:w="1421"/>
        <w:gridCol w:w="44"/>
        <w:gridCol w:w="136"/>
        <w:gridCol w:w="650"/>
        <w:gridCol w:w="85"/>
        <w:gridCol w:w="36"/>
        <w:gridCol w:w="36"/>
        <w:gridCol w:w="36"/>
        <w:gridCol w:w="135"/>
        <w:gridCol w:w="615"/>
        <w:gridCol w:w="85"/>
        <w:gridCol w:w="36"/>
        <w:gridCol w:w="36"/>
        <w:gridCol w:w="36"/>
        <w:gridCol w:w="135"/>
        <w:gridCol w:w="615"/>
        <w:gridCol w:w="85"/>
        <w:gridCol w:w="36"/>
        <w:gridCol w:w="36"/>
        <w:gridCol w:w="36"/>
        <w:gridCol w:w="136"/>
        <w:gridCol w:w="645"/>
        <w:gridCol w:w="85"/>
        <w:gridCol w:w="36"/>
        <w:gridCol w:w="36"/>
        <w:gridCol w:w="36"/>
        <w:gridCol w:w="136"/>
        <w:gridCol w:w="631"/>
        <w:gridCol w:w="85"/>
        <w:gridCol w:w="36"/>
        <w:gridCol w:w="36"/>
        <w:gridCol w:w="36"/>
        <w:gridCol w:w="136"/>
        <w:gridCol w:w="670"/>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7"/>
          <w:jc w:val="right"/>
        </w:trPr>
        <w:tc>
          <w:tcPr>
            <w:tcW w:w="50" w:type="pct"/>
            <w:vAlign w:val="center"/>
            <w:hideMark/>
          </w:tcPr>
          <w:p w:rsidR="00000000" w:rsidRDefault="00775A8F">
            <w:pPr>
              <w:jc w:val="center"/>
              <w:rPr>
                <w:rFonts w:eastAsia="Times New Roman"/>
              </w:rPr>
            </w:pPr>
          </w:p>
        </w:tc>
        <w:tc>
          <w:tcPr>
            <w:tcW w:w="123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4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9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7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7"/>
          <w:jc w:val="right"/>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Outstanding Balance at December 31, 201</w:t>
            </w:r>
            <w:r>
              <w:rPr>
                <w:rFonts w:eastAsia="Times New Roman"/>
                <w:b/>
                <w:bCs/>
                <w:color w:val="000000"/>
                <w:sz w:val="14"/>
                <w:szCs w:val="14"/>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Issued During the Perio</w:t>
            </w:r>
            <w:r>
              <w:rPr>
                <w:rFonts w:eastAsia="Times New Roman"/>
                <w:b/>
                <w:bCs/>
                <w:color w:val="000000"/>
                <w:sz w:val="14"/>
                <w:szCs w:val="14"/>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Repaid During the Perio</w:t>
            </w:r>
            <w:r>
              <w:rPr>
                <w:rFonts w:eastAsia="Times New Roman"/>
                <w:b/>
                <w:bCs/>
                <w:color w:val="000000"/>
                <w:sz w:val="14"/>
                <w:szCs w:val="14"/>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Long-term Agreements Maturing Within One Yea</w:t>
            </w:r>
            <w:r>
              <w:rPr>
                <w:rFonts w:eastAsia="Times New Roman"/>
                <w:b/>
                <w:bCs/>
                <w:color w:val="000000"/>
                <w:sz w:val="14"/>
                <w:szCs w:val="14"/>
              </w:rPr>
              <w:t>r</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Long-term Agreements Maturing Within Five Yea</w:t>
            </w:r>
            <w:r>
              <w:rPr>
                <w:rFonts w:eastAsia="Times New Roman"/>
                <w:b/>
                <w:bCs/>
                <w:color w:val="000000"/>
                <w:sz w:val="14"/>
                <w:szCs w:val="14"/>
              </w:rPr>
              <w:t>r</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4"/>
                <w:szCs w:val="14"/>
              </w:rPr>
              <w:t>Outstanding Balance at June 30, 202</w:t>
            </w:r>
            <w:r>
              <w:rPr>
                <w:rFonts w:eastAsia="Times New Roman"/>
                <w:b/>
                <w:bCs/>
                <w:color w:val="000000"/>
                <w:sz w:val="14"/>
                <w:szCs w:val="14"/>
              </w:rPr>
              <w:t>0</w:t>
            </w:r>
          </w:p>
        </w:tc>
      </w:tr>
      <w:tr w:rsidR="00000000">
        <w:trPr>
          <w:jc w:val="right"/>
        </w:trPr>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3"/>
            <w:tcBorders>
              <w:top w:val="single" w:sz="8" w:space="0" w:color="000000"/>
            </w:tcBorders>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Short-term funding agreements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Due in one year or les</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22,950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23,158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4,890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Long-term funding agreements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Due in years two through fiv</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Due in more than five year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long-term funding agreement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1,802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funding agreements (1</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22,950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23,158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6,692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jc w:val="right"/>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208449821"/>
        <w:rPr>
          <w:rFonts w:eastAsia="Times New Roman"/>
        </w:rPr>
      </w:pPr>
      <w:r>
        <w:rPr>
          <w:rFonts w:eastAsia="Times New Roman"/>
          <w:color w:val="000000"/>
          <w:sz w:val="18"/>
          <w:szCs w:val="18"/>
        </w:rPr>
        <w:t>____________</w:t>
      </w:r>
      <w:r>
        <w:rPr>
          <w:rFonts w:eastAsia="Times New Roman"/>
          <w:color w:val="000000"/>
          <w:sz w:val="18"/>
          <w:szCs w:val="18"/>
        </w:rPr>
        <w:t>_</w:t>
      </w:r>
    </w:p>
    <w:p w:rsidR="00000000" w:rsidRDefault="00775A8F">
      <w:pPr>
        <w:ind w:hanging="360"/>
        <w:divId w:val="112187529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The $8 million and $9 </w:t>
      </w:r>
      <w:r>
        <w:rPr>
          <w:rFonts w:eastAsia="Times New Roman"/>
          <w:color w:val="000000"/>
          <w:sz w:val="18"/>
          <w:szCs w:val="18"/>
        </w:rPr>
        <w:t xml:space="preserve">million difference between the funding agreements carrying value shown in fair value table for June 30, 2020 and December 31, 2019, respectively, reflects the remaining amortization of a hedge implemented and closed, which locked in the funding agreements </w:t>
      </w:r>
      <w:r>
        <w:rPr>
          <w:rFonts w:eastAsia="Times New Roman"/>
          <w:color w:val="000000"/>
          <w:sz w:val="18"/>
          <w:szCs w:val="18"/>
        </w:rPr>
        <w:t>borrowing rates</w:t>
      </w:r>
      <w:r>
        <w:rPr>
          <w:rFonts w:eastAsia="Times New Roman"/>
          <w:color w:val="000000"/>
          <w:sz w:val="18"/>
          <w:szCs w:val="18"/>
        </w:rPr>
        <w:t>.</w:t>
      </w:r>
    </w:p>
    <w:p w:rsidR="00000000" w:rsidRDefault="00775A8F">
      <w:pPr>
        <w:divId w:val="1103384080"/>
        <w:rPr>
          <w:rFonts w:eastAsia="Times New Roman"/>
        </w:rPr>
      </w:pPr>
      <w:r>
        <w:rPr>
          <w:rFonts w:eastAsia="Times New Roman"/>
          <w:color w:val="000000"/>
          <w:sz w:val="20"/>
          <w:szCs w:val="20"/>
          <w:u w:val="single"/>
        </w:rPr>
        <w:t>Credit Facilitie</w:t>
      </w:r>
      <w:r>
        <w:rPr>
          <w:rFonts w:eastAsia="Times New Roman"/>
          <w:color w:val="000000"/>
          <w:sz w:val="20"/>
          <w:szCs w:val="20"/>
          <w:u w:val="single"/>
        </w:rPr>
        <w:t>s</w:t>
      </w:r>
    </w:p>
    <w:p w:rsidR="00000000" w:rsidRDefault="00775A8F">
      <w:pPr>
        <w:divId w:val="1307130656"/>
        <w:rPr>
          <w:rFonts w:eastAsia="Times New Roman"/>
        </w:rPr>
      </w:pPr>
      <w:r>
        <w:rPr>
          <w:rFonts w:eastAsia="Times New Roman"/>
          <w:color w:val="000000"/>
          <w:sz w:val="20"/>
          <w:szCs w:val="20"/>
        </w:rPr>
        <w:t>The Company has a $2.5 billion</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-year senior unsecured revolving credit facility with a syndicate of banks. The revolving credit facility has a sub-limit of $1.5 billion for letters of credit issued to support the Comp</w:t>
      </w:r>
      <w:r>
        <w:rPr>
          <w:rFonts w:eastAsia="Times New Roman"/>
          <w:color w:val="000000"/>
          <w:sz w:val="20"/>
          <w:szCs w:val="20"/>
        </w:rPr>
        <w:t>any’s life insurance business reinsured by EQ AZ Life Re Company “EQ AZ Life Re” and to support the third-party GMxB variable annuity business retroceded to CS Life RE Company “CS Life RE”. As of June 30, 2020, $150 million and $620 million of undrawn lett</w:t>
      </w:r>
      <w:r>
        <w:rPr>
          <w:rFonts w:eastAsia="Times New Roman"/>
          <w:color w:val="000000"/>
          <w:sz w:val="20"/>
          <w:szCs w:val="20"/>
        </w:rPr>
        <w:t>ers of credit have been issued out of the $1.5 billion sub-limit for ACS Life and Equitable Financial, respectively, as beneficiaries. In addition to the letters of credit issued under the $2.5 billion revolving credit facility, as of June 30, 2020, $1.9 b</w:t>
      </w:r>
      <w:r>
        <w:rPr>
          <w:rFonts w:eastAsia="Times New Roman"/>
          <w:color w:val="000000"/>
          <w:sz w:val="20"/>
          <w:szCs w:val="20"/>
        </w:rPr>
        <w:t>illion of undrawn letters of credit have been issued related to reinsurance assumed by EQ AZ Life Re from Equitable Financial and Equitable Financial Life Insurance Company of America “EFLOA”</w:t>
      </w:r>
      <w:r>
        <w:rPr>
          <w:rFonts w:eastAsia="Times New Roman"/>
          <w:color w:val="000000"/>
          <w:sz w:val="20"/>
          <w:szCs w:val="20"/>
        </w:rPr>
        <w:t>.</w:t>
      </w:r>
    </w:p>
    <w:p w:rsidR="00000000" w:rsidRDefault="00775A8F">
      <w:pPr>
        <w:divId w:val="1115830686"/>
        <w:rPr>
          <w:rFonts w:eastAsia="Times New Roman"/>
        </w:rPr>
      </w:pPr>
      <w:r>
        <w:rPr>
          <w:rFonts w:eastAsia="Times New Roman"/>
          <w:color w:val="000000"/>
          <w:sz w:val="20"/>
          <w:szCs w:val="20"/>
          <w:u w:val="single"/>
        </w:rPr>
        <w:t>Guarantees and Other Commitment</w:t>
      </w:r>
      <w:r>
        <w:rPr>
          <w:rFonts w:eastAsia="Times New Roman"/>
          <w:color w:val="000000"/>
          <w:sz w:val="20"/>
          <w:szCs w:val="20"/>
          <w:u w:val="single"/>
        </w:rPr>
        <w:t>s</w:t>
      </w:r>
    </w:p>
    <w:p w:rsidR="00000000" w:rsidRDefault="00775A8F">
      <w:pPr>
        <w:divId w:val="1838810634"/>
        <w:rPr>
          <w:rFonts w:eastAsia="Times New Roman"/>
        </w:rPr>
      </w:pPr>
      <w:r>
        <w:rPr>
          <w:rFonts w:eastAsia="Times New Roman"/>
          <w:color w:val="000000"/>
          <w:sz w:val="20"/>
          <w:szCs w:val="20"/>
        </w:rPr>
        <w:t>The Company provides certain g</w:t>
      </w:r>
      <w:r>
        <w:rPr>
          <w:rFonts w:eastAsia="Times New Roman"/>
          <w:color w:val="000000"/>
          <w:sz w:val="20"/>
          <w:szCs w:val="20"/>
        </w:rPr>
        <w:t xml:space="preserve">uarantees or commitments to affiliates and others. At June 30, 2020, these arrangements include commitments by the Company to provide equity financing of $1.3 billion (including $226 million with affiliates) to certain limited partnerships and real estate </w:t>
      </w:r>
      <w:r>
        <w:rPr>
          <w:rFonts w:eastAsia="Times New Roman"/>
          <w:color w:val="000000"/>
          <w:sz w:val="20"/>
          <w:szCs w:val="20"/>
        </w:rPr>
        <w:t>joint ventures under certain conditions. Management believes the Company will not incur material losses as a result of these commitments</w:t>
      </w:r>
      <w:r>
        <w:rPr>
          <w:rFonts w:eastAsia="Times New Roman"/>
          <w:color w:val="000000"/>
          <w:sz w:val="20"/>
          <w:szCs w:val="20"/>
        </w:rPr>
        <w:t>.</w:t>
      </w:r>
    </w:p>
    <w:p w:rsidR="00000000" w:rsidRDefault="00775A8F">
      <w:pPr>
        <w:divId w:val="775059534"/>
        <w:rPr>
          <w:rFonts w:eastAsia="Times New Roman"/>
        </w:rPr>
      </w:pPr>
      <w:r>
        <w:rPr>
          <w:rFonts w:eastAsia="Times New Roman"/>
          <w:color w:val="000000"/>
          <w:sz w:val="20"/>
          <w:szCs w:val="20"/>
        </w:rPr>
        <w:t>The Company is the obligor under certain structured settlement agreements it had entered into with unaffiliated insura</w:t>
      </w:r>
      <w:r>
        <w:rPr>
          <w:rFonts w:eastAsia="Times New Roman"/>
          <w:color w:val="000000"/>
          <w:sz w:val="20"/>
          <w:szCs w:val="20"/>
        </w:rPr>
        <w:t>nce companies and beneficiaries. To satisfy its obligations under these agreements, the Company owns single premium annuities issued by previously wholly-owned life insurance subsidiaries. The Company has directed payment under these annuities to be made d</w:t>
      </w:r>
      <w:r>
        <w:rPr>
          <w:rFonts w:eastAsia="Times New Roman"/>
          <w:color w:val="000000"/>
          <w:sz w:val="20"/>
          <w:szCs w:val="20"/>
        </w:rPr>
        <w:t>irectly to the beneficiaries under the structured settlement agreements. A contingent liability exists with respect to these agreements should the previously wholly-owned subsidiaries be unable to meet their obligations. Management believes the need for th</w:t>
      </w:r>
      <w:r>
        <w:rPr>
          <w:rFonts w:eastAsia="Times New Roman"/>
          <w:color w:val="000000"/>
          <w:sz w:val="20"/>
          <w:szCs w:val="20"/>
        </w:rPr>
        <w:t>e Company to satisfy those obligations is remote</w:t>
      </w:r>
      <w:r>
        <w:rPr>
          <w:rFonts w:eastAsia="Times New Roman"/>
          <w:color w:val="000000"/>
          <w:sz w:val="20"/>
          <w:szCs w:val="20"/>
        </w:rPr>
        <w:t>.</w:t>
      </w:r>
    </w:p>
    <w:p w:rsidR="00000000" w:rsidRDefault="00775A8F">
      <w:pPr>
        <w:divId w:val="1981689259"/>
        <w:rPr>
          <w:rFonts w:eastAsia="Times New Roman"/>
        </w:rPr>
      </w:pPr>
      <w:r>
        <w:rPr>
          <w:rFonts w:eastAsia="Times New Roman"/>
          <w:color w:val="000000"/>
          <w:sz w:val="20"/>
          <w:szCs w:val="20"/>
        </w:rPr>
        <w:t>The Company had $17 million of undrawn letters of credit related to reinsurance at June 30, 2020. The Company had $481 million of commitments under existing mortgage loan agreements at June 30, 2020</w:t>
      </w:r>
      <w:r>
        <w:rPr>
          <w:rFonts w:eastAsia="Times New Roman"/>
          <w:color w:val="000000"/>
          <w:sz w:val="20"/>
          <w:szCs w:val="20"/>
        </w:rPr>
        <w:t>.</w:t>
      </w:r>
    </w:p>
    <w:p w:rsidR="00000000" w:rsidRDefault="00775A8F">
      <w:pPr>
        <w:jc w:val="center"/>
        <w:divId w:val="48039599"/>
        <w:rPr>
          <w:rFonts w:eastAsia="Times New Roman"/>
        </w:rPr>
      </w:pPr>
      <w:r>
        <w:rPr>
          <w:rFonts w:eastAsia="Times New Roman"/>
          <w:color w:val="000000"/>
          <w:sz w:val="20"/>
          <w:szCs w:val="20"/>
        </w:rPr>
        <w:t>5</w:t>
      </w:r>
      <w:r>
        <w:rPr>
          <w:rFonts w:eastAsia="Times New Roman"/>
          <w:color w:val="000000"/>
          <w:sz w:val="20"/>
          <w:szCs w:val="20"/>
        </w:rPr>
        <w:t>8</w:t>
      </w:r>
    </w:p>
    <w:p w:rsidR="00000000" w:rsidRDefault="00775A8F">
      <w:pPr>
        <w:rPr>
          <w:rFonts w:eastAsia="Times New Roman"/>
        </w:rPr>
      </w:pPr>
      <w:r>
        <w:rPr>
          <w:rFonts w:eastAsia="Times New Roman"/>
        </w:rPr>
        <w:pict>
          <v:rect id="_x0000_i1084" style="width:0;height:1.5pt" o:hralign="center" o:hrstd="t" o:hr="t" fillcolor="#a0a0a0" stroked="f"/>
        </w:pict>
      </w:r>
    </w:p>
    <w:p w:rsidR="00000000" w:rsidRDefault="00775A8F">
      <w:pPr>
        <w:jc w:val="center"/>
        <w:divId w:val="1656445439"/>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656445439"/>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712073200"/>
        <w:rPr>
          <w:rFonts w:eastAsia="Times New Roman"/>
        </w:rPr>
      </w:pPr>
      <w:r>
        <w:rPr>
          <w:rFonts w:eastAsia="Times New Roman"/>
          <w:b/>
          <w:bCs/>
          <w:color w:val="000000"/>
          <w:sz w:val="20"/>
          <w:szCs w:val="20"/>
        </w:rPr>
        <w:t>15) BUSINESS SEGMENT INFORMATIO</w:t>
      </w:r>
      <w:r>
        <w:rPr>
          <w:rFonts w:eastAsia="Times New Roman"/>
          <w:b/>
          <w:bCs/>
          <w:color w:val="000000"/>
          <w:sz w:val="20"/>
          <w:szCs w:val="20"/>
        </w:rPr>
        <w:t>N</w:t>
      </w:r>
    </w:p>
    <w:p w:rsidR="00000000" w:rsidRDefault="00775A8F">
      <w:pPr>
        <w:divId w:val="622658319"/>
        <w:rPr>
          <w:rFonts w:eastAsia="Times New Roman"/>
        </w:rPr>
      </w:pPr>
      <w:r>
        <w:rPr>
          <w:rFonts w:eastAsia="Times New Roman"/>
          <w:color w:val="000000"/>
          <w:sz w:val="20"/>
          <w:szCs w:val="20"/>
        </w:rPr>
        <w:t>The Company has four reportable segments: Individual Retirement, Group Retirement, Investment Ma</w:t>
      </w:r>
      <w:r>
        <w:rPr>
          <w:rFonts w:eastAsia="Times New Roman"/>
          <w:color w:val="000000"/>
          <w:sz w:val="20"/>
          <w:szCs w:val="20"/>
        </w:rPr>
        <w:t>nagement and Research and Protection Solutions</w:t>
      </w:r>
      <w:r>
        <w:rPr>
          <w:rFonts w:eastAsia="Times New Roman"/>
          <w:color w:val="000000"/>
          <w:sz w:val="20"/>
          <w:szCs w:val="20"/>
        </w:rPr>
        <w:t>.</w:t>
      </w:r>
    </w:p>
    <w:p w:rsidR="00000000" w:rsidRDefault="00775A8F">
      <w:pPr>
        <w:divId w:val="1853913448"/>
        <w:rPr>
          <w:rFonts w:eastAsia="Times New Roman"/>
        </w:rPr>
      </w:pPr>
      <w:r>
        <w:rPr>
          <w:rFonts w:eastAsia="Times New Roman"/>
          <w:color w:val="000000"/>
          <w:sz w:val="20"/>
          <w:szCs w:val="20"/>
        </w:rPr>
        <w:t>These segments reflect the manner by which the Company’s chief operating decision maker views and manages the business. A brief description of these segments follows</w:t>
      </w:r>
      <w:r>
        <w:rPr>
          <w:rFonts w:eastAsia="Times New Roman"/>
          <w:color w:val="000000"/>
          <w:sz w:val="20"/>
          <w:szCs w:val="20"/>
        </w:rPr>
        <w:t>:</w:t>
      </w:r>
    </w:p>
    <w:p w:rsidR="00000000" w:rsidRDefault="00775A8F">
      <w:pPr>
        <w:ind w:hanging="360"/>
        <w:jc w:val="both"/>
        <w:divId w:val="923806288"/>
        <w:rPr>
          <w:rFonts w:eastAsia="Times New Roman"/>
        </w:rPr>
      </w:pPr>
      <w:r>
        <w:rPr>
          <w:rFonts w:eastAsia="Times New Roman"/>
          <w:color w:val="000000"/>
          <w:sz w:val="20"/>
          <w:szCs w:val="20"/>
        </w:rPr>
        <w:t>•</w:t>
      </w:r>
      <w:r>
        <w:rPr>
          <w:rFonts w:eastAsia="Times New Roman"/>
          <w:color w:val="000000"/>
          <w:sz w:val="20"/>
          <w:szCs w:val="20"/>
        </w:rPr>
        <w:t>The Individual Retirement segment offers</w:t>
      </w:r>
      <w:r>
        <w:rPr>
          <w:rFonts w:eastAsia="Times New Roman"/>
          <w:color w:val="000000"/>
          <w:sz w:val="20"/>
          <w:szCs w:val="20"/>
        </w:rPr>
        <w:t xml:space="preserve"> a diverse suite of variable annuity products which are primarily sold to affluent and high net worth individuals saving for retirement or seeking retirement income</w:t>
      </w:r>
      <w:r>
        <w:rPr>
          <w:rFonts w:eastAsia="Times New Roman"/>
          <w:color w:val="000000"/>
          <w:sz w:val="20"/>
          <w:szCs w:val="20"/>
        </w:rPr>
        <w:t>.</w:t>
      </w:r>
    </w:p>
    <w:p w:rsidR="00000000" w:rsidRDefault="00775A8F">
      <w:pPr>
        <w:ind w:hanging="360"/>
        <w:jc w:val="both"/>
        <w:divId w:val="1130896859"/>
        <w:rPr>
          <w:rFonts w:eastAsia="Times New Roman"/>
        </w:rPr>
      </w:pPr>
      <w:r>
        <w:rPr>
          <w:rFonts w:eastAsia="Times New Roman"/>
          <w:color w:val="000000"/>
          <w:sz w:val="20"/>
          <w:szCs w:val="20"/>
        </w:rPr>
        <w:t>•</w:t>
      </w:r>
      <w:r>
        <w:rPr>
          <w:rFonts w:eastAsia="Times New Roman"/>
          <w:color w:val="000000"/>
          <w:sz w:val="20"/>
          <w:szCs w:val="20"/>
        </w:rPr>
        <w:t>The Group Retirement segment offers tax-deferred investment and retirement services or pr</w:t>
      </w:r>
      <w:r>
        <w:rPr>
          <w:rFonts w:eastAsia="Times New Roman"/>
          <w:color w:val="000000"/>
          <w:sz w:val="20"/>
          <w:szCs w:val="20"/>
        </w:rPr>
        <w:t>oducts to plans sponsored by educational entities, municipalities and not-for-profit entities, as well as small and medium-sized businesses</w:t>
      </w:r>
      <w:r>
        <w:rPr>
          <w:rFonts w:eastAsia="Times New Roman"/>
          <w:color w:val="000000"/>
          <w:sz w:val="20"/>
          <w:szCs w:val="20"/>
        </w:rPr>
        <w:t>.</w:t>
      </w:r>
    </w:p>
    <w:p w:rsidR="00000000" w:rsidRDefault="00775A8F">
      <w:pPr>
        <w:ind w:hanging="360"/>
        <w:jc w:val="both"/>
        <w:divId w:val="2106804366"/>
        <w:rPr>
          <w:rFonts w:eastAsia="Times New Roman"/>
        </w:rPr>
      </w:pPr>
      <w:r>
        <w:rPr>
          <w:rFonts w:eastAsia="Times New Roman"/>
          <w:color w:val="000000"/>
          <w:sz w:val="20"/>
          <w:szCs w:val="20"/>
        </w:rPr>
        <w:t>•</w:t>
      </w:r>
      <w:r>
        <w:rPr>
          <w:rFonts w:eastAsia="Times New Roman"/>
          <w:color w:val="000000"/>
          <w:sz w:val="20"/>
          <w:szCs w:val="20"/>
        </w:rPr>
        <w:t>The Investment Management and Research segment provides diversified investment management, research and related so</w:t>
      </w:r>
      <w:r>
        <w:rPr>
          <w:rFonts w:eastAsia="Times New Roman"/>
          <w:color w:val="000000"/>
          <w:sz w:val="20"/>
          <w:szCs w:val="20"/>
        </w:rPr>
        <w:t>lutions globally to a broad range of clients through three main client channels- Institutional, Retail and Private Wealth Management-and distributes its institutional research products and solutions through Bernstein Research Services</w:t>
      </w:r>
      <w:r>
        <w:rPr>
          <w:rFonts w:eastAsia="Times New Roman"/>
          <w:color w:val="000000"/>
          <w:sz w:val="20"/>
          <w:szCs w:val="20"/>
        </w:rPr>
        <w:t>.</w:t>
      </w:r>
    </w:p>
    <w:p w:rsidR="00000000" w:rsidRDefault="00775A8F">
      <w:pPr>
        <w:ind w:hanging="360"/>
        <w:divId w:val="2122797409"/>
        <w:rPr>
          <w:rFonts w:eastAsia="Times New Roman"/>
        </w:rPr>
      </w:pPr>
      <w:r>
        <w:rPr>
          <w:rFonts w:eastAsia="Times New Roman"/>
          <w:color w:val="000000"/>
          <w:sz w:val="20"/>
          <w:szCs w:val="20"/>
        </w:rPr>
        <w:t>•</w:t>
      </w:r>
      <w:r>
        <w:rPr>
          <w:rFonts w:eastAsia="Times New Roman"/>
          <w:color w:val="000000"/>
          <w:sz w:val="20"/>
          <w:szCs w:val="20"/>
        </w:rPr>
        <w:t>The Protection Solu</w:t>
      </w:r>
      <w:r>
        <w:rPr>
          <w:rFonts w:eastAsia="Times New Roman"/>
          <w:color w:val="000000"/>
          <w:sz w:val="20"/>
          <w:szCs w:val="20"/>
        </w:rPr>
        <w:t>tions segment includes our life insurance and group employee benefits businesses. Our life insurance business offers a variety of variable universal life, universal life and term life products to help affluent and high net worth individuals, as well as sma</w:t>
      </w:r>
      <w:r>
        <w:rPr>
          <w:rFonts w:eastAsia="Times New Roman"/>
          <w:color w:val="000000"/>
          <w:sz w:val="20"/>
          <w:szCs w:val="20"/>
        </w:rPr>
        <w:t>ll and medium-sized business owners, with their wealth protection, wealth transfer and corporate needs. Our group employee benefits business offers a suite of dental, vision, life, and short- and long-term disability and other insurance products to small a</w:t>
      </w:r>
      <w:r>
        <w:rPr>
          <w:rFonts w:eastAsia="Times New Roman"/>
          <w:color w:val="000000"/>
          <w:sz w:val="20"/>
          <w:szCs w:val="20"/>
        </w:rPr>
        <w:t>nd medium-size businesses across the United States</w:t>
      </w:r>
      <w:r>
        <w:rPr>
          <w:rFonts w:eastAsia="Times New Roman"/>
          <w:color w:val="000000"/>
          <w:sz w:val="20"/>
          <w:szCs w:val="20"/>
        </w:rPr>
        <w:t>.</w:t>
      </w:r>
    </w:p>
    <w:p w:rsidR="00000000" w:rsidRDefault="00775A8F">
      <w:pPr>
        <w:divId w:val="644625530"/>
        <w:rPr>
          <w:rFonts w:eastAsia="Times New Roman"/>
        </w:rPr>
      </w:pPr>
      <w:r>
        <w:rPr>
          <w:rFonts w:eastAsia="Times New Roman"/>
          <w:color w:val="000000"/>
          <w:sz w:val="20"/>
          <w:szCs w:val="20"/>
          <w:u w:val="single"/>
        </w:rPr>
        <w:t>Measuremen</w:t>
      </w:r>
      <w:r>
        <w:rPr>
          <w:rFonts w:eastAsia="Times New Roman"/>
          <w:color w:val="000000"/>
          <w:sz w:val="20"/>
          <w:szCs w:val="20"/>
          <w:u w:val="single"/>
        </w:rPr>
        <w:t>t</w:t>
      </w:r>
    </w:p>
    <w:p w:rsidR="00000000" w:rsidRDefault="00775A8F">
      <w:pPr>
        <w:divId w:val="1332443187"/>
        <w:rPr>
          <w:rFonts w:eastAsia="Times New Roman"/>
        </w:rPr>
      </w:pPr>
      <w:r>
        <w:rPr>
          <w:rFonts w:eastAsia="Times New Roman"/>
          <w:color w:val="000000"/>
          <w:sz w:val="20"/>
          <w:szCs w:val="20"/>
        </w:rPr>
        <w:t>Operating earnings (loss) is the financial measure which primarily focuses on the Company’s segments’ results of operations as well as the underlying profitability of the Company’s core busine</w:t>
      </w:r>
      <w:r>
        <w:rPr>
          <w:rFonts w:eastAsia="Times New Roman"/>
          <w:color w:val="000000"/>
          <w:sz w:val="20"/>
          <w:szCs w:val="20"/>
        </w:rPr>
        <w:t>ss. By excluding items that can be distortive and unpredictable such as investment gains (losses) and investment income (loss) from derivative instruments, the Company believes Operating earnings (loss) by segment enhances the understanding of the Company’</w:t>
      </w:r>
      <w:r>
        <w:rPr>
          <w:rFonts w:eastAsia="Times New Roman"/>
          <w:color w:val="000000"/>
          <w:sz w:val="20"/>
          <w:szCs w:val="20"/>
        </w:rPr>
        <w:t>s underlying drivers of profitability and trends in the Company’s segments</w:t>
      </w:r>
      <w:r>
        <w:rPr>
          <w:rFonts w:eastAsia="Times New Roman"/>
          <w:color w:val="000000"/>
          <w:sz w:val="20"/>
          <w:szCs w:val="20"/>
        </w:rPr>
        <w:t>.</w:t>
      </w:r>
    </w:p>
    <w:p w:rsidR="00000000" w:rsidRDefault="00775A8F">
      <w:pPr>
        <w:divId w:val="1993945288"/>
        <w:rPr>
          <w:rFonts w:eastAsia="Times New Roman"/>
        </w:rPr>
      </w:pPr>
      <w:r>
        <w:rPr>
          <w:rFonts w:eastAsia="Times New Roman"/>
          <w:color w:val="000000"/>
          <w:sz w:val="20"/>
          <w:szCs w:val="20"/>
        </w:rPr>
        <w:t>Operating earnings is calculated by adjusting each segment’s Net income (loss) attributable to Holdings for the following items</w:t>
      </w:r>
      <w:r>
        <w:rPr>
          <w:rFonts w:eastAsia="Times New Roman"/>
          <w:color w:val="000000"/>
          <w:sz w:val="20"/>
          <w:szCs w:val="20"/>
        </w:rPr>
        <w:t>:</w:t>
      </w:r>
    </w:p>
    <w:p w:rsidR="00000000" w:rsidRDefault="00775A8F">
      <w:pPr>
        <w:ind w:hanging="360"/>
        <w:jc w:val="both"/>
        <w:divId w:val="2036274145"/>
        <w:rPr>
          <w:rFonts w:eastAsia="Times New Roman"/>
        </w:rPr>
      </w:pPr>
      <w:r>
        <w:rPr>
          <w:rFonts w:eastAsia="Times New Roman"/>
          <w:color w:val="000000"/>
          <w:sz w:val="20"/>
          <w:szCs w:val="20"/>
        </w:rPr>
        <w:t>•</w:t>
      </w:r>
      <w:r>
        <w:rPr>
          <w:rFonts w:eastAsia="Times New Roman"/>
          <w:color w:val="000000"/>
          <w:sz w:val="20"/>
          <w:szCs w:val="20"/>
        </w:rPr>
        <w:t>Items related to variable annuity product features, which include: (i) certain changes in the fair value of the derivatives and other securities we use to hedge these features; (ii) the effect of benefit ratio unlock adjustments related to extraordinary ec</w:t>
      </w:r>
      <w:r>
        <w:rPr>
          <w:rFonts w:eastAsia="Times New Roman"/>
          <w:color w:val="000000"/>
          <w:sz w:val="20"/>
          <w:szCs w:val="20"/>
        </w:rPr>
        <w:t>onomic conditions or events such as COVID-19; and (iii) changes in the fair value of the embedded derivatives reflected within variable annuity products’ net derivative results and the impact of these items on DAC amortization on our SCS product.</w:t>
      </w:r>
      <w:r>
        <w:rPr>
          <w:rFonts w:eastAsia="Times New Roman"/>
          <w:color w:val="000000"/>
          <w:sz w:val="20"/>
          <w:szCs w:val="20"/>
        </w:rPr>
        <w:t xml:space="preserve"> </w:t>
      </w:r>
    </w:p>
    <w:p w:rsidR="00000000" w:rsidRDefault="00775A8F">
      <w:pPr>
        <w:ind w:hanging="360"/>
        <w:jc w:val="both"/>
        <w:divId w:val="575629919"/>
        <w:rPr>
          <w:rFonts w:eastAsia="Times New Roman"/>
        </w:rPr>
      </w:pPr>
      <w:r>
        <w:rPr>
          <w:rFonts w:eastAsia="Times New Roman"/>
          <w:color w:val="000000"/>
          <w:sz w:val="20"/>
          <w:szCs w:val="20"/>
        </w:rPr>
        <w:t>•</w:t>
      </w:r>
      <w:r>
        <w:rPr>
          <w:rFonts w:eastAsia="Times New Roman"/>
          <w:color w:val="000000"/>
          <w:sz w:val="20"/>
          <w:szCs w:val="20"/>
        </w:rPr>
        <w:t>Investm</w:t>
      </w:r>
      <w:r>
        <w:rPr>
          <w:rFonts w:eastAsia="Times New Roman"/>
          <w:color w:val="000000"/>
          <w:sz w:val="20"/>
          <w:szCs w:val="20"/>
        </w:rPr>
        <w:t>ent (gains) losses, which includes credit loss impairments of securities/investments, sales or disposals of securities/investments, realized capital gains/losses and valuation allowances</w:t>
      </w:r>
      <w:r>
        <w:rPr>
          <w:rFonts w:eastAsia="Times New Roman"/>
          <w:color w:val="000000"/>
          <w:sz w:val="20"/>
          <w:szCs w:val="20"/>
        </w:rPr>
        <w:t>;</w:t>
      </w:r>
    </w:p>
    <w:p w:rsidR="00000000" w:rsidRDefault="00775A8F">
      <w:pPr>
        <w:ind w:hanging="360"/>
        <w:jc w:val="both"/>
        <w:divId w:val="1948539984"/>
        <w:rPr>
          <w:rFonts w:eastAsia="Times New Roman"/>
        </w:rPr>
      </w:pPr>
      <w:r>
        <w:rPr>
          <w:rFonts w:eastAsia="Times New Roman"/>
          <w:color w:val="000000"/>
          <w:sz w:val="20"/>
          <w:szCs w:val="20"/>
        </w:rPr>
        <w:t>•</w:t>
      </w:r>
      <w:r>
        <w:rPr>
          <w:rFonts w:eastAsia="Times New Roman"/>
          <w:color w:val="000000"/>
          <w:sz w:val="20"/>
          <w:szCs w:val="20"/>
        </w:rPr>
        <w:t>Net actuarial (gains) losses, which includes actuarial gains and lo</w:t>
      </w:r>
      <w:r>
        <w:rPr>
          <w:rFonts w:eastAsia="Times New Roman"/>
          <w:color w:val="000000"/>
          <w:sz w:val="20"/>
          <w:szCs w:val="20"/>
        </w:rPr>
        <w:t>sses as a result of differences between actual and expected experience on pension plan assets or projected benefit obligation during a given period related to pension, other postretirement benefit obligations, and the one-time impact of the settlement of t</w:t>
      </w:r>
      <w:r>
        <w:rPr>
          <w:rFonts w:eastAsia="Times New Roman"/>
          <w:color w:val="000000"/>
          <w:sz w:val="20"/>
          <w:szCs w:val="20"/>
        </w:rPr>
        <w:t>he defined benefit obligation</w:t>
      </w:r>
      <w:r>
        <w:rPr>
          <w:rFonts w:eastAsia="Times New Roman"/>
          <w:color w:val="000000"/>
          <w:sz w:val="20"/>
          <w:szCs w:val="20"/>
        </w:rPr>
        <w:t>;</w:t>
      </w:r>
    </w:p>
    <w:p w:rsidR="00000000" w:rsidRDefault="00775A8F">
      <w:pPr>
        <w:ind w:hanging="360"/>
        <w:jc w:val="both"/>
        <w:divId w:val="495650328"/>
        <w:rPr>
          <w:rFonts w:eastAsia="Times New Roman"/>
        </w:rPr>
      </w:pPr>
      <w:r>
        <w:rPr>
          <w:rFonts w:eastAsia="Times New Roman"/>
          <w:color w:val="000000"/>
          <w:sz w:val="20"/>
          <w:szCs w:val="20"/>
        </w:rPr>
        <w:t>•</w:t>
      </w:r>
      <w:r>
        <w:rPr>
          <w:rFonts w:eastAsia="Times New Roman"/>
          <w:color w:val="000000"/>
          <w:sz w:val="20"/>
          <w:szCs w:val="20"/>
        </w:rPr>
        <w:t>Other adjustments, which includes restructuring costs related to severance, lease write-offs related to non-recurring restructuring activities, separation costs and impacts related to COVID-19; and</w:t>
      </w:r>
      <w:r>
        <w:rPr>
          <w:rFonts w:eastAsia="Times New Roman"/>
          <w:color w:val="000000"/>
          <w:sz w:val="20"/>
          <w:szCs w:val="20"/>
        </w:rPr>
        <w:t xml:space="preserve"> </w:t>
      </w:r>
    </w:p>
    <w:p w:rsidR="00000000" w:rsidRDefault="00775A8F">
      <w:pPr>
        <w:ind w:hanging="360"/>
        <w:divId w:val="1494755939"/>
        <w:rPr>
          <w:rFonts w:eastAsia="Times New Roman"/>
        </w:rPr>
      </w:pPr>
      <w:r>
        <w:rPr>
          <w:rFonts w:eastAsia="Times New Roman"/>
          <w:color w:val="000000"/>
          <w:sz w:val="20"/>
          <w:szCs w:val="20"/>
        </w:rPr>
        <w:t>•</w:t>
      </w:r>
      <w:r>
        <w:rPr>
          <w:rFonts w:eastAsia="Times New Roman"/>
          <w:color w:val="000000"/>
          <w:sz w:val="20"/>
          <w:szCs w:val="20"/>
        </w:rPr>
        <w:t>Income tax expense (bene</w:t>
      </w:r>
      <w:r>
        <w:rPr>
          <w:rFonts w:eastAsia="Times New Roman"/>
          <w:color w:val="000000"/>
          <w:sz w:val="20"/>
          <w:szCs w:val="20"/>
        </w:rPr>
        <w:t>fit) related to the above items and non-recurring tax items, which includes the effect of uncertain tax positions for a given audit period</w:t>
      </w:r>
      <w:r>
        <w:rPr>
          <w:rFonts w:eastAsia="Times New Roman"/>
          <w:color w:val="000000"/>
          <w:sz w:val="20"/>
          <w:szCs w:val="20"/>
        </w:rPr>
        <w:t>.</w:t>
      </w:r>
    </w:p>
    <w:p w:rsidR="00000000" w:rsidRDefault="00775A8F">
      <w:pPr>
        <w:divId w:val="1039932876"/>
        <w:rPr>
          <w:rFonts w:eastAsia="Times New Roman"/>
        </w:rPr>
      </w:pPr>
      <w:r>
        <w:rPr>
          <w:rFonts w:eastAsia="Times New Roman"/>
          <w:color w:val="000000"/>
          <w:sz w:val="20"/>
          <w:szCs w:val="20"/>
        </w:rPr>
        <w:t>Revenues derived from any customer did not exceed 10% of revenues for the three and six months ended June 30, 2020 a</w:t>
      </w:r>
      <w:r>
        <w:rPr>
          <w:rFonts w:eastAsia="Times New Roman"/>
          <w:color w:val="000000"/>
          <w:sz w:val="20"/>
          <w:szCs w:val="20"/>
        </w:rPr>
        <w:t>nd 2019</w:t>
      </w:r>
      <w:r>
        <w:rPr>
          <w:rFonts w:eastAsia="Times New Roman"/>
          <w:color w:val="000000"/>
          <w:sz w:val="20"/>
          <w:szCs w:val="20"/>
        </w:rPr>
        <w:t>.</w:t>
      </w:r>
    </w:p>
    <w:p w:rsidR="00000000" w:rsidRDefault="00775A8F">
      <w:pPr>
        <w:divId w:val="599261475"/>
        <w:rPr>
          <w:rFonts w:eastAsia="Times New Roman"/>
        </w:rPr>
      </w:pPr>
      <w:r>
        <w:rPr>
          <w:rFonts w:eastAsia="Times New Roman"/>
          <w:color w:val="000000"/>
          <w:sz w:val="20"/>
          <w:szCs w:val="20"/>
        </w:rPr>
        <w:t>The table below presents Operating earnings (loss) by segment and Corporate and Other and a reconciliation to Net income (loss) attributable to Holdings for the three and six months ended June 30, 2020 and 2019, respectively</w:t>
      </w:r>
      <w:r>
        <w:rPr>
          <w:rFonts w:eastAsia="Times New Roman"/>
          <w:color w:val="000000"/>
          <w:sz w:val="20"/>
          <w:szCs w:val="20"/>
        </w:rPr>
        <w:t>:</w:t>
      </w:r>
    </w:p>
    <w:p w:rsidR="00000000" w:rsidRDefault="00775A8F">
      <w:pPr>
        <w:jc w:val="center"/>
        <w:divId w:val="285695433"/>
        <w:rPr>
          <w:rFonts w:eastAsia="Times New Roman"/>
        </w:rPr>
      </w:pPr>
      <w:r>
        <w:rPr>
          <w:rFonts w:eastAsia="Times New Roman"/>
          <w:color w:val="000000"/>
          <w:sz w:val="20"/>
          <w:szCs w:val="20"/>
        </w:rPr>
        <w:t>5</w:t>
      </w:r>
      <w:r>
        <w:rPr>
          <w:rFonts w:eastAsia="Times New Roman"/>
          <w:color w:val="000000"/>
          <w:sz w:val="20"/>
          <w:szCs w:val="20"/>
        </w:rPr>
        <w:t>9</w:t>
      </w:r>
    </w:p>
    <w:p w:rsidR="00000000" w:rsidRDefault="00775A8F">
      <w:pPr>
        <w:rPr>
          <w:rFonts w:eastAsia="Times New Roman"/>
        </w:rPr>
      </w:pPr>
      <w:r>
        <w:rPr>
          <w:rFonts w:eastAsia="Times New Roman"/>
        </w:rPr>
        <w:pict>
          <v:rect id="_x0000_i1085" style="width:0;height:1.5pt" o:hralign="center" o:hrstd="t" o:hr="t" fillcolor="#a0a0a0" stroked="f"/>
        </w:pict>
      </w:r>
    </w:p>
    <w:p w:rsidR="00000000" w:rsidRDefault="00775A8F">
      <w:pPr>
        <w:jc w:val="center"/>
        <w:divId w:val="375274982"/>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375274982"/>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605" w:type="pct"/>
        <w:tblCellMar>
          <w:top w:w="15" w:type="dxa"/>
          <w:left w:w="15" w:type="dxa"/>
          <w:bottom w:w="15" w:type="dxa"/>
          <w:right w:w="15" w:type="dxa"/>
        </w:tblCellMar>
        <w:tblLook w:val="04A0" w:firstRow="1" w:lastRow="0" w:firstColumn="1" w:lastColumn="0" w:noHBand="0" w:noVBand="1"/>
      </w:tblPr>
      <w:tblGrid>
        <w:gridCol w:w="40"/>
        <w:gridCol w:w="3426"/>
        <w:gridCol w:w="39"/>
        <w:gridCol w:w="135"/>
        <w:gridCol w:w="599"/>
        <w:gridCol w:w="85"/>
        <w:gridCol w:w="36"/>
        <w:gridCol w:w="36"/>
        <w:gridCol w:w="36"/>
        <w:gridCol w:w="135"/>
        <w:gridCol w:w="524"/>
        <w:gridCol w:w="85"/>
        <w:gridCol w:w="36"/>
        <w:gridCol w:w="36"/>
        <w:gridCol w:w="36"/>
        <w:gridCol w:w="135"/>
        <w:gridCol w:w="579"/>
        <w:gridCol w:w="85"/>
        <w:gridCol w:w="36"/>
        <w:gridCol w:w="36"/>
        <w:gridCol w:w="36"/>
        <w:gridCol w:w="135"/>
        <w:gridCol w:w="519"/>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76949898"/>
        </w:trPr>
        <w:tc>
          <w:tcPr>
            <w:tcW w:w="50" w:type="pct"/>
            <w:vAlign w:val="center"/>
            <w:hideMark/>
          </w:tcPr>
          <w:p w:rsidR="00000000" w:rsidRDefault="00775A8F">
            <w:pPr>
              <w:jc w:val="center"/>
              <w:rPr>
                <w:rFonts w:eastAsia="Times New Roman"/>
              </w:rPr>
            </w:pPr>
          </w:p>
        </w:tc>
        <w:tc>
          <w:tcPr>
            <w:tcW w:w="254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7694989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7694989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7694989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attributable to Holding</w:t>
            </w:r>
            <w:r>
              <w:rPr>
                <w:rFonts w:eastAsia="Times New Roman"/>
                <w:color w:val="000000"/>
                <w:sz w:val="20"/>
                <w:szCs w:val="20"/>
              </w:rPr>
              <w:t>s</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(4,028</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Adjustments related to</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Variable annuity product features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5,727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(1,134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actuarial (gains) losses related to pension and other postretirement benefit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adjustments (2)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Income tax expense (benefit) related to above adjustments (4</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(1,192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Non-recurring tax item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Non-GAAP Operating Earning</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Height w:val="28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Operating earnings (loss) by segment</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Individual Retiremen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Group Retiremen</w:t>
            </w:r>
            <w:r>
              <w:rPr>
                <w:rFonts w:eastAsia="Times New Roman"/>
                <w:color w:val="000000"/>
                <w:sz w:val="20"/>
                <w:szCs w:val="20"/>
              </w:rPr>
              <w:t>t</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Management and Researc</w:t>
            </w:r>
            <w:r>
              <w:rPr>
                <w:rFonts w:eastAsia="Times New Roman"/>
                <w:color w:val="000000"/>
                <w:sz w:val="20"/>
                <w:szCs w:val="20"/>
              </w:rPr>
              <w:t>h</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Protection Solution</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694989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and Other (5</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672533550"/>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35006300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Includes COVID-19 impact on Variable annuity product features due to a first qua</w:t>
      </w:r>
      <w:r>
        <w:rPr>
          <w:rFonts w:eastAsia="Times New Roman"/>
          <w:color w:val="000000"/>
          <w:sz w:val="18"/>
          <w:szCs w:val="18"/>
        </w:rPr>
        <w:t>rter 2020 assumption update of $1.5 billion and other COVID-19 related impacts of $35 million for the six months ended June 30, 2020</w:t>
      </w:r>
      <w:r>
        <w:rPr>
          <w:rFonts w:eastAsia="Times New Roman"/>
          <w:color w:val="000000"/>
          <w:sz w:val="18"/>
          <w:szCs w:val="18"/>
        </w:rPr>
        <w:t>.</w:t>
      </w:r>
    </w:p>
    <w:p w:rsidR="00000000" w:rsidRDefault="00775A8F">
      <w:pPr>
        <w:ind w:hanging="360"/>
        <w:divId w:val="360134918"/>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COVID-19 impact on Other adjustments due to a first quarter 2020 assumption update of $988 million for the six</w:t>
      </w:r>
      <w:r>
        <w:rPr>
          <w:rFonts w:eastAsia="Times New Roman"/>
          <w:color w:val="000000"/>
          <w:sz w:val="18"/>
          <w:szCs w:val="18"/>
        </w:rPr>
        <w:t xml:space="preserve"> months ended June 30, 2020 and other COVID-19 related impacts of $52 million and $103 million for the three and six months ended June 30, 2020</w:t>
      </w:r>
      <w:r>
        <w:rPr>
          <w:rFonts w:eastAsia="Times New Roman"/>
          <w:color w:val="000000"/>
          <w:sz w:val="18"/>
          <w:szCs w:val="18"/>
        </w:rPr>
        <w:t>.</w:t>
      </w:r>
    </w:p>
    <w:p w:rsidR="00000000" w:rsidRDefault="00775A8F">
      <w:pPr>
        <w:ind w:hanging="360"/>
        <w:divId w:val="840588108"/>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 separation costs of $39 million, $58 million,$71 million and $82 million for the three and six month</w:t>
      </w:r>
      <w:r>
        <w:rPr>
          <w:rFonts w:eastAsia="Times New Roman"/>
          <w:color w:val="000000"/>
          <w:sz w:val="18"/>
          <w:szCs w:val="18"/>
        </w:rPr>
        <w:t>s ended June 30, 2020 and 2019, respectively</w:t>
      </w:r>
      <w:r>
        <w:rPr>
          <w:rFonts w:eastAsia="Times New Roman"/>
          <w:color w:val="000000"/>
          <w:sz w:val="18"/>
          <w:szCs w:val="18"/>
        </w:rPr>
        <w:t>.</w:t>
      </w:r>
    </w:p>
    <w:p w:rsidR="00000000" w:rsidRDefault="00775A8F">
      <w:pPr>
        <w:ind w:hanging="360"/>
        <w:divId w:val="338123799"/>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 xml:space="preserve">Includes income taxes of $11 million and $545 </w:t>
      </w:r>
      <w:r>
        <w:rPr>
          <w:rFonts w:eastAsia="Times New Roman"/>
          <w:color w:val="000000"/>
          <w:sz w:val="18"/>
          <w:szCs w:val="18"/>
        </w:rPr>
        <w:t>million for the above COVID-19 items for the three and six months ended June 30, 2020</w:t>
      </w:r>
      <w:r>
        <w:rPr>
          <w:rFonts w:eastAsia="Times New Roman"/>
          <w:color w:val="000000"/>
          <w:sz w:val="18"/>
          <w:szCs w:val="18"/>
        </w:rPr>
        <w:t>.</w:t>
      </w:r>
    </w:p>
    <w:p w:rsidR="00000000" w:rsidRDefault="00775A8F">
      <w:pPr>
        <w:ind w:hanging="360"/>
        <w:divId w:val="194926025"/>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Includes interest expense and financing fees of $52 million, $59 million, $108 million and $111 million for the three and six months ended June 30, 2020 and 2019, res</w:t>
      </w:r>
      <w:r>
        <w:rPr>
          <w:rFonts w:eastAsia="Times New Roman"/>
          <w:color w:val="000000"/>
          <w:sz w:val="18"/>
          <w:szCs w:val="18"/>
        </w:rPr>
        <w:t>pectively</w:t>
      </w:r>
      <w:r>
        <w:rPr>
          <w:rFonts w:eastAsia="Times New Roman"/>
          <w:color w:val="000000"/>
          <w:sz w:val="18"/>
          <w:szCs w:val="18"/>
        </w:rPr>
        <w:t>.</w:t>
      </w:r>
    </w:p>
    <w:p w:rsidR="00000000" w:rsidRDefault="00775A8F">
      <w:pPr>
        <w:divId w:val="616760725"/>
        <w:rPr>
          <w:rFonts w:eastAsia="Times New Roman"/>
        </w:rPr>
      </w:pPr>
      <w:r>
        <w:rPr>
          <w:rFonts w:eastAsia="Times New Roman"/>
          <w:color w:val="000000"/>
          <w:sz w:val="20"/>
          <w:szCs w:val="20"/>
        </w:rPr>
        <w:t>Segment revenues is a measure of the Company’s revenue by segment as adjusted to exclude certain items. The following table reconciles segment revenues to Total revenues by excluding the following items</w:t>
      </w:r>
      <w:r>
        <w:rPr>
          <w:rFonts w:eastAsia="Times New Roman"/>
          <w:color w:val="000000"/>
          <w:sz w:val="20"/>
          <w:szCs w:val="20"/>
        </w:rPr>
        <w:t>:</w:t>
      </w:r>
    </w:p>
    <w:p w:rsidR="00000000" w:rsidRDefault="00775A8F">
      <w:pPr>
        <w:ind w:hanging="360"/>
        <w:jc w:val="both"/>
        <w:divId w:val="888609003"/>
        <w:rPr>
          <w:rFonts w:eastAsia="Times New Roman"/>
        </w:rPr>
      </w:pPr>
      <w:r>
        <w:rPr>
          <w:rFonts w:eastAsia="Times New Roman"/>
          <w:color w:val="000000"/>
          <w:sz w:val="20"/>
          <w:szCs w:val="20"/>
        </w:rPr>
        <w:t>•</w:t>
      </w:r>
      <w:r>
        <w:rPr>
          <w:rFonts w:eastAsia="Times New Roman"/>
          <w:color w:val="000000"/>
          <w:sz w:val="20"/>
          <w:szCs w:val="20"/>
        </w:rPr>
        <w:t>Items related to variable annuity produc</w:t>
      </w:r>
      <w:r>
        <w:rPr>
          <w:rFonts w:eastAsia="Times New Roman"/>
          <w:color w:val="000000"/>
          <w:sz w:val="20"/>
          <w:szCs w:val="20"/>
        </w:rPr>
        <w:t>t features, which include certain changes in the fair value of the derivatives and other securities we use to hedge these features and changes in the fair value of the embedded derivatives reflected within the net derivative results of variable annuity pro</w:t>
      </w:r>
      <w:r>
        <w:rPr>
          <w:rFonts w:eastAsia="Times New Roman"/>
          <w:color w:val="000000"/>
          <w:sz w:val="20"/>
          <w:szCs w:val="20"/>
        </w:rPr>
        <w:t>duct features</w:t>
      </w:r>
      <w:r>
        <w:rPr>
          <w:rFonts w:eastAsia="Times New Roman"/>
          <w:color w:val="000000"/>
          <w:sz w:val="20"/>
          <w:szCs w:val="20"/>
        </w:rPr>
        <w:t>;</w:t>
      </w:r>
    </w:p>
    <w:p w:rsidR="00000000" w:rsidRDefault="00775A8F">
      <w:pPr>
        <w:ind w:hanging="360"/>
        <w:jc w:val="both"/>
        <w:divId w:val="1887596304"/>
        <w:rPr>
          <w:rFonts w:eastAsia="Times New Roman"/>
        </w:rPr>
      </w:pPr>
      <w:r>
        <w:rPr>
          <w:rFonts w:eastAsia="Times New Roman"/>
          <w:color w:val="000000"/>
          <w:sz w:val="20"/>
          <w:szCs w:val="20"/>
        </w:rPr>
        <w:t>•</w:t>
      </w:r>
      <w:r>
        <w:rPr>
          <w:rFonts w:eastAsia="Times New Roman"/>
          <w:color w:val="000000"/>
          <w:sz w:val="20"/>
          <w:szCs w:val="20"/>
        </w:rPr>
        <w:t>Investment (gains) losses, which includes credit loss impairments of securities/investments, sales or disposals of securities/investments, realized capital gains/losses and valuation allowances;</w:t>
      </w:r>
      <w:r>
        <w:rPr>
          <w:rFonts w:eastAsia="Times New Roman"/>
          <w:color w:val="000000"/>
          <w:sz w:val="20"/>
          <w:szCs w:val="20"/>
        </w:rPr>
        <w:t xml:space="preserve"> </w:t>
      </w:r>
    </w:p>
    <w:p w:rsidR="00000000" w:rsidRDefault="00775A8F">
      <w:pPr>
        <w:ind w:hanging="360"/>
        <w:divId w:val="1507211894"/>
        <w:rPr>
          <w:rFonts w:eastAsia="Times New Roman"/>
        </w:rPr>
      </w:pPr>
      <w:r>
        <w:rPr>
          <w:rFonts w:eastAsia="Times New Roman"/>
          <w:color w:val="000000"/>
          <w:sz w:val="20"/>
          <w:szCs w:val="20"/>
        </w:rPr>
        <w:t>•</w:t>
      </w:r>
      <w:r>
        <w:rPr>
          <w:rFonts w:eastAsia="Times New Roman"/>
          <w:color w:val="000000"/>
          <w:sz w:val="20"/>
          <w:szCs w:val="20"/>
        </w:rPr>
        <w:t>Other adjustments, which includes investmen</w:t>
      </w:r>
      <w:r>
        <w:rPr>
          <w:rFonts w:eastAsia="Times New Roman"/>
          <w:color w:val="000000"/>
          <w:sz w:val="20"/>
          <w:szCs w:val="20"/>
        </w:rPr>
        <w:t>t income (loss) from certain derivative instruments, excluding derivative instruments used to hedge risks associated with interest margins on interest sensitive life and annuity contracts and freestanding and embedded derivatives associated with products w</w:t>
      </w:r>
      <w:r>
        <w:rPr>
          <w:rFonts w:eastAsia="Times New Roman"/>
          <w:color w:val="000000"/>
          <w:sz w:val="20"/>
          <w:szCs w:val="20"/>
        </w:rPr>
        <w:t>ith GMxB features</w:t>
      </w:r>
      <w:r>
        <w:rPr>
          <w:rFonts w:eastAsia="Times New Roman"/>
          <w:color w:val="000000"/>
          <w:sz w:val="20"/>
          <w:szCs w:val="20"/>
        </w:rPr>
        <w:t>.</w:t>
      </w:r>
    </w:p>
    <w:p w:rsidR="00000000" w:rsidRDefault="00775A8F">
      <w:pPr>
        <w:jc w:val="center"/>
        <w:divId w:val="1392000806"/>
        <w:rPr>
          <w:rFonts w:eastAsia="Times New Roman"/>
        </w:rPr>
      </w:pPr>
      <w:r>
        <w:rPr>
          <w:rFonts w:eastAsia="Times New Roman"/>
          <w:color w:val="000000"/>
          <w:sz w:val="20"/>
          <w:szCs w:val="20"/>
        </w:rPr>
        <w:t>6</w:t>
      </w:r>
      <w:r>
        <w:rPr>
          <w:rFonts w:eastAsia="Times New Roman"/>
          <w:color w:val="000000"/>
          <w:sz w:val="20"/>
          <w:szCs w:val="20"/>
        </w:rPr>
        <w:t>0</w:t>
      </w:r>
    </w:p>
    <w:p w:rsidR="00000000" w:rsidRDefault="00775A8F">
      <w:pPr>
        <w:rPr>
          <w:rFonts w:eastAsia="Times New Roman"/>
        </w:rPr>
      </w:pPr>
      <w:r>
        <w:rPr>
          <w:rFonts w:eastAsia="Times New Roman"/>
        </w:rPr>
        <w:pict>
          <v:rect id="_x0000_i1086" style="width:0;height:1.5pt" o:hralign="center" o:hrstd="t" o:hr="t" fillcolor="#a0a0a0" stroked="f"/>
        </w:pict>
      </w:r>
    </w:p>
    <w:p w:rsidR="00000000" w:rsidRDefault="00775A8F">
      <w:pPr>
        <w:jc w:val="center"/>
        <w:divId w:val="2136950463"/>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2136950463"/>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p w:rsidR="00000000" w:rsidRDefault="00775A8F">
      <w:pPr>
        <w:divId w:val="701367271"/>
        <w:rPr>
          <w:rFonts w:eastAsia="Times New Roman"/>
        </w:rPr>
      </w:pPr>
      <w:r>
        <w:rPr>
          <w:rFonts w:eastAsia="Times New Roman"/>
          <w:color w:val="000000"/>
          <w:sz w:val="20"/>
          <w:szCs w:val="20"/>
        </w:rPr>
        <w:t>The table below presents segment revenues for the three and six months ended June 30, 2020 and 2019</w:t>
      </w:r>
      <w:r>
        <w:rPr>
          <w:rFonts w:eastAsia="Times New Roman"/>
          <w:color w:val="000000"/>
          <w:sz w:val="20"/>
          <w:szCs w:val="20"/>
        </w:rPr>
        <w:t>.</w:t>
      </w:r>
    </w:p>
    <w:tbl>
      <w:tblPr>
        <w:tblW w:w="4634" w:type="pct"/>
        <w:tblCellMar>
          <w:top w:w="15" w:type="dxa"/>
          <w:left w:w="15" w:type="dxa"/>
          <w:bottom w:w="15" w:type="dxa"/>
          <w:right w:w="15" w:type="dxa"/>
        </w:tblCellMar>
        <w:tblLook w:val="04A0" w:firstRow="1" w:lastRow="0" w:firstColumn="1" w:lastColumn="0" w:noHBand="0" w:noVBand="1"/>
      </w:tblPr>
      <w:tblGrid>
        <w:gridCol w:w="39"/>
        <w:gridCol w:w="3453"/>
        <w:gridCol w:w="38"/>
        <w:gridCol w:w="135"/>
        <w:gridCol w:w="599"/>
        <w:gridCol w:w="85"/>
        <w:gridCol w:w="36"/>
        <w:gridCol w:w="36"/>
        <w:gridCol w:w="36"/>
        <w:gridCol w:w="135"/>
        <w:gridCol w:w="515"/>
        <w:gridCol w:w="85"/>
        <w:gridCol w:w="36"/>
        <w:gridCol w:w="36"/>
        <w:gridCol w:w="36"/>
        <w:gridCol w:w="135"/>
        <w:gridCol w:w="615"/>
        <w:gridCol w:w="85"/>
        <w:gridCol w:w="36"/>
        <w:gridCol w:w="36"/>
        <w:gridCol w:w="36"/>
        <w:gridCol w:w="135"/>
        <w:gridCol w:w="5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367416055"/>
        </w:trPr>
        <w:tc>
          <w:tcPr>
            <w:tcW w:w="50" w:type="pct"/>
            <w:vAlign w:val="center"/>
            <w:hideMark/>
          </w:tcPr>
          <w:p w:rsidR="00000000" w:rsidRDefault="00775A8F">
            <w:pPr>
              <w:rPr>
                <w:rFonts w:eastAsia="Times New Roman"/>
              </w:rPr>
            </w:pPr>
          </w:p>
        </w:tc>
        <w:tc>
          <w:tcPr>
            <w:tcW w:w="255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1"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367416055"/>
        </w:trPr>
        <w:tc>
          <w:tcPr>
            <w:tcW w:w="0" w:type="auto"/>
            <w:gridSpan w:val="3"/>
            <w:tcMar>
              <w:top w:w="30" w:type="dxa"/>
              <w:left w:w="20" w:type="dxa"/>
              <w:bottom w:w="30" w:type="dxa"/>
              <w:right w:w="20" w:type="dxa"/>
            </w:tcMar>
            <w:vAlign w:val="bottom"/>
            <w:hideMark/>
          </w:tcPr>
          <w:p w:rsidR="00000000" w:rsidRDefault="00775A8F">
            <w:pPr>
              <w:divId w:val="1244530392"/>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367416055"/>
        </w:trPr>
        <w:tc>
          <w:tcPr>
            <w:tcW w:w="0" w:type="auto"/>
            <w:gridSpan w:val="3"/>
            <w:tcMar>
              <w:top w:w="30" w:type="dxa"/>
              <w:left w:w="20" w:type="dxa"/>
              <w:bottom w:w="30" w:type="dxa"/>
              <w:right w:w="20" w:type="dxa"/>
            </w:tcMar>
            <w:vAlign w:val="bottom"/>
            <w:hideMark/>
          </w:tcPr>
          <w:p w:rsidR="00000000" w:rsidRDefault="00775A8F">
            <w:pPr>
              <w:divId w:val="418215096"/>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36741605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Segment revenues</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Individual Retirement (1</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809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2,290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Group Retirement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Management and Research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Protection Solutions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730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1,589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and Other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Adjustments related to</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Variable annuity product feature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(5,678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2,661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(1,639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adjustments to segment revenues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741605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(2,530</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3,160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10,063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4,874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270"/>
        <w:divId w:val="1587767970"/>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67221842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Includes investment expenses charged by AB of $17 million, $21 million, $35 million and $39 </w:t>
      </w:r>
      <w:r>
        <w:rPr>
          <w:rFonts w:eastAsia="Times New Roman"/>
          <w:color w:val="000000"/>
          <w:sz w:val="18"/>
          <w:szCs w:val="18"/>
        </w:rPr>
        <w:t>million for the three and six months ended June 30, 2020 and 2019, respectively, for services provided to the Company</w:t>
      </w:r>
      <w:r>
        <w:rPr>
          <w:rFonts w:eastAsia="Times New Roman"/>
          <w:color w:val="000000"/>
          <w:sz w:val="18"/>
          <w:szCs w:val="18"/>
        </w:rPr>
        <w:t>.</w:t>
      </w:r>
    </w:p>
    <w:p w:rsidR="00000000" w:rsidRDefault="00775A8F">
      <w:pPr>
        <w:ind w:hanging="360"/>
        <w:divId w:val="1635410497"/>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 xml:space="preserve">Inter-segment investment management and other fees of $27 million, $26 million, $54 million and $51 </w:t>
      </w:r>
      <w:r>
        <w:rPr>
          <w:rFonts w:eastAsia="Times New Roman"/>
          <w:color w:val="000000"/>
          <w:sz w:val="18"/>
          <w:szCs w:val="18"/>
        </w:rPr>
        <w:t>million for the three and six months ended June 30, 2020 and 2019, respectively, are included in segment revenues of the Investment Management and Research segment</w:t>
      </w:r>
      <w:r>
        <w:rPr>
          <w:rFonts w:eastAsia="Times New Roman"/>
          <w:color w:val="000000"/>
          <w:sz w:val="18"/>
          <w:szCs w:val="18"/>
        </w:rPr>
        <w:t>.</w:t>
      </w:r>
    </w:p>
    <w:p w:rsidR="00000000" w:rsidRDefault="00775A8F">
      <w:pPr>
        <w:ind w:hanging="360"/>
        <w:divId w:val="1836267067"/>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Includes COVID-19 impact on other adjustments due to an assumption update of $46 million</w:t>
      </w:r>
      <w:r>
        <w:rPr>
          <w:rFonts w:eastAsia="Times New Roman"/>
          <w:color w:val="000000"/>
          <w:sz w:val="18"/>
          <w:szCs w:val="18"/>
        </w:rPr>
        <w:t xml:space="preserve"> for the six months ended June 30, 2020 and other COVID-19 related impacts of $21 million and $(30) million for the three and six months ended June 30, 2020</w:t>
      </w:r>
      <w:r>
        <w:rPr>
          <w:rFonts w:eastAsia="Times New Roman"/>
          <w:color w:val="000000"/>
          <w:sz w:val="18"/>
          <w:szCs w:val="18"/>
        </w:rPr>
        <w:t>.</w:t>
      </w:r>
    </w:p>
    <w:p w:rsidR="00000000" w:rsidRDefault="00775A8F">
      <w:pPr>
        <w:divId w:val="533423127"/>
        <w:rPr>
          <w:rFonts w:eastAsia="Times New Roman"/>
        </w:rPr>
      </w:pPr>
      <w:r>
        <w:rPr>
          <w:rFonts w:eastAsia="Times New Roman"/>
          <w:color w:val="000000"/>
          <w:sz w:val="20"/>
          <w:szCs w:val="20"/>
        </w:rPr>
        <w:t>The table below presents Total assets by segment as of June 30, 2020 and December 31, 2019</w:t>
      </w:r>
      <w:r>
        <w:rPr>
          <w:rFonts w:eastAsia="Times New Roman"/>
          <w:color w:val="000000"/>
          <w:sz w:val="20"/>
          <w:szCs w:val="20"/>
        </w:rPr>
        <w:t>:</w:t>
      </w:r>
    </w:p>
    <w:tbl>
      <w:tblPr>
        <w:tblW w:w="4649" w:type="pct"/>
        <w:tblCellMar>
          <w:top w:w="15" w:type="dxa"/>
          <w:left w:w="15" w:type="dxa"/>
          <w:bottom w:w="15" w:type="dxa"/>
          <w:right w:w="15" w:type="dxa"/>
        </w:tblCellMar>
        <w:tblLook w:val="04A0" w:firstRow="1" w:lastRow="0" w:firstColumn="1" w:lastColumn="0" w:noHBand="0" w:noVBand="1"/>
      </w:tblPr>
      <w:tblGrid>
        <w:gridCol w:w="43"/>
        <w:gridCol w:w="4811"/>
        <w:gridCol w:w="43"/>
        <w:gridCol w:w="135"/>
        <w:gridCol w:w="1044"/>
        <w:gridCol w:w="85"/>
        <w:gridCol w:w="36"/>
        <w:gridCol w:w="36"/>
        <w:gridCol w:w="36"/>
        <w:gridCol w:w="135"/>
        <w:gridCol w:w="1018"/>
        <w:gridCol w:w="85"/>
        <w:gridCol w:w="36"/>
        <w:gridCol w:w="36"/>
        <w:gridCol w:w="36"/>
        <w:gridCol w:w="36"/>
        <w:gridCol w:w="36"/>
        <w:gridCol w:w="36"/>
      </w:tblGrid>
      <w:tr w:rsidR="00000000">
        <w:trPr>
          <w:gridAfter w:val="6"/>
          <w:divId w:val="1003779418"/>
        </w:trPr>
        <w:tc>
          <w:tcPr>
            <w:tcW w:w="50" w:type="pct"/>
            <w:vAlign w:val="center"/>
            <w:hideMark/>
          </w:tcPr>
          <w:p w:rsidR="00000000" w:rsidRDefault="00775A8F">
            <w:pPr>
              <w:rPr>
                <w:rFonts w:eastAsia="Times New Roman"/>
              </w:rPr>
            </w:pPr>
          </w:p>
        </w:tc>
        <w:tc>
          <w:tcPr>
            <w:tcW w:w="322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1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1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003779418"/>
        </w:trPr>
        <w:tc>
          <w:tcPr>
            <w:tcW w:w="0" w:type="auto"/>
            <w:gridSpan w:val="3"/>
            <w:tcMar>
              <w:top w:w="30" w:type="dxa"/>
              <w:left w:w="20" w:type="dxa"/>
              <w:bottom w:w="30" w:type="dxa"/>
              <w:right w:w="20" w:type="dxa"/>
            </w:tcMar>
            <w:vAlign w:val="bottom"/>
            <w:hideMark/>
          </w:tcPr>
          <w:p w:rsidR="00000000" w:rsidRDefault="00775A8F">
            <w:pPr>
              <w:divId w:val="211952474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r>
      <w:tr w:rsidR="00000000">
        <w:trPr>
          <w:divId w:val="1003779418"/>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00377941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assets by segment</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3779418"/>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Individual Retiremen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125,169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123,626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3779418"/>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Group Retiremen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44,895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43,588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3779418"/>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Management and Researc</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10,812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10,170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3779418"/>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Protection Solution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45,762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46,886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377941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27,472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25,600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03779418"/>
        </w:trPr>
        <w:tc>
          <w:tcPr>
            <w:tcW w:w="0" w:type="auto"/>
            <w:gridSpan w:val="3"/>
            <w:shd w:val="clear" w:color="auto" w:fill="FFFF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254,110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249,870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674460960"/>
        <w:rPr>
          <w:rFonts w:eastAsia="Times New Roman"/>
        </w:rPr>
      </w:pPr>
    </w:p>
    <w:p w:rsidR="00000000" w:rsidRDefault="00775A8F">
      <w:pPr>
        <w:divId w:val="171841773"/>
        <w:rPr>
          <w:rFonts w:eastAsia="Times New Roman"/>
        </w:rPr>
      </w:pPr>
      <w:r>
        <w:rPr>
          <w:rFonts w:eastAsia="Times New Roman"/>
          <w:b/>
          <w:bCs/>
          <w:color w:val="000000"/>
          <w:sz w:val="20"/>
          <w:szCs w:val="20"/>
        </w:rPr>
        <w:t>16) </w:t>
      </w:r>
      <w:r>
        <w:rPr>
          <w:rFonts w:eastAsia="Times New Roman"/>
          <w:b/>
          <w:bCs/>
          <w:color w:val="000000"/>
          <w:sz w:val="20"/>
          <w:szCs w:val="20"/>
        </w:rPr>
        <w:t>EARNINGS PER COMMON SHAR</w:t>
      </w:r>
      <w:r>
        <w:rPr>
          <w:rFonts w:eastAsia="Times New Roman"/>
          <w:b/>
          <w:bCs/>
          <w:color w:val="000000"/>
          <w:sz w:val="20"/>
          <w:szCs w:val="20"/>
        </w:rPr>
        <w:t>E</w:t>
      </w:r>
    </w:p>
    <w:p w:rsidR="00000000" w:rsidRDefault="00775A8F">
      <w:pPr>
        <w:divId w:val="1220902369"/>
        <w:rPr>
          <w:rFonts w:eastAsia="Times New Roman"/>
        </w:rPr>
      </w:pPr>
      <w:r>
        <w:rPr>
          <w:rFonts w:eastAsia="Times New Roman"/>
          <w:color w:val="000000"/>
          <w:sz w:val="20"/>
          <w:szCs w:val="20"/>
        </w:rPr>
        <w:t>Earnings per common share — basic is calculated by dividing Net income (loss) attributable to Holdings’ common shareholders by the weighted-average number of common shares outstanding during the period. Diluted earnings per common</w:t>
      </w:r>
      <w:r>
        <w:rPr>
          <w:rFonts w:eastAsia="Times New Roman"/>
          <w:color w:val="000000"/>
          <w:sz w:val="20"/>
          <w:szCs w:val="20"/>
        </w:rPr>
        <w:t xml:space="preserve"> share is calculated by dividing the Net income (loss) available to Holdings’ common shareholders by the weighted-average number of common shares outstanding for the period plus the shares representing the dilutive effect of share-based awards. The followi</w:t>
      </w:r>
      <w:r>
        <w:rPr>
          <w:rFonts w:eastAsia="Times New Roman"/>
          <w:color w:val="000000"/>
          <w:sz w:val="20"/>
          <w:szCs w:val="20"/>
        </w:rPr>
        <w:t>ng table presents the weighted-average shares outstanding and Earnings per common share — basic and diluted</w:t>
      </w:r>
      <w:r>
        <w:rPr>
          <w:rFonts w:eastAsia="Times New Roman"/>
          <w:color w:val="000000"/>
          <w:sz w:val="20"/>
          <w:szCs w:val="20"/>
        </w:rPr>
        <w:t>:</w:t>
      </w:r>
    </w:p>
    <w:p w:rsidR="00000000" w:rsidRDefault="00775A8F">
      <w:pPr>
        <w:jc w:val="center"/>
        <w:divId w:val="1151289834"/>
        <w:rPr>
          <w:rFonts w:eastAsia="Times New Roman"/>
        </w:rPr>
      </w:pPr>
      <w:r>
        <w:rPr>
          <w:rFonts w:eastAsia="Times New Roman"/>
          <w:color w:val="000000"/>
          <w:sz w:val="20"/>
          <w:szCs w:val="20"/>
        </w:rPr>
        <w:t>6</w:t>
      </w:r>
      <w:r>
        <w:rPr>
          <w:rFonts w:eastAsia="Times New Roman"/>
          <w:color w:val="000000"/>
          <w:sz w:val="20"/>
          <w:szCs w:val="20"/>
        </w:rPr>
        <w:t>1</w:t>
      </w:r>
    </w:p>
    <w:p w:rsidR="00000000" w:rsidRDefault="00775A8F">
      <w:pPr>
        <w:rPr>
          <w:rFonts w:eastAsia="Times New Roman"/>
        </w:rPr>
      </w:pPr>
      <w:r>
        <w:rPr>
          <w:rFonts w:eastAsia="Times New Roman"/>
        </w:rPr>
        <w:pict>
          <v:rect id="_x0000_i1087" style="width:0;height:1.5pt" o:hralign="center" o:hrstd="t" o:hr="t" fillcolor="#a0a0a0" stroked="f"/>
        </w:pict>
      </w:r>
    </w:p>
    <w:p w:rsidR="00000000" w:rsidRDefault="00775A8F">
      <w:pPr>
        <w:jc w:val="center"/>
        <w:divId w:val="1285118576"/>
        <w:rPr>
          <w:rFonts w:eastAsia="Times New Roman"/>
        </w:rPr>
      </w:pPr>
      <w:r>
        <w:rPr>
          <w:rFonts w:eastAsia="Times New Roman"/>
          <w:b/>
          <w:bCs/>
          <w:color w:val="000000"/>
          <w:sz w:val="20"/>
          <w:szCs w:val="20"/>
        </w:rPr>
        <w:t>EQUITABLE HOLDINGS, INC</w:t>
      </w:r>
      <w:r>
        <w:rPr>
          <w:rFonts w:eastAsia="Times New Roman"/>
          <w:b/>
          <w:bCs/>
          <w:color w:val="000000"/>
          <w:sz w:val="20"/>
          <w:szCs w:val="20"/>
        </w:rPr>
        <w:t>.</w:t>
      </w:r>
    </w:p>
    <w:p w:rsidR="00000000" w:rsidRDefault="00775A8F">
      <w:pPr>
        <w:jc w:val="center"/>
        <w:divId w:val="1285118576"/>
        <w:rPr>
          <w:rFonts w:eastAsia="Times New Roman"/>
        </w:rPr>
      </w:pPr>
      <w:r>
        <w:rPr>
          <w:rFonts w:eastAsia="Times New Roman"/>
          <w:b/>
          <w:bCs/>
          <w:color w:val="000000"/>
          <w:sz w:val="20"/>
          <w:szCs w:val="20"/>
        </w:rPr>
        <w:t>Notes to Consolidated Financial Statements (Unaudited), Continue</w:t>
      </w:r>
      <w:r>
        <w:rPr>
          <w:rFonts w:eastAsia="Times New Roman"/>
          <w:b/>
          <w:bCs/>
          <w:color w:val="000000"/>
          <w:sz w:val="20"/>
          <w:szCs w:val="20"/>
        </w:rPr>
        <w:t>d</w:t>
      </w:r>
    </w:p>
    <w:tbl>
      <w:tblPr>
        <w:tblW w:w="4736" w:type="pct"/>
        <w:tblCellMar>
          <w:top w:w="15" w:type="dxa"/>
          <w:left w:w="15" w:type="dxa"/>
          <w:bottom w:w="15" w:type="dxa"/>
          <w:right w:w="15" w:type="dxa"/>
        </w:tblCellMar>
        <w:tblLook w:val="04A0" w:firstRow="1" w:lastRow="0" w:firstColumn="1" w:lastColumn="0" w:noHBand="0" w:noVBand="1"/>
      </w:tblPr>
      <w:tblGrid>
        <w:gridCol w:w="41"/>
        <w:gridCol w:w="2754"/>
        <w:gridCol w:w="41"/>
        <w:gridCol w:w="135"/>
        <w:gridCol w:w="767"/>
        <w:gridCol w:w="85"/>
        <w:gridCol w:w="36"/>
        <w:gridCol w:w="36"/>
        <w:gridCol w:w="36"/>
        <w:gridCol w:w="135"/>
        <w:gridCol w:w="799"/>
        <w:gridCol w:w="85"/>
        <w:gridCol w:w="36"/>
        <w:gridCol w:w="36"/>
        <w:gridCol w:w="36"/>
        <w:gridCol w:w="135"/>
        <w:gridCol w:w="799"/>
        <w:gridCol w:w="85"/>
        <w:gridCol w:w="36"/>
        <w:gridCol w:w="36"/>
        <w:gridCol w:w="36"/>
        <w:gridCol w:w="135"/>
        <w:gridCol w:w="742"/>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907374394"/>
        </w:trPr>
        <w:tc>
          <w:tcPr>
            <w:tcW w:w="50" w:type="pct"/>
            <w:vAlign w:val="center"/>
            <w:hideMark/>
          </w:tcPr>
          <w:p w:rsidR="00000000" w:rsidRDefault="00775A8F">
            <w:pPr>
              <w:jc w:val="center"/>
              <w:rPr>
                <w:rFonts w:eastAsia="Times New Roman"/>
              </w:rPr>
            </w:pPr>
          </w:p>
        </w:tc>
        <w:tc>
          <w:tcPr>
            <w:tcW w:w="199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0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907374394"/>
        </w:trPr>
        <w:tc>
          <w:tcPr>
            <w:tcW w:w="0" w:type="auto"/>
            <w:gridSpan w:val="3"/>
            <w:tcMar>
              <w:top w:w="30" w:type="dxa"/>
              <w:left w:w="20" w:type="dxa"/>
              <w:bottom w:w="30" w:type="dxa"/>
              <w:right w:w="20" w:type="dxa"/>
            </w:tcMar>
            <w:vAlign w:val="bottom"/>
            <w:hideMark/>
          </w:tcPr>
          <w:p w:rsidR="00000000" w:rsidRDefault="00775A8F">
            <w:pPr>
              <w:divId w:val="655036785"/>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907374394"/>
        </w:trPr>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Weighted-average common shares outstanding</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20" w:type="dxa"/>
              <w:bottom w:w="30" w:type="dxa"/>
              <w:right w:w="20" w:type="dxa"/>
            </w:tcMar>
            <w:vAlign w:val="bottom"/>
            <w:hideMark/>
          </w:tcPr>
          <w:p w:rsidR="00000000" w:rsidRDefault="00775A8F">
            <w:pPr>
              <w:divId w:val="535891182"/>
              <w:rPr>
                <w:rFonts w:eastAsia="Times New Roman"/>
              </w:rPr>
            </w:pPr>
            <w:r>
              <w:rPr>
                <w:rFonts w:eastAsia="Times New Roman"/>
                <w:color w:val="000000"/>
                <w:sz w:val="20"/>
                <w:szCs w:val="20"/>
              </w:rPr>
              <w:t>Weighted-average common shares outstanding</w:t>
            </w:r>
            <w:r>
              <w:rPr>
                <w:rFonts w:eastAsia="Times New Roman"/>
                <w:color w:val="000000"/>
                <w:sz w:val="20"/>
                <w:szCs w:val="20"/>
              </w:rPr>
              <w:t xml:space="preserve"> </w:t>
            </w:r>
            <w:r>
              <w:rPr>
                <w:rFonts w:eastAsia="Times New Roman"/>
                <w:color w:val="000000"/>
                <w:sz w:val="20"/>
                <w:szCs w:val="20"/>
                <w:shd w:val="clear" w:color="auto" w:fill="CCEEFF"/>
              </w:rPr>
              <w:t>—</w:t>
            </w:r>
            <w:r>
              <w:rPr>
                <w:rFonts w:eastAsia="Times New Roman"/>
                <w:color w:val="000000"/>
                <w:sz w:val="20"/>
                <w:szCs w:val="20"/>
              </w:rPr>
              <w:t xml:space="preserve"> basi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450.4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Effect of dilutive potential common shares</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Employee share awards (1</w:t>
            </w:r>
            <w:r>
              <w:rPr>
                <w:rFonts w:eastAsia="Times New Roman"/>
                <w:color w:val="000000"/>
                <w:sz w:val="20"/>
                <w:szCs w:val="20"/>
              </w:rPr>
              <w:t>)</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20" w:type="dxa"/>
              <w:bottom w:w="30" w:type="dxa"/>
              <w:right w:w="20" w:type="dxa"/>
            </w:tcMar>
            <w:vAlign w:val="bottom"/>
            <w:hideMark/>
          </w:tcPr>
          <w:p w:rsidR="00000000" w:rsidRDefault="00775A8F">
            <w:pPr>
              <w:divId w:val="327052438"/>
              <w:rPr>
                <w:rFonts w:eastAsia="Times New Roman"/>
              </w:rPr>
            </w:pPr>
            <w:r>
              <w:rPr>
                <w:rFonts w:eastAsia="Times New Roman"/>
                <w:color w:val="000000"/>
                <w:sz w:val="20"/>
                <w:szCs w:val="20"/>
              </w:rPr>
              <w:t>Weighted-average common shares outstanding — diluted (2) (3</w:t>
            </w:r>
            <w:r>
              <w:rPr>
                <w:rFonts w:eastAsia="Times New Roman"/>
                <w:color w:val="000000"/>
                <w:sz w:val="20"/>
                <w:szCs w:val="20"/>
              </w:rPr>
              <w:t>)</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450.4</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491.9</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457.1</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504.5</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(3,942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Less: Net income (loss) attributable to the noncontrolling interes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attributable to Holding</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(4,028</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495" w:type="dxa"/>
              <w:bottom w:w="30" w:type="dxa"/>
              <w:right w:w="20" w:type="dxa"/>
            </w:tcMar>
            <w:vAlign w:val="bottom"/>
            <w:hideMark/>
          </w:tcPr>
          <w:p w:rsidR="00000000" w:rsidRDefault="00775A8F">
            <w:pPr>
              <w:rPr>
                <w:rFonts w:eastAsia="Times New Roman"/>
              </w:rPr>
            </w:pPr>
            <w:r>
              <w:rPr>
                <w:rFonts w:eastAsia="Times New Roman"/>
                <w:color w:val="000000"/>
                <w:sz w:val="20"/>
                <w:szCs w:val="20"/>
              </w:rPr>
              <w:t>Less: Preferred stock dividend</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available to Holdings’ common shareholder</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(4,038</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1,359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Earnings per common share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07374394"/>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2.97</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(0.82</w:t>
            </w: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002583250"/>
        <w:rPr>
          <w:rFonts w:eastAsia="Times New Roman"/>
        </w:rPr>
      </w:pPr>
      <w:r>
        <w:rPr>
          <w:rFonts w:eastAsia="Times New Roman"/>
          <w:color w:val="000000"/>
          <w:sz w:val="18"/>
          <w:szCs w:val="18"/>
        </w:rPr>
        <w:t>____________</w:t>
      </w:r>
      <w:r>
        <w:rPr>
          <w:rFonts w:eastAsia="Times New Roman"/>
          <w:color w:val="000000"/>
          <w:sz w:val="18"/>
          <w:szCs w:val="18"/>
        </w:rPr>
        <w:t>_</w:t>
      </w:r>
    </w:p>
    <w:p w:rsidR="00000000" w:rsidRDefault="00775A8F">
      <w:pPr>
        <w:ind w:hanging="360"/>
        <w:divId w:val="200115884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Calculated using the treasury stock method</w:t>
      </w:r>
      <w:r>
        <w:rPr>
          <w:rFonts w:eastAsia="Times New Roman"/>
          <w:color w:val="000000"/>
          <w:sz w:val="18"/>
          <w:szCs w:val="18"/>
        </w:rPr>
        <w:t>.</w:t>
      </w:r>
    </w:p>
    <w:p w:rsidR="00000000" w:rsidRDefault="00775A8F">
      <w:pPr>
        <w:ind w:hanging="360"/>
        <w:divId w:val="2053380095"/>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Due to net loss for the three months ended June 30, 2020 and six months ended June 30, 2019, approximately 1.0 million and 0.6 million more shares, res</w:t>
      </w:r>
      <w:r>
        <w:rPr>
          <w:rFonts w:eastAsia="Times New Roman"/>
          <w:color w:val="000000"/>
          <w:sz w:val="18"/>
          <w:szCs w:val="18"/>
        </w:rPr>
        <w:t>pectively, were excluded from the diluted earnings per common share calculation than would have been excluded as being anti-dilutive under the treasury stock method</w:t>
      </w:r>
      <w:r>
        <w:rPr>
          <w:rFonts w:eastAsia="Times New Roman"/>
          <w:color w:val="000000"/>
          <w:sz w:val="18"/>
          <w:szCs w:val="18"/>
        </w:rPr>
        <w:t>.</w:t>
      </w:r>
    </w:p>
    <w:p w:rsidR="00000000" w:rsidRDefault="00775A8F">
      <w:pPr>
        <w:ind w:hanging="360"/>
        <w:divId w:val="679818191"/>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Weighted-average common shares outstanding - diluted may not foot precisely due to roun</w:t>
      </w:r>
      <w:r>
        <w:rPr>
          <w:rFonts w:eastAsia="Times New Roman"/>
          <w:color w:val="000000"/>
          <w:sz w:val="18"/>
          <w:szCs w:val="18"/>
        </w:rPr>
        <w:t>ding</w:t>
      </w:r>
      <w:r>
        <w:rPr>
          <w:rFonts w:eastAsia="Times New Roman"/>
          <w:color w:val="000000"/>
          <w:sz w:val="18"/>
          <w:szCs w:val="18"/>
        </w:rPr>
        <w:t>.</w:t>
      </w:r>
    </w:p>
    <w:p w:rsidR="00000000" w:rsidRDefault="00775A8F">
      <w:pPr>
        <w:divId w:val="465661763"/>
        <w:rPr>
          <w:rFonts w:eastAsia="Times New Roman"/>
        </w:rPr>
      </w:pPr>
      <w:r>
        <w:rPr>
          <w:rFonts w:eastAsia="Times New Roman"/>
          <w:color w:val="000000"/>
          <w:sz w:val="20"/>
          <w:szCs w:val="20"/>
        </w:rPr>
        <w:t>For the three and six months ended June 30, 2020 and 2019, 8.3 million, 8.0 million, 4.2 million and 6.1 million of outstanding stock awards, respectively, were not included in the computation of diluted earnings per share because their effect was an</w:t>
      </w:r>
      <w:r>
        <w:rPr>
          <w:rFonts w:eastAsia="Times New Roman"/>
          <w:color w:val="000000"/>
          <w:sz w:val="20"/>
          <w:szCs w:val="20"/>
        </w:rPr>
        <w:t>ti-dilutive</w:t>
      </w:r>
      <w:r>
        <w:rPr>
          <w:rFonts w:eastAsia="Times New Roman"/>
          <w:color w:val="000000"/>
          <w:sz w:val="20"/>
          <w:szCs w:val="20"/>
        </w:rPr>
        <w:t>.</w:t>
      </w:r>
    </w:p>
    <w:p w:rsidR="00000000" w:rsidRDefault="00775A8F">
      <w:pPr>
        <w:divId w:val="411514189"/>
        <w:rPr>
          <w:rFonts w:eastAsia="Times New Roman"/>
        </w:rPr>
      </w:pPr>
      <w:r>
        <w:rPr>
          <w:rFonts w:eastAsia="Times New Roman"/>
          <w:b/>
          <w:bCs/>
          <w:color w:val="000000"/>
          <w:sz w:val="20"/>
          <w:szCs w:val="20"/>
        </w:rPr>
        <w:t>17)  SUBSEQUENT EVENT</w:t>
      </w:r>
      <w:r>
        <w:rPr>
          <w:rFonts w:eastAsia="Times New Roman"/>
          <w:b/>
          <w:bCs/>
          <w:color w:val="000000"/>
          <w:sz w:val="20"/>
          <w:szCs w:val="20"/>
        </w:rPr>
        <w:t>S</w:t>
      </w:r>
    </w:p>
    <w:p w:rsidR="00000000" w:rsidRDefault="00775A8F">
      <w:pPr>
        <w:divId w:val="1445004563"/>
        <w:rPr>
          <w:rFonts w:eastAsia="Times New Roman"/>
        </w:rPr>
      </w:pPr>
      <w:r>
        <w:rPr>
          <w:rFonts w:eastAsia="Times New Roman"/>
          <w:color w:val="000000"/>
          <w:sz w:val="20"/>
          <w:szCs w:val="20"/>
          <w:u w:val="single"/>
        </w:rPr>
        <w:t>Funding Agreement-Backed Notes</w:t>
      </w:r>
      <w:r>
        <w:rPr>
          <w:rFonts w:eastAsia="Times New Roman"/>
          <w:color w:val="000000"/>
          <w:sz w:val="20"/>
          <w:szCs w:val="20"/>
          <w:u w:val="single"/>
        </w:rPr>
        <w:t xml:space="preserve"> </w:t>
      </w:r>
      <w:r>
        <w:rPr>
          <w:rFonts w:eastAsia="Times New Roman"/>
          <w:color w:val="000000"/>
          <w:sz w:val="20"/>
          <w:szCs w:val="20"/>
        </w:rPr>
        <w:t>Progra</w:t>
      </w:r>
      <w:r>
        <w:rPr>
          <w:rFonts w:eastAsia="Times New Roman"/>
          <w:color w:val="000000"/>
          <w:sz w:val="20"/>
          <w:szCs w:val="20"/>
        </w:rPr>
        <w:t>m</w:t>
      </w:r>
    </w:p>
    <w:p w:rsidR="00000000" w:rsidRDefault="00775A8F">
      <w:pPr>
        <w:divId w:val="964890366"/>
        <w:rPr>
          <w:rFonts w:eastAsia="Times New Roman"/>
        </w:rPr>
      </w:pPr>
      <w:r>
        <w:rPr>
          <w:rFonts w:eastAsia="Times New Roman"/>
          <w:color w:val="000000"/>
          <w:sz w:val="20"/>
          <w:szCs w:val="20"/>
        </w:rPr>
        <w:t>Pursuant to a funding agreement-backed notes program, Equitable Financial may issue funding agreements to a Delaware special purpose statutory trust (the “Trust”) in exchange for th</w:t>
      </w:r>
      <w:r>
        <w:rPr>
          <w:rFonts w:eastAsia="Times New Roman"/>
          <w:color w:val="000000"/>
          <w:sz w:val="20"/>
          <w:szCs w:val="20"/>
        </w:rPr>
        <w:t>e proceeds from issuances of fixed and floating rate medium-term marketable notes issued by the Trust from time to time (the “Trust notes”). The funding agreements have matching interest and maturity payment terms to the applicable Trust notes. The maximum</w:t>
      </w:r>
      <w:r>
        <w:rPr>
          <w:rFonts w:eastAsia="Times New Roman"/>
          <w:color w:val="000000"/>
          <w:sz w:val="20"/>
          <w:szCs w:val="20"/>
        </w:rPr>
        <w:t xml:space="preserve"> aggregate principal amount of Trust notes permitted to be outstanding at any one time is $5 billion.</w:t>
      </w:r>
      <w:r>
        <w:rPr>
          <w:rFonts w:eastAsia="Times New Roman"/>
          <w:color w:val="000000"/>
          <w:sz w:val="20"/>
          <w:szCs w:val="20"/>
        </w:rPr>
        <w:t xml:space="preserve"> </w:t>
      </w:r>
    </w:p>
    <w:p w:rsidR="00000000" w:rsidRDefault="00775A8F">
      <w:pPr>
        <w:divId w:val="1165166197"/>
        <w:rPr>
          <w:rFonts w:eastAsia="Times New Roman"/>
        </w:rPr>
      </w:pPr>
      <w:r>
        <w:rPr>
          <w:rFonts w:eastAsia="Times New Roman"/>
          <w:color w:val="000000"/>
          <w:sz w:val="20"/>
          <w:szCs w:val="20"/>
        </w:rPr>
        <w:t xml:space="preserve">Effective July 7, 2020, Equitable Financial issued a $650 million funding agreement to the Trust. </w:t>
      </w:r>
      <w:r>
        <w:rPr>
          <w:rFonts w:eastAsia="Times New Roman"/>
          <w:color w:val="000000"/>
          <w:sz w:val="20"/>
          <w:szCs w:val="20"/>
        </w:rPr>
        <w:t>The funding agreement has a fixed interest rate of 1.4% per annum and will mature on July 7, 2025. Funding agreements issued to the Trust will be reported in Policyholders’ account balances in the consolidated balance sheets in subsequent periods</w:t>
      </w:r>
      <w:r>
        <w:rPr>
          <w:rFonts w:eastAsia="Times New Roman"/>
          <w:color w:val="000000"/>
          <w:sz w:val="20"/>
          <w:szCs w:val="20"/>
        </w:rPr>
        <w:t>.</w:t>
      </w:r>
    </w:p>
    <w:p w:rsidR="00000000" w:rsidRDefault="00775A8F">
      <w:pPr>
        <w:divId w:val="1180850362"/>
        <w:rPr>
          <w:rFonts w:eastAsia="Times New Roman"/>
        </w:rPr>
      </w:pPr>
      <w:r>
        <w:rPr>
          <w:rFonts w:eastAsia="Times New Roman"/>
          <w:color w:val="000000"/>
          <w:sz w:val="20"/>
          <w:szCs w:val="20"/>
          <w:u w:val="single"/>
        </w:rPr>
        <w:t>Dividend</w:t>
      </w:r>
      <w:r>
        <w:rPr>
          <w:rFonts w:eastAsia="Times New Roman"/>
          <w:color w:val="000000"/>
          <w:sz w:val="20"/>
          <w:szCs w:val="20"/>
          <w:u w:val="single"/>
        </w:rPr>
        <w:t>s Declare</w:t>
      </w:r>
      <w:r>
        <w:rPr>
          <w:rFonts w:eastAsia="Times New Roman"/>
          <w:color w:val="000000"/>
          <w:sz w:val="20"/>
          <w:szCs w:val="20"/>
          <w:u w:val="single"/>
        </w:rPr>
        <w:t>d</w:t>
      </w:r>
    </w:p>
    <w:p w:rsidR="00000000" w:rsidRDefault="00775A8F">
      <w:pPr>
        <w:divId w:val="27417908"/>
        <w:rPr>
          <w:rFonts w:eastAsia="Times New Roman"/>
        </w:rPr>
      </w:pPr>
      <w:r>
        <w:rPr>
          <w:rFonts w:eastAsia="Times New Roman"/>
          <w:color w:val="000000"/>
          <w:sz w:val="20"/>
          <w:szCs w:val="20"/>
        </w:rPr>
        <w:t>On July 31, 2020, the Company declared a quarterly cash dividend of $0.17 per share of common stock. The dividend on the common stock will be payable August 18, 2020 to shareholders of record at the close of business on August 11, 2020.</w:t>
      </w:r>
      <w:r>
        <w:rPr>
          <w:rFonts w:eastAsia="Times New Roman"/>
          <w:color w:val="000000"/>
          <w:sz w:val="20"/>
          <w:szCs w:val="20"/>
        </w:rPr>
        <w:t xml:space="preserve"> </w:t>
      </w:r>
    </w:p>
    <w:p w:rsidR="00000000" w:rsidRDefault="00775A8F">
      <w:pPr>
        <w:divId w:val="706836144"/>
        <w:rPr>
          <w:rFonts w:eastAsia="Times New Roman"/>
        </w:rPr>
      </w:pPr>
      <w:r>
        <w:rPr>
          <w:rFonts w:eastAsia="Times New Roman"/>
          <w:color w:val="000000"/>
          <w:sz w:val="20"/>
          <w:szCs w:val="20"/>
        </w:rPr>
        <w:t>On July</w:t>
      </w:r>
      <w:r>
        <w:rPr>
          <w:rFonts w:eastAsia="Times New Roman"/>
          <w:color w:val="000000"/>
          <w:sz w:val="20"/>
          <w:szCs w:val="20"/>
        </w:rPr>
        <w:t xml:space="preserve"> 31, 2020, the Company declared a cash dividend of $328.125 per share on the Company’s Series A 5.25% Non-Cumulative Perpetual Preferred Stock, with a liquidation preference of $25,000 per share, which are represented by depositary shares, each representin</w:t>
      </w:r>
      <w:r>
        <w:rPr>
          <w:rFonts w:eastAsia="Times New Roman"/>
          <w:color w:val="000000"/>
          <w:sz w:val="20"/>
          <w:szCs w:val="20"/>
        </w:rPr>
        <w:t>g a 1/1,000th interest in a share of preferred stock, holders of which will receive $0.328125 per depositary share. The dividend will be payable on September 15, 2020 to holders of record as of September 4, 2020.</w:t>
      </w:r>
      <w:r>
        <w:rPr>
          <w:rFonts w:eastAsia="Times New Roman"/>
          <w:color w:val="000000"/>
          <w:sz w:val="20"/>
          <w:szCs w:val="20"/>
        </w:rPr>
        <w:t xml:space="preserve"> </w:t>
      </w:r>
    </w:p>
    <w:p w:rsidR="00000000" w:rsidRDefault="00775A8F">
      <w:pPr>
        <w:jc w:val="center"/>
        <w:divId w:val="1927373316"/>
        <w:rPr>
          <w:rFonts w:eastAsia="Times New Roman"/>
        </w:rPr>
      </w:pPr>
      <w:r>
        <w:rPr>
          <w:rFonts w:eastAsia="Times New Roman"/>
          <w:color w:val="000000"/>
          <w:sz w:val="20"/>
          <w:szCs w:val="20"/>
        </w:rPr>
        <w:t>6</w:t>
      </w:r>
      <w:r>
        <w:rPr>
          <w:rFonts w:eastAsia="Times New Roman"/>
          <w:color w:val="000000"/>
          <w:sz w:val="20"/>
          <w:szCs w:val="20"/>
        </w:rPr>
        <w:t>2</w:t>
      </w:r>
    </w:p>
    <w:p w:rsidR="00000000" w:rsidRDefault="00775A8F">
      <w:pPr>
        <w:rPr>
          <w:rFonts w:eastAsia="Times New Roman"/>
        </w:rPr>
      </w:pPr>
      <w:r>
        <w:rPr>
          <w:rFonts w:eastAsia="Times New Roman"/>
        </w:rPr>
        <w:pict>
          <v:rect id="_x0000_i1088" style="width:0;height:1.5pt" o:hralign="center" o:hrstd="t" o:hr="t" fillcolor="#a0a0a0" stroked="f"/>
        </w:pict>
      </w:r>
    </w:p>
    <w:p w:rsidR="00000000" w:rsidRDefault="00775A8F">
      <w:pPr>
        <w:ind w:firstLine="360"/>
        <w:divId w:val="851458767"/>
        <w:rPr>
          <w:rFonts w:eastAsia="Times New Roman"/>
        </w:rPr>
      </w:pPr>
    </w:p>
    <w:p w:rsidR="00000000" w:rsidRDefault="00775A8F">
      <w:pPr>
        <w:divId w:val="273098022"/>
        <w:rPr>
          <w:rFonts w:eastAsia="Times New Roman"/>
        </w:rPr>
      </w:pPr>
      <w:r>
        <w:rPr>
          <w:rFonts w:eastAsia="Times New Roman"/>
          <w:b/>
          <w:bCs/>
          <w:color w:val="000000"/>
          <w:sz w:val="20"/>
          <w:szCs w:val="20"/>
        </w:rPr>
        <w:t>Item 2.  Management’s Discussion and Analysis of Financial Condition and Results of Operations</w:t>
      </w:r>
      <w:r>
        <w:rPr>
          <w:rFonts w:eastAsia="Times New Roman"/>
          <w:b/>
          <w:bCs/>
          <w:color w:val="000000"/>
          <w:sz w:val="20"/>
          <w:szCs w:val="20"/>
        </w:rPr>
        <w:t xml:space="preserve"> </w:t>
      </w:r>
    </w:p>
    <w:p w:rsidR="00000000" w:rsidRDefault="00775A8F">
      <w:pPr>
        <w:ind w:firstLine="360"/>
        <w:divId w:val="1142387271"/>
        <w:rPr>
          <w:rFonts w:eastAsia="Times New Roman"/>
        </w:rPr>
      </w:pPr>
      <w:r>
        <w:rPr>
          <w:rFonts w:eastAsia="Times New Roman"/>
          <w:i/>
          <w:iCs/>
          <w:color w:val="000000"/>
          <w:sz w:val="20"/>
          <w:szCs w:val="20"/>
        </w:rPr>
        <w:t>The following discussion and analysis of our financial condition and results of operations should be read in its entirety and in conjunction with the consolidat</w:t>
      </w:r>
      <w:r>
        <w:rPr>
          <w:rFonts w:eastAsia="Times New Roman"/>
          <w:i/>
          <w:iCs/>
          <w:color w:val="000000"/>
          <w:sz w:val="20"/>
          <w:szCs w:val="20"/>
        </w:rPr>
        <w:t>ed financial statements and related notes contained in</w:t>
      </w:r>
      <w:r>
        <w:rPr>
          <w:rFonts w:eastAsia="Times New Roman"/>
          <w:i/>
          <w:iCs/>
          <w:color w:val="000000"/>
          <w:sz w:val="20"/>
          <w:szCs w:val="20"/>
        </w:rPr>
        <w:t xml:space="preserve"> </w:t>
      </w:r>
      <w:hyperlink w:anchor="i4261c54b478a49e1ad39b1a3e7c75d2d_19" w:history="1">
        <w:r>
          <w:rPr>
            <w:rStyle w:val="a3"/>
            <w:rFonts w:eastAsia="Times New Roman"/>
            <w:i/>
            <w:iCs/>
            <w:sz w:val="20"/>
            <w:szCs w:val="20"/>
          </w:rPr>
          <w:t>Part I, Item 1</w:t>
        </w:r>
      </w:hyperlink>
      <w:r>
        <w:rPr>
          <w:rFonts w:eastAsia="Times New Roman"/>
          <w:i/>
          <w:iCs/>
          <w:color w:val="000000"/>
          <w:sz w:val="20"/>
          <w:szCs w:val="20"/>
        </w:rPr>
        <w:t> of this Quarterly Report on Form 10-Q, as well as “Management’s Discussion and Analysis of Financial Condition and Results of O</w:t>
      </w:r>
      <w:r>
        <w:rPr>
          <w:rFonts w:eastAsia="Times New Roman"/>
          <w:i/>
          <w:iCs/>
          <w:color w:val="000000"/>
          <w:sz w:val="20"/>
          <w:szCs w:val="20"/>
        </w:rPr>
        <w:t>perations” section contained in our</w:t>
      </w:r>
      <w:r>
        <w:rPr>
          <w:rFonts w:eastAsia="Times New Roman"/>
          <w:i/>
          <w:iCs/>
          <w:color w:val="000000"/>
          <w:sz w:val="20"/>
          <w:szCs w:val="20"/>
        </w:rPr>
        <w:t> </w:t>
      </w:r>
      <w:hyperlink r:id="rId5" w:history="1">
        <w:r>
          <w:rPr>
            <w:rStyle w:val="a3"/>
            <w:rFonts w:eastAsia="Times New Roman"/>
            <w:i/>
            <w:iCs/>
            <w:sz w:val="20"/>
            <w:szCs w:val="20"/>
          </w:rPr>
          <w:t>Annual Report on Form 10-K </w:t>
        </w:r>
      </w:hyperlink>
      <w:r>
        <w:rPr>
          <w:rFonts w:eastAsia="Times New Roman"/>
          <w:i/>
          <w:iCs/>
          <w:color w:val="000000"/>
          <w:sz w:val="20"/>
          <w:szCs w:val="20"/>
        </w:rPr>
        <w:t>for the year ended December 31, 2019 (“2019 Form 10-K”)</w:t>
      </w:r>
      <w:r>
        <w:rPr>
          <w:rFonts w:eastAsia="Times New Roman"/>
          <w:i/>
          <w:iCs/>
          <w:color w:val="000000"/>
          <w:sz w:val="20"/>
          <w:szCs w:val="20"/>
        </w:rPr>
        <w:t>.</w:t>
      </w:r>
    </w:p>
    <w:p w:rsidR="00000000" w:rsidRDefault="00775A8F">
      <w:pPr>
        <w:ind w:firstLine="360"/>
        <w:divId w:val="830406745"/>
        <w:rPr>
          <w:rFonts w:eastAsia="Times New Roman"/>
        </w:rPr>
      </w:pPr>
      <w:r>
        <w:rPr>
          <w:rFonts w:eastAsia="Times New Roman"/>
          <w:i/>
          <w:iCs/>
          <w:color w:val="000000"/>
          <w:sz w:val="20"/>
          <w:szCs w:val="20"/>
        </w:rPr>
        <w:t xml:space="preserve">In addition to historical data, this </w:t>
      </w:r>
      <w:r>
        <w:rPr>
          <w:rFonts w:eastAsia="Times New Roman"/>
          <w:i/>
          <w:iCs/>
          <w:color w:val="000000"/>
          <w:sz w:val="20"/>
          <w:szCs w:val="20"/>
        </w:rPr>
        <w:t>discussion contains forward-looking statements about our business, operations and financial performance based on current expectations that involve risks, uncertainties and assumptions. Actual results may differ materially from those discussed in the forwar</w:t>
      </w:r>
      <w:r>
        <w:rPr>
          <w:rFonts w:eastAsia="Times New Roman"/>
          <w:i/>
          <w:iCs/>
          <w:color w:val="000000"/>
          <w:sz w:val="20"/>
          <w:szCs w:val="20"/>
        </w:rPr>
        <w:t>d-looking statements as a result of various factors. See the Note Regarding Forward-Looking Statements and Information. Investors are directed to consider the risks and uncertainties discussed in</w:t>
      </w:r>
      <w:r>
        <w:rPr>
          <w:rFonts w:eastAsia="Times New Roman"/>
          <w:i/>
          <w:iCs/>
          <w:color w:val="000000"/>
          <w:sz w:val="20"/>
          <w:szCs w:val="20"/>
        </w:rPr>
        <w:t xml:space="preserve"> </w:t>
      </w:r>
      <w:hyperlink w:anchor="i4261c54b478a49e1ad39b1a3e7c75d2d_466" w:history="1">
        <w:r>
          <w:rPr>
            <w:rStyle w:val="a3"/>
            <w:rFonts w:eastAsia="Times New Roman"/>
            <w:i/>
            <w:iCs/>
            <w:sz w:val="20"/>
            <w:szCs w:val="20"/>
          </w:rPr>
          <w:t>Part II, Item 1A</w:t>
        </w:r>
      </w:hyperlink>
      <w:r>
        <w:rPr>
          <w:rFonts w:eastAsia="Times New Roman"/>
          <w:i/>
          <w:iCs/>
          <w:color w:val="000000"/>
          <w:sz w:val="20"/>
          <w:szCs w:val="20"/>
        </w:rPr>
        <w:t> of this Quarterly Report on Form 10-Q, as well as in other documents we have filed with the Securities and Exchange Commission (“SEC”)</w:t>
      </w:r>
      <w:r>
        <w:rPr>
          <w:rFonts w:eastAsia="Times New Roman"/>
          <w:i/>
          <w:iCs/>
          <w:color w:val="000000"/>
          <w:sz w:val="20"/>
          <w:szCs w:val="20"/>
        </w:rPr>
        <w:t>.</w:t>
      </w:r>
    </w:p>
    <w:p w:rsidR="00000000" w:rsidRDefault="00775A8F">
      <w:pPr>
        <w:divId w:val="1294991589"/>
        <w:rPr>
          <w:rFonts w:eastAsia="Times New Roman"/>
        </w:rPr>
      </w:pPr>
      <w:r>
        <w:rPr>
          <w:rFonts w:eastAsia="Times New Roman"/>
          <w:b/>
          <w:bCs/>
          <w:color w:val="000000"/>
          <w:sz w:val="20"/>
          <w:szCs w:val="20"/>
        </w:rPr>
        <w:t>Executive Summary</w:t>
      </w:r>
      <w:r>
        <w:rPr>
          <w:rFonts w:eastAsia="Times New Roman"/>
          <w:b/>
          <w:bCs/>
          <w:color w:val="000000"/>
          <w:sz w:val="20"/>
          <w:szCs w:val="20"/>
        </w:rPr>
        <w:t xml:space="preserve"> </w:t>
      </w:r>
    </w:p>
    <w:p w:rsidR="00000000" w:rsidRDefault="00775A8F">
      <w:pPr>
        <w:jc w:val="both"/>
        <w:divId w:val="1421950108"/>
        <w:rPr>
          <w:rFonts w:eastAsia="Times New Roman"/>
        </w:rPr>
      </w:pPr>
      <w:r>
        <w:rPr>
          <w:rFonts w:eastAsia="Times New Roman"/>
          <w:b/>
          <w:bCs/>
          <w:i/>
          <w:iCs/>
          <w:color w:val="000000"/>
          <w:sz w:val="20"/>
          <w:szCs w:val="20"/>
        </w:rPr>
        <w:t>Overview</w:t>
      </w:r>
      <w:r>
        <w:rPr>
          <w:rFonts w:eastAsia="Times New Roman"/>
          <w:b/>
          <w:bCs/>
          <w:i/>
          <w:iCs/>
          <w:color w:val="000000"/>
          <w:sz w:val="20"/>
          <w:szCs w:val="20"/>
        </w:rPr>
        <w:t xml:space="preserve"> </w:t>
      </w:r>
    </w:p>
    <w:p w:rsidR="00000000" w:rsidRDefault="00775A8F">
      <w:pPr>
        <w:ind w:firstLine="360"/>
        <w:divId w:val="1153763841"/>
        <w:rPr>
          <w:rFonts w:eastAsia="Times New Roman"/>
        </w:rPr>
      </w:pPr>
      <w:r>
        <w:rPr>
          <w:rFonts w:eastAsia="Times New Roman"/>
          <w:color w:val="000000"/>
          <w:sz w:val="20"/>
          <w:szCs w:val="20"/>
        </w:rPr>
        <w:t>We are one of America’s leading financial services companies, providing: (</w:t>
      </w:r>
      <w:r>
        <w:rPr>
          <w:rFonts w:eastAsia="Times New Roman"/>
          <w:color w:val="000000"/>
          <w:sz w:val="20"/>
          <w:szCs w:val="20"/>
        </w:rPr>
        <w:t>i) advice and solutions for helping Americans set and meet their retirement goals and protect and transfer their wealth across generations; and (ii) a wide range of investment management insights, expertise and innovations to drive better investment decisi</w:t>
      </w:r>
      <w:r>
        <w:rPr>
          <w:rFonts w:eastAsia="Times New Roman"/>
          <w:color w:val="000000"/>
          <w:sz w:val="20"/>
          <w:szCs w:val="20"/>
        </w:rPr>
        <w:t>ons and outcomes for clients worldwide.</w:t>
      </w:r>
      <w:r>
        <w:rPr>
          <w:rFonts w:eastAsia="Times New Roman"/>
          <w:color w:val="000000"/>
          <w:sz w:val="20"/>
          <w:szCs w:val="20"/>
        </w:rPr>
        <w:t xml:space="preserve"> </w:t>
      </w:r>
    </w:p>
    <w:p w:rsidR="00000000" w:rsidRDefault="00775A8F">
      <w:pPr>
        <w:ind w:firstLine="360"/>
        <w:divId w:val="1547792406"/>
        <w:rPr>
          <w:rFonts w:eastAsia="Times New Roman"/>
        </w:rPr>
      </w:pPr>
      <w:r>
        <w:rPr>
          <w:rFonts w:eastAsia="Times New Roman"/>
          <w:color w:val="000000"/>
          <w:sz w:val="20"/>
          <w:szCs w:val="20"/>
        </w:rPr>
        <w:t>We manage our business through four segments: Individual Retirement, Group Retirement, Investment Management and Research, and Protection Solutions. We report certain activities and items that are not included in th</w:t>
      </w:r>
      <w:r>
        <w:rPr>
          <w:rFonts w:eastAsia="Times New Roman"/>
          <w:color w:val="000000"/>
          <w:sz w:val="20"/>
          <w:szCs w:val="20"/>
        </w:rPr>
        <w:t>ese segments in Corporate and Other. See Note 15 of the Notes to the Consolidated Financial Statements for further information on our segments</w:t>
      </w:r>
      <w:r>
        <w:rPr>
          <w:rFonts w:eastAsia="Times New Roman"/>
          <w:color w:val="000000"/>
          <w:sz w:val="20"/>
          <w:szCs w:val="20"/>
        </w:rPr>
        <w:t>.</w:t>
      </w:r>
    </w:p>
    <w:p w:rsidR="00000000" w:rsidRDefault="00775A8F">
      <w:pPr>
        <w:ind w:firstLine="360"/>
        <w:divId w:val="327830591"/>
        <w:rPr>
          <w:rFonts w:eastAsia="Times New Roman"/>
        </w:rPr>
      </w:pPr>
      <w:r>
        <w:rPr>
          <w:rFonts w:eastAsia="Times New Roman"/>
          <w:color w:val="000000"/>
          <w:sz w:val="20"/>
          <w:szCs w:val="20"/>
        </w:rPr>
        <w:t>We benefit from our complementary mix of businesses. This business mix provides diversity in our earnings source</w:t>
      </w:r>
      <w:r>
        <w:rPr>
          <w:rFonts w:eastAsia="Times New Roman"/>
          <w:color w:val="000000"/>
          <w:sz w:val="20"/>
          <w:szCs w:val="20"/>
        </w:rPr>
        <w:t>s, which helps offset fluctuations in market conditions and variability in business results, while offering growth opportunities.</w:t>
      </w:r>
      <w:r>
        <w:rPr>
          <w:rFonts w:eastAsia="Times New Roman"/>
          <w:color w:val="000000"/>
          <w:sz w:val="20"/>
          <w:szCs w:val="20"/>
        </w:rPr>
        <w:t xml:space="preserve"> </w:t>
      </w:r>
    </w:p>
    <w:p w:rsidR="00000000" w:rsidRDefault="00775A8F">
      <w:pPr>
        <w:jc w:val="both"/>
        <w:divId w:val="553128023"/>
        <w:rPr>
          <w:rFonts w:eastAsia="Times New Roman"/>
        </w:rPr>
      </w:pPr>
      <w:r>
        <w:rPr>
          <w:rFonts w:eastAsia="Times New Roman"/>
          <w:b/>
          <w:bCs/>
          <w:i/>
          <w:iCs/>
          <w:color w:val="000000"/>
          <w:sz w:val="20"/>
          <w:szCs w:val="20"/>
        </w:rPr>
        <w:t>COVID-19 Impac</w:t>
      </w:r>
      <w:r>
        <w:rPr>
          <w:rFonts w:eastAsia="Times New Roman"/>
          <w:b/>
          <w:bCs/>
          <w:i/>
          <w:iCs/>
          <w:color w:val="000000"/>
          <w:sz w:val="20"/>
          <w:szCs w:val="20"/>
        </w:rPr>
        <w:t>t</w:t>
      </w:r>
    </w:p>
    <w:p w:rsidR="00000000" w:rsidRDefault="00775A8F">
      <w:pPr>
        <w:ind w:firstLine="360"/>
        <w:divId w:val="1455251843"/>
        <w:rPr>
          <w:rFonts w:eastAsia="Times New Roman"/>
        </w:rPr>
      </w:pPr>
      <w:r>
        <w:rPr>
          <w:rFonts w:eastAsia="Times New Roman"/>
          <w:color w:val="000000"/>
          <w:sz w:val="20"/>
          <w:szCs w:val="20"/>
        </w:rPr>
        <w:t>During the first half of 2020 and, in particular, the second quarter of 2020, the COVID-19 pandemic negativel</w:t>
      </w:r>
      <w:r>
        <w:rPr>
          <w:rFonts w:eastAsia="Times New Roman"/>
          <w:color w:val="000000"/>
          <w:sz w:val="20"/>
          <w:szCs w:val="20"/>
        </w:rPr>
        <w:t xml:space="preserve">y impacted the U.S. and global economies. Capital markets continued to experience significant volatility and unemployment levels rose dramatically. In addition, many businesses and schools remained closed or were ordered to close and many states and local </w:t>
      </w:r>
      <w:r>
        <w:rPr>
          <w:rFonts w:eastAsia="Times New Roman"/>
          <w:color w:val="000000"/>
          <w:sz w:val="20"/>
          <w:szCs w:val="20"/>
        </w:rPr>
        <w:t>communities instituted or maintained social distancing and sheltering in place requirements. It remains unclear whether states and municipalities across the U.S. will be able to safely re-open schools in several weeks given the spread of the virus. The COV</w:t>
      </w:r>
      <w:r>
        <w:rPr>
          <w:rFonts w:eastAsia="Times New Roman"/>
          <w:color w:val="000000"/>
          <w:sz w:val="20"/>
          <w:szCs w:val="20"/>
        </w:rPr>
        <w:t>ID-19 pandemic is rapidly evolving in the U.S. and while certain cities and/or states are beginning the process of re-opening, others are pausing re-opening plans due to dramatic surges in COVID-19 cases. It is expected that the effects from the pandemic a</w:t>
      </w:r>
      <w:r>
        <w:rPr>
          <w:rFonts w:eastAsia="Times New Roman"/>
          <w:color w:val="000000"/>
          <w:sz w:val="20"/>
          <w:szCs w:val="20"/>
        </w:rPr>
        <w:t xml:space="preserve">re likely to persist for months to come. Governments around the world continued to implement economic stimulus measures that are intended to steady businesses and consumers until economic activity and financial markets meaningfully recover. The timing and </w:t>
      </w:r>
      <w:r>
        <w:rPr>
          <w:rFonts w:eastAsia="Times New Roman"/>
          <w:color w:val="000000"/>
          <w:sz w:val="20"/>
          <w:szCs w:val="20"/>
        </w:rPr>
        <w:t>magnitude of any such recovery, however, remains uncertain</w:t>
      </w:r>
      <w:r>
        <w:rPr>
          <w:rFonts w:eastAsia="Times New Roman"/>
          <w:color w:val="000000"/>
          <w:sz w:val="20"/>
          <w:szCs w:val="20"/>
        </w:rPr>
        <w:t>.</w:t>
      </w:r>
    </w:p>
    <w:p w:rsidR="00000000" w:rsidRDefault="00775A8F">
      <w:pPr>
        <w:ind w:firstLine="360"/>
        <w:divId w:val="353727656"/>
        <w:rPr>
          <w:rFonts w:eastAsia="Times New Roman"/>
        </w:rPr>
      </w:pPr>
      <w:r>
        <w:rPr>
          <w:rFonts w:eastAsia="Times New Roman"/>
          <w:color w:val="000000"/>
          <w:sz w:val="20"/>
          <w:szCs w:val="20"/>
        </w:rPr>
        <w:t>As a financial services company, factors such as the volatility and strength of equity markets, interest rates, consumer spending, and government debt and spending all affect the business and economic environment and, ultimately, the amount and profitabili</w:t>
      </w:r>
      <w:r>
        <w:rPr>
          <w:rFonts w:eastAsia="Times New Roman"/>
          <w:color w:val="000000"/>
          <w:sz w:val="20"/>
          <w:szCs w:val="20"/>
        </w:rPr>
        <w:t>ty of our business. During the current economic downturn, the demand for our products and services and our investment returns could be materially and adversely affected. In addition, the growing number of COVID-19 related deaths could have an adverse effec</w:t>
      </w:r>
      <w:r>
        <w:rPr>
          <w:rFonts w:eastAsia="Times New Roman"/>
          <w:color w:val="000000"/>
          <w:sz w:val="20"/>
          <w:szCs w:val="20"/>
        </w:rPr>
        <w:t>t on our insurance business due to increased mortality and, in certain cases, morbidity rates.</w:t>
      </w:r>
      <w:r>
        <w:rPr>
          <w:rFonts w:eastAsia="Times New Roman"/>
          <w:color w:val="000000"/>
          <w:sz w:val="20"/>
          <w:szCs w:val="20"/>
        </w:rPr>
        <w:t xml:space="preserve"> </w:t>
      </w:r>
    </w:p>
    <w:p w:rsidR="00000000" w:rsidRDefault="00775A8F">
      <w:pPr>
        <w:ind w:firstLine="360"/>
        <w:divId w:val="2145929407"/>
        <w:rPr>
          <w:rFonts w:eastAsia="Times New Roman"/>
        </w:rPr>
      </w:pPr>
      <w:r>
        <w:rPr>
          <w:rFonts w:eastAsia="Times New Roman"/>
          <w:color w:val="000000"/>
          <w:sz w:val="20"/>
          <w:szCs w:val="20"/>
        </w:rPr>
        <w:t>To date, COVID-related impacts, including adverse mortality experience, have been manageable and below initial expectations. In response to the current environm</w:t>
      </w:r>
      <w:r>
        <w:rPr>
          <w:rFonts w:eastAsia="Times New Roman"/>
          <w:color w:val="000000"/>
          <w:sz w:val="20"/>
          <w:szCs w:val="20"/>
        </w:rPr>
        <w:t>ent, we are adapting our processes to meet client needs. For example, we have modified our underwriting policies to offer a fluid-less, touchless process to help more clients access the protection they need. In addition, we have accelerated our digital ado</w:t>
      </w:r>
      <w:r>
        <w:rPr>
          <w:rFonts w:eastAsia="Times New Roman"/>
          <w:color w:val="000000"/>
          <w:sz w:val="20"/>
          <w:szCs w:val="20"/>
        </w:rPr>
        <w:t>ption programs, leading to improved outcomes for clients, advisors, and the company. With schools closed and an uncertain outlook on reopening, we have developed digital tools and enhanced our remote engagement with our educator clients, which is resulting</w:t>
      </w:r>
      <w:r>
        <w:rPr>
          <w:rFonts w:eastAsia="Times New Roman"/>
          <w:color w:val="000000"/>
          <w:sz w:val="20"/>
          <w:szCs w:val="20"/>
        </w:rPr>
        <w:t xml:space="preserve"> in improved retention and increases in retirement plan contributions</w:t>
      </w:r>
      <w:r>
        <w:rPr>
          <w:rFonts w:eastAsia="Times New Roman"/>
          <w:color w:val="000000"/>
          <w:sz w:val="20"/>
          <w:szCs w:val="20"/>
        </w:rPr>
        <w:t>.</w:t>
      </w:r>
    </w:p>
    <w:p w:rsidR="00000000" w:rsidRDefault="00775A8F">
      <w:pPr>
        <w:ind w:firstLine="360"/>
        <w:divId w:val="1422526547"/>
        <w:rPr>
          <w:rFonts w:eastAsia="Times New Roman"/>
        </w:rPr>
      </w:pPr>
      <w:r>
        <w:rPr>
          <w:rFonts w:eastAsia="Times New Roman"/>
          <w:color w:val="000000"/>
          <w:sz w:val="20"/>
          <w:szCs w:val="20"/>
        </w:rPr>
        <w:t>Action taken by state insurance departments, including the NYDFS, to require insurers to offer flexible premium payment plans, relax payment dates, waive late fees and penalties in orde</w:t>
      </w:r>
      <w:r>
        <w:rPr>
          <w:rFonts w:eastAsia="Times New Roman"/>
          <w:color w:val="000000"/>
          <w:sz w:val="20"/>
          <w:szCs w:val="20"/>
        </w:rPr>
        <w:t>r to avoid canceling or non-renewing polices may negatively affect our results of operations. Additionally, the profitability of many of our retirement, protection and investment products depends in part on the value of the AUM supporting them, which has d</w:t>
      </w:r>
      <w:r>
        <w:rPr>
          <w:rFonts w:eastAsia="Times New Roman"/>
          <w:color w:val="000000"/>
          <w:sz w:val="20"/>
          <w:szCs w:val="20"/>
        </w:rPr>
        <w:t>eclined and may continue to decline substantially</w:t>
      </w:r>
      <w:r>
        <w:rPr>
          <w:rFonts w:eastAsia="Times New Roman"/>
          <w:color w:val="000000"/>
          <w:sz w:val="20"/>
          <w:szCs w:val="20"/>
        </w:rPr>
        <w:t xml:space="preserve"> </w:t>
      </w:r>
    </w:p>
    <w:p w:rsidR="00000000" w:rsidRDefault="00775A8F">
      <w:pPr>
        <w:jc w:val="center"/>
        <w:divId w:val="1691878583"/>
        <w:rPr>
          <w:rFonts w:eastAsia="Times New Roman"/>
        </w:rPr>
      </w:pPr>
      <w:r>
        <w:rPr>
          <w:rFonts w:eastAsia="Times New Roman"/>
          <w:color w:val="000000"/>
          <w:sz w:val="20"/>
          <w:szCs w:val="20"/>
        </w:rPr>
        <w:t>6</w:t>
      </w:r>
      <w:r>
        <w:rPr>
          <w:rFonts w:eastAsia="Times New Roman"/>
          <w:color w:val="000000"/>
          <w:sz w:val="20"/>
          <w:szCs w:val="20"/>
        </w:rPr>
        <w:t>3</w:t>
      </w:r>
    </w:p>
    <w:p w:rsidR="00000000" w:rsidRDefault="00775A8F">
      <w:pPr>
        <w:rPr>
          <w:rFonts w:eastAsia="Times New Roman"/>
        </w:rPr>
      </w:pPr>
      <w:r>
        <w:rPr>
          <w:rFonts w:eastAsia="Times New Roman"/>
        </w:rPr>
        <w:pict>
          <v:rect id="_x0000_i1089" style="width:0;height:1.5pt" o:hralign="center" o:hrstd="t" o:hr="t" fillcolor="#a0a0a0" stroked="f"/>
        </w:pict>
      </w:r>
    </w:p>
    <w:p w:rsidR="00000000" w:rsidRDefault="00775A8F">
      <w:pPr>
        <w:ind w:firstLine="360"/>
        <w:divId w:val="1947811686"/>
        <w:rPr>
          <w:rFonts w:eastAsia="Times New Roman"/>
        </w:rPr>
      </w:pPr>
    </w:p>
    <w:p w:rsidR="00000000" w:rsidRDefault="00775A8F">
      <w:pPr>
        <w:divId w:val="590159775"/>
        <w:rPr>
          <w:rFonts w:eastAsia="Times New Roman"/>
        </w:rPr>
      </w:pPr>
      <w:r>
        <w:rPr>
          <w:rFonts w:eastAsia="Times New Roman"/>
          <w:color w:val="000000"/>
          <w:sz w:val="20"/>
          <w:szCs w:val="20"/>
        </w:rPr>
        <w:t xml:space="preserve">depending on any of the foregoing conditions. The ongoing economic impact and the potential for continued volatility and declines in the capital markets could have </w:t>
      </w:r>
      <w:r>
        <w:rPr>
          <w:rFonts w:eastAsia="Times New Roman"/>
          <w:color w:val="000000"/>
          <w:sz w:val="20"/>
          <w:szCs w:val="20"/>
        </w:rPr>
        <w:t>a significant adverse effect on our business, results of operations and financial condition, particularly if economic activity and financial markets do not recover or recover slowly.</w:t>
      </w:r>
      <w:r>
        <w:rPr>
          <w:rFonts w:eastAsia="Times New Roman"/>
          <w:color w:val="000000"/>
          <w:sz w:val="20"/>
          <w:szCs w:val="20"/>
        </w:rPr>
        <w:t xml:space="preserve"> </w:t>
      </w:r>
    </w:p>
    <w:p w:rsidR="00000000" w:rsidRDefault="00775A8F">
      <w:pPr>
        <w:ind w:firstLine="360"/>
        <w:divId w:val="621692429"/>
        <w:rPr>
          <w:rFonts w:eastAsia="Times New Roman"/>
        </w:rPr>
      </w:pPr>
      <w:r>
        <w:rPr>
          <w:rFonts w:eastAsia="Times New Roman"/>
          <w:color w:val="000000"/>
          <w:sz w:val="20"/>
          <w:szCs w:val="20"/>
        </w:rPr>
        <w:t>While the COVID-19 pandemic significantly affected the capital markets a</w:t>
      </w:r>
      <w:r>
        <w:rPr>
          <w:rFonts w:eastAsia="Times New Roman"/>
          <w:color w:val="000000"/>
          <w:sz w:val="20"/>
          <w:szCs w:val="20"/>
        </w:rPr>
        <w:t>nd economy, we believe the actions we have previously taken help assure that our economic balance sheet is protected from interest rate and equity declines. These actions include redesigning our product portfolio to concentrate on offering less capital int</w:t>
      </w:r>
      <w:r>
        <w:rPr>
          <w:rFonts w:eastAsia="Times New Roman"/>
          <w:color w:val="000000"/>
          <w:sz w:val="20"/>
          <w:szCs w:val="20"/>
        </w:rPr>
        <w:t>ensive products and implementing a hedging strategy that manages and protects against the economic risks associated with our in-force GMxB products. In addition to our hedging strategy, we employ various other methods to manage the risks of our in-force va</w:t>
      </w:r>
      <w:r>
        <w:rPr>
          <w:rFonts w:eastAsia="Times New Roman"/>
          <w:color w:val="000000"/>
          <w:sz w:val="20"/>
          <w:szCs w:val="20"/>
        </w:rPr>
        <w:t>riable annuity products, including asset-liability matching, volatility management tools within the Separate Accounts and an active in-force management program, including buyout offers for certain products. Our General Account was impacted both from declin</w:t>
      </w:r>
      <w:r>
        <w:rPr>
          <w:rFonts w:eastAsia="Times New Roman"/>
          <w:color w:val="000000"/>
          <w:sz w:val="20"/>
          <w:szCs w:val="20"/>
        </w:rPr>
        <w:t>ing interest rates, which had a positive effect on fair value, and sharply increased credit spreads, which had a negative impact on fair value. Due to the General Account’s exposure to U.S. government bonds and credit quality of the portfolio, we feel that</w:t>
      </w:r>
      <w:r>
        <w:rPr>
          <w:rFonts w:eastAsia="Times New Roman"/>
          <w:color w:val="000000"/>
          <w:sz w:val="20"/>
          <w:szCs w:val="20"/>
        </w:rPr>
        <w:t xml:space="preserve"> our balance sheet is well positioned to withstand the extreme volatility in the capital markets.</w:t>
      </w:r>
      <w:r>
        <w:rPr>
          <w:rFonts w:eastAsia="Times New Roman"/>
          <w:color w:val="000000"/>
          <w:sz w:val="20"/>
          <w:szCs w:val="20"/>
        </w:rPr>
        <w:t xml:space="preserve"> </w:t>
      </w:r>
    </w:p>
    <w:p w:rsidR="00000000" w:rsidRDefault="00775A8F">
      <w:pPr>
        <w:ind w:firstLine="360"/>
        <w:divId w:val="78870805"/>
        <w:rPr>
          <w:rFonts w:eastAsia="Times New Roman"/>
        </w:rPr>
      </w:pPr>
      <w:r>
        <w:rPr>
          <w:rFonts w:eastAsia="Times New Roman"/>
          <w:color w:val="000000"/>
          <w:sz w:val="20"/>
          <w:szCs w:val="20"/>
        </w:rPr>
        <w:t>In light of the unprecedented decline in long-term interest rates in the first quarter of 2020, we updated our long-term GAAP interest rate assumption to gra</w:t>
      </w:r>
      <w:r>
        <w:rPr>
          <w:rFonts w:eastAsia="Times New Roman"/>
          <w:color w:val="000000"/>
          <w:sz w:val="20"/>
          <w:szCs w:val="20"/>
        </w:rPr>
        <w:t>de from current rates over 10-years to the 5-year historical average (currently 2.25%). For additional information, see “—Significant Factors Impacting Our Results—Assumption Updates and Model Changes.”</w:t>
      </w:r>
      <w:r>
        <w:rPr>
          <w:rFonts w:eastAsia="Times New Roman"/>
          <w:color w:val="000000"/>
          <w:sz w:val="20"/>
          <w:szCs w:val="20"/>
        </w:rPr>
        <w:t xml:space="preserve"> </w:t>
      </w:r>
    </w:p>
    <w:p w:rsidR="00000000" w:rsidRDefault="00775A8F">
      <w:pPr>
        <w:ind w:firstLine="360"/>
        <w:divId w:val="1176381699"/>
        <w:rPr>
          <w:rFonts w:eastAsia="Times New Roman"/>
        </w:rPr>
      </w:pPr>
      <w:r>
        <w:rPr>
          <w:rFonts w:eastAsia="Times New Roman"/>
          <w:color w:val="000000"/>
          <w:sz w:val="20"/>
          <w:szCs w:val="20"/>
        </w:rPr>
        <w:t xml:space="preserve">Operationally, we acted quickly and implemented our </w:t>
      </w:r>
      <w:r>
        <w:rPr>
          <w:rFonts w:eastAsia="Times New Roman"/>
          <w:color w:val="000000"/>
          <w:sz w:val="20"/>
          <w:szCs w:val="20"/>
        </w:rPr>
        <w:t xml:space="preserve">risk management and contingency plans as the COVID-19 pandemic evolved. For example, among other things, we implemented travel restrictions, imposed self-quarantine requirements for employees and advisors who were exposed to someone who tested positive or </w:t>
      </w:r>
      <w:r>
        <w:rPr>
          <w:rFonts w:eastAsia="Times New Roman"/>
          <w:color w:val="000000"/>
          <w:sz w:val="20"/>
          <w:szCs w:val="20"/>
        </w:rPr>
        <w:t>had traveled to certain countries with active COVID-19 outbreaks and, finally, we temporarily closed our corporate locations and advisor branch offices. As a result, most of our employee and advisors are currently working remotely. The remote working arran</w:t>
      </w:r>
      <w:r>
        <w:rPr>
          <w:rFonts w:eastAsia="Times New Roman"/>
          <w:color w:val="000000"/>
          <w:sz w:val="20"/>
          <w:szCs w:val="20"/>
        </w:rPr>
        <w:t xml:space="preserve">gement has detracted from the ability of our advisors to sell our products in the normal course and, as a result, the demand for our products and services has been adversely impacted and going forward could decline further as the pandemic persists. We are </w:t>
      </w:r>
      <w:r>
        <w:rPr>
          <w:rFonts w:eastAsia="Times New Roman"/>
          <w:color w:val="000000"/>
          <w:sz w:val="20"/>
          <w:szCs w:val="20"/>
        </w:rPr>
        <w:t>also mindful that an extended period of remote work arrangements could strain our business continuity plans, introduce additional operational risk, including cybersecurity and privacy risks, and impair our ability to effectively manage our business</w:t>
      </w:r>
      <w:r>
        <w:rPr>
          <w:rFonts w:eastAsia="Times New Roman"/>
          <w:color w:val="000000"/>
          <w:sz w:val="20"/>
          <w:szCs w:val="20"/>
        </w:rPr>
        <w:t>.</w:t>
      </w:r>
    </w:p>
    <w:p w:rsidR="00000000" w:rsidRDefault="00775A8F">
      <w:pPr>
        <w:ind w:firstLine="360"/>
        <w:divId w:val="1698313057"/>
        <w:rPr>
          <w:rFonts w:eastAsia="Times New Roman"/>
        </w:rPr>
      </w:pPr>
      <w:r>
        <w:rPr>
          <w:rFonts w:eastAsia="Times New Roman"/>
          <w:color w:val="000000"/>
          <w:sz w:val="20"/>
          <w:szCs w:val="20"/>
        </w:rPr>
        <w:t>While the COVID-19 pandemic has negatively impacted our business and financial results, the extent and nature of its full financial impact cannot reasonably be estimated at this time due to the uncertainty as to the severity and duration of the pandemic. F</w:t>
      </w:r>
      <w:r>
        <w:rPr>
          <w:rFonts w:eastAsia="Times New Roman"/>
          <w:color w:val="000000"/>
          <w:sz w:val="20"/>
          <w:szCs w:val="20"/>
        </w:rPr>
        <w:t xml:space="preserve">or additional information regarding the potential impacts of the COVID-19 pandemic, see “Risk Factors—The novel coronavirus (COVID-19) pandemic has adversely impacted our business and could materially adversely affect our business, results of operation or </w:t>
      </w:r>
      <w:r>
        <w:rPr>
          <w:rFonts w:eastAsia="Times New Roman"/>
          <w:color w:val="000000"/>
          <w:sz w:val="20"/>
          <w:szCs w:val="20"/>
        </w:rPr>
        <w:t>financial condition in the future.</w:t>
      </w:r>
      <w:r>
        <w:rPr>
          <w:rFonts w:eastAsia="Times New Roman"/>
          <w:color w:val="000000"/>
          <w:sz w:val="20"/>
          <w:szCs w:val="20"/>
        </w:rPr>
        <w:t>”</w:t>
      </w:r>
    </w:p>
    <w:p w:rsidR="00000000" w:rsidRDefault="00775A8F">
      <w:pPr>
        <w:jc w:val="both"/>
        <w:divId w:val="592472044"/>
        <w:rPr>
          <w:rFonts w:eastAsia="Times New Roman"/>
        </w:rPr>
      </w:pPr>
      <w:r>
        <w:rPr>
          <w:rFonts w:eastAsia="Times New Roman"/>
          <w:b/>
          <w:bCs/>
          <w:i/>
          <w:iCs/>
          <w:color w:val="000000"/>
          <w:sz w:val="20"/>
          <w:szCs w:val="20"/>
        </w:rPr>
        <w:t>Revenue</w:t>
      </w:r>
      <w:r>
        <w:rPr>
          <w:rFonts w:eastAsia="Times New Roman"/>
          <w:b/>
          <w:bCs/>
          <w:i/>
          <w:iCs/>
          <w:color w:val="000000"/>
          <w:sz w:val="20"/>
          <w:szCs w:val="20"/>
        </w:rPr>
        <w:t>s</w:t>
      </w:r>
    </w:p>
    <w:p w:rsidR="00000000" w:rsidRDefault="00775A8F">
      <w:pPr>
        <w:ind w:firstLine="360"/>
        <w:divId w:val="1901943107"/>
        <w:rPr>
          <w:rFonts w:eastAsia="Times New Roman"/>
        </w:rPr>
      </w:pPr>
      <w:r>
        <w:rPr>
          <w:rFonts w:eastAsia="Times New Roman"/>
          <w:color w:val="000000"/>
          <w:sz w:val="20"/>
          <w:szCs w:val="20"/>
        </w:rPr>
        <w:t>Our revenues come from three principal sources</w:t>
      </w:r>
      <w:r>
        <w:rPr>
          <w:rFonts w:eastAsia="Times New Roman"/>
          <w:color w:val="000000"/>
          <w:sz w:val="20"/>
          <w:szCs w:val="20"/>
        </w:rPr>
        <w:t>:</w:t>
      </w:r>
    </w:p>
    <w:p w:rsidR="00000000" w:rsidRDefault="00775A8F">
      <w:pPr>
        <w:ind w:hanging="360"/>
        <w:jc w:val="both"/>
        <w:divId w:val="56829255"/>
        <w:rPr>
          <w:rFonts w:eastAsia="Times New Roman"/>
        </w:rPr>
      </w:pPr>
      <w:r>
        <w:rPr>
          <w:rFonts w:eastAsia="Times New Roman"/>
          <w:color w:val="000000"/>
          <w:sz w:val="20"/>
          <w:szCs w:val="20"/>
        </w:rPr>
        <w:t>•</w:t>
      </w:r>
      <w:r>
        <w:rPr>
          <w:rFonts w:eastAsia="Times New Roman"/>
          <w:color w:val="000000"/>
          <w:sz w:val="20"/>
          <w:szCs w:val="20"/>
        </w:rPr>
        <w:t>fee income derived from our retirement and protection products and our investment management and research services</w:t>
      </w:r>
      <w:r>
        <w:rPr>
          <w:rFonts w:eastAsia="Times New Roman"/>
          <w:color w:val="000000"/>
          <w:sz w:val="20"/>
          <w:szCs w:val="20"/>
        </w:rPr>
        <w:t>;</w:t>
      </w:r>
    </w:p>
    <w:p w:rsidR="00000000" w:rsidRDefault="00775A8F">
      <w:pPr>
        <w:ind w:hanging="360"/>
        <w:jc w:val="both"/>
        <w:divId w:val="853609707"/>
        <w:rPr>
          <w:rFonts w:eastAsia="Times New Roman"/>
        </w:rPr>
      </w:pPr>
      <w:r>
        <w:rPr>
          <w:rFonts w:eastAsia="Times New Roman"/>
          <w:color w:val="000000"/>
          <w:sz w:val="20"/>
          <w:szCs w:val="20"/>
        </w:rPr>
        <w:t>•</w:t>
      </w:r>
      <w:r>
        <w:rPr>
          <w:rFonts w:eastAsia="Times New Roman"/>
          <w:color w:val="000000"/>
          <w:sz w:val="20"/>
          <w:szCs w:val="20"/>
        </w:rPr>
        <w:t xml:space="preserve">premiums from our traditional life insurance </w:t>
      </w:r>
      <w:r>
        <w:rPr>
          <w:rFonts w:eastAsia="Times New Roman"/>
          <w:color w:val="000000"/>
          <w:sz w:val="20"/>
          <w:szCs w:val="20"/>
        </w:rPr>
        <w:t>and annuity products; an</w:t>
      </w:r>
      <w:r>
        <w:rPr>
          <w:rFonts w:eastAsia="Times New Roman"/>
          <w:color w:val="000000"/>
          <w:sz w:val="20"/>
          <w:szCs w:val="20"/>
        </w:rPr>
        <w:t>d</w:t>
      </w:r>
    </w:p>
    <w:p w:rsidR="00000000" w:rsidRDefault="00775A8F">
      <w:pPr>
        <w:ind w:hanging="360"/>
        <w:divId w:val="321198635"/>
        <w:rPr>
          <w:rFonts w:eastAsia="Times New Roman"/>
        </w:rPr>
      </w:pPr>
      <w:r>
        <w:rPr>
          <w:rFonts w:eastAsia="Times New Roman"/>
          <w:color w:val="000000"/>
          <w:sz w:val="20"/>
          <w:szCs w:val="20"/>
        </w:rPr>
        <w:t>•</w:t>
      </w:r>
      <w:r>
        <w:rPr>
          <w:rFonts w:eastAsia="Times New Roman"/>
          <w:color w:val="000000"/>
          <w:sz w:val="20"/>
          <w:szCs w:val="20"/>
        </w:rPr>
        <w:t>investment income from our General Account investment portfolio</w:t>
      </w:r>
      <w:r>
        <w:rPr>
          <w:rFonts w:eastAsia="Times New Roman"/>
          <w:color w:val="000000"/>
          <w:sz w:val="20"/>
          <w:szCs w:val="20"/>
        </w:rPr>
        <w:t>.</w:t>
      </w:r>
    </w:p>
    <w:p w:rsidR="00000000" w:rsidRDefault="00775A8F">
      <w:pPr>
        <w:ind w:firstLine="360"/>
        <w:divId w:val="2072270359"/>
        <w:rPr>
          <w:rFonts w:eastAsia="Times New Roman"/>
        </w:rPr>
      </w:pPr>
      <w:r>
        <w:rPr>
          <w:rFonts w:eastAsia="Times New Roman"/>
          <w:color w:val="000000"/>
          <w:sz w:val="20"/>
          <w:szCs w:val="20"/>
        </w:rPr>
        <w:t>Our fee income varies directly in relation to the amount of the underlying AV or benefit base of our retirement and protection products and the amount of AUM of our</w:t>
      </w:r>
      <w:r>
        <w:rPr>
          <w:rFonts w:eastAsia="Times New Roman"/>
          <w:color w:val="000000"/>
          <w:sz w:val="20"/>
          <w:szCs w:val="20"/>
        </w:rPr>
        <w:t xml:space="preserve"> Investment Management and Research business. AV and AUM, each as defined in “—Key Operating Measures,” are influenced by changes in economic conditions, primarily equity market returns, as well as net flows. Our premium income is driven by the growth in n</w:t>
      </w:r>
      <w:r>
        <w:rPr>
          <w:rFonts w:eastAsia="Times New Roman"/>
          <w:color w:val="000000"/>
          <w:sz w:val="20"/>
          <w:szCs w:val="20"/>
        </w:rPr>
        <w:t>ew policies written and the persistency of our in-force policies, both of which are influenced by a combination of factors, including our efforts to attract and retain customers and market conditions that influence demand for our products. Our investment i</w:t>
      </w:r>
      <w:r>
        <w:rPr>
          <w:rFonts w:eastAsia="Times New Roman"/>
          <w:color w:val="000000"/>
          <w:sz w:val="20"/>
          <w:szCs w:val="20"/>
        </w:rPr>
        <w:t>ncome is driven by the yield on our General Account investment portfolio and is impacted by the prevailing level of interest rates as we reinvest cash associated with maturing investments and net flows to the portfolio</w:t>
      </w:r>
      <w:r>
        <w:rPr>
          <w:rFonts w:eastAsia="Times New Roman"/>
          <w:color w:val="000000"/>
          <w:sz w:val="20"/>
          <w:szCs w:val="20"/>
        </w:rPr>
        <w:t>.</w:t>
      </w:r>
    </w:p>
    <w:p w:rsidR="00000000" w:rsidRDefault="00775A8F">
      <w:pPr>
        <w:jc w:val="both"/>
        <w:divId w:val="1364089328"/>
        <w:rPr>
          <w:rFonts w:eastAsia="Times New Roman"/>
        </w:rPr>
      </w:pPr>
      <w:r>
        <w:rPr>
          <w:rFonts w:eastAsia="Times New Roman"/>
          <w:b/>
          <w:bCs/>
          <w:i/>
          <w:iCs/>
          <w:color w:val="000000"/>
          <w:sz w:val="20"/>
          <w:szCs w:val="20"/>
        </w:rPr>
        <w:t>Benefits and Other Deduction</w:t>
      </w:r>
      <w:r>
        <w:rPr>
          <w:rFonts w:eastAsia="Times New Roman"/>
          <w:b/>
          <w:bCs/>
          <w:i/>
          <w:iCs/>
          <w:color w:val="000000"/>
          <w:sz w:val="20"/>
          <w:szCs w:val="20"/>
        </w:rPr>
        <w:t>s</w:t>
      </w:r>
    </w:p>
    <w:p w:rsidR="00000000" w:rsidRDefault="00775A8F">
      <w:pPr>
        <w:ind w:firstLine="360"/>
        <w:divId w:val="1957521335"/>
        <w:rPr>
          <w:rFonts w:eastAsia="Times New Roman"/>
        </w:rPr>
      </w:pPr>
      <w:r>
        <w:rPr>
          <w:rFonts w:eastAsia="Times New Roman"/>
          <w:color w:val="000000"/>
          <w:sz w:val="20"/>
          <w:szCs w:val="20"/>
        </w:rPr>
        <w:t>Our pr</w:t>
      </w:r>
      <w:r>
        <w:rPr>
          <w:rFonts w:eastAsia="Times New Roman"/>
          <w:color w:val="000000"/>
          <w:sz w:val="20"/>
          <w:szCs w:val="20"/>
        </w:rPr>
        <w:t>imary expenses are</w:t>
      </w:r>
      <w:r>
        <w:rPr>
          <w:rFonts w:eastAsia="Times New Roman"/>
          <w:color w:val="000000"/>
          <w:sz w:val="20"/>
          <w:szCs w:val="20"/>
        </w:rPr>
        <w:t>:</w:t>
      </w:r>
    </w:p>
    <w:p w:rsidR="00000000" w:rsidRDefault="00775A8F">
      <w:pPr>
        <w:ind w:hanging="360"/>
        <w:jc w:val="both"/>
        <w:divId w:val="255216953"/>
        <w:rPr>
          <w:rFonts w:eastAsia="Times New Roman"/>
        </w:rPr>
      </w:pPr>
      <w:r>
        <w:rPr>
          <w:rFonts w:eastAsia="Times New Roman"/>
          <w:color w:val="000000"/>
          <w:sz w:val="20"/>
          <w:szCs w:val="20"/>
        </w:rPr>
        <w:t>•</w:t>
      </w:r>
      <w:r>
        <w:rPr>
          <w:rFonts w:eastAsia="Times New Roman"/>
          <w:color w:val="000000"/>
          <w:sz w:val="20"/>
          <w:szCs w:val="20"/>
        </w:rPr>
        <w:t>policyholders’ benefits and interest credited to policyholders’ account balances</w:t>
      </w:r>
      <w:r>
        <w:rPr>
          <w:rFonts w:eastAsia="Times New Roman"/>
          <w:color w:val="000000"/>
          <w:sz w:val="20"/>
          <w:szCs w:val="20"/>
        </w:rPr>
        <w:t>;</w:t>
      </w:r>
    </w:p>
    <w:p w:rsidR="00000000" w:rsidRDefault="00775A8F">
      <w:pPr>
        <w:jc w:val="center"/>
        <w:divId w:val="886452248"/>
        <w:rPr>
          <w:rFonts w:eastAsia="Times New Roman"/>
        </w:rPr>
      </w:pPr>
      <w:r>
        <w:rPr>
          <w:rFonts w:eastAsia="Times New Roman"/>
          <w:color w:val="000000"/>
          <w:sz w:val="20"/>
          <w:szCs w:val="20"/>
        </w:rPr>
        <w:t>6</w:t>
      </w:r>
      <w:r>
        <w:rPr>
          <w:rFonts w:eastAsia="Times New Roman"/>
          <w:color w:val="000000"/>
          <w:sz w:val="20"/>
          <w:szCs w:val="20"/>
        </w:rPr>
        <w:t>4</w:t>
      </w:r>
    </w:p>
    <w:p w:rsidR="00000000" w:rsidRDefault="00775A8F">
      <w:pPr>
        <w:rPr>
          <w:rFonts w:eastAsia="Times New Roman"/>
        </w:rPr>
      </w:pPr>
      <w:r>
        <w:rPr>
          <w:rFonts w:eastAsia="Times New Roman"/>
        </w:rPr>
        <w:pict>
          <v:rect id="_x0000_i1090" style="width:0;height:1.5pt" o:hralign="center" o:hrstd="t" o:hr="t" fillcolor="#a0a0a0" stroked="f"/>
        </w:pict>
      </w:r>
    </w:p>
    <w:p w:rsidR="00000000" w:rsidRDefault="00775A8F">
      <w:pPr>
        <w:ind w:firstLine="360"/>
        <w:divId w:val="631180936"/>
        <w:rPr>
          <w:rFonts w:eastAsia="Times New Roman"/>
        </w:rPr>
      </w:pPr>
    </w:p>
    <w:p w:rsidR="00000000" w:rsidRDefault="00775A8F">
      <w:pPr>
        <w:ind w:hanging="360"/>
        <w:jc w:val="both"/>
        <w:divId w:val="1648585647"/>
        <w:rPr>
          <w:rFonts w:eastAsia="Times New Roman"/>
        </w:rPr>
      </w:pPr>
      <w:r>
        <w:rPr>
          <w:rFonts w:eastAsia="Times New Roman"/>
          <w:color w:val="000000"/>
          <w:sz w:val="20"/>
          <w:szCs w:val="20"/>
        </w:rPr>
        <w:t>•</w:t>
      </w:r>
      <w:r>
        <w:rPr>
          <w:rFonts w:eastAsia="Times New Roman"/>
          <w:color w:val="000000"/>
          <w:sz w:val="20"/>
          <w:szCs w:val="20"/>
        </w:rPr>
        <w:t>sales commissions and compensation paid to intermediaries and advisors that distribute our products and service</w:t>
      </w:r>
      <w:r>
        <w:rPr>
          <w:rFonts w:eastAsia="Times New Roman"/>
          <w:color w:val="000000"/>
          <w:sz w:val="20"/>
          <w:szCs w:val="20"/>
        </w:rPr>
        <w:t>s; an</w:t>
      </w:r>
      <w:r>
        <w:rPr>
          <w:rFonts w:eastAsia="Times New Roman"/>
          <w:color w:val="000000"/>
          <w:sz w:val="20"/>
          <w:szCs w:val="20"/>
        </w:rPr>
        <w:t>d</w:t>
      </w:r>
    </w:p>
    <w:p w:rsidR="00000000" w:rsidRDefault="00775A8F">
      <w:pPr>
        <w:ind w:hanging="360"/>
        <w:divId w:val="893658084"/>
        <w:rPr>
          <w:rFonts w:eastAsia="Times New Roman"/>
        </w:rPr>
      </w:pPr>
      <w:r>
        <w:rPr>
          <w:rFonts w:eastAsia="Times New Roman"/>
          <w:color w:val="000000"/>
          <w:sz w:val="20"/>
          <w:szCs w:val="20"/>
        </w:rPr>
        <w:t>•</w:t>
      </w:r>
      <w:r>
        <w:rPr>
          <w:rFonts w:eastAsia="Times New Roman"/>
          <w:color w:val="000000"/>
          <w:sz w:val="20"/>
          <w:szCs w:val="20"/>
        </w:rPr>
        <w:t>compensation and benefits provided to our employees and other operating expenses</w:t>
      </w:r>
      <w:r>
        <w:rPr>
          <w:rFonts w:eastAsia="Times New Roman"/>
          <w:color w:val="000000"/>
          <w:sz w:val="20"/>
          <w:szCs w:val="20"/>
        </w:rPr>
        <w:t>.</w:t>
      </w:r>
    </w:p>
    <w:p w:rsidR="00000000" w:rsidRDefault="00775A8F">
      <w:pPr>
        <w:ind w:firstLine="360"/>
        <w:divId w:val="2033413250"/>
        <w:rPr>
          <w:rFonts w:eastAsia="Times New Roman"/>
        </w:rPr>
      </w:pPr>
      <w:r>
        <w:rPr>
          <w:rFonts w:eastAsia="Times New Roman"/>
          <w:color w:val="000000"/>
          <w:sz w:val="20"/>
          <w:szCs w:val="20"/>
        </w:rPr>
        <w:t>Policyholders’ benefits are driven primarily by mortality, customer withdrawals, and benefits which change in response to changes in capital market conditions. In add</w:t>
      </w:r>
      <w:r>
        <w:rPr>
          <w:rFonts w:eastAsia="Times New Roman"/>
          <w:color w:val="000000"/>
          <w:sz w:val="20"/>
          <w:szCs w:val="20"/>
        </w:rPr>
        <w:t>ition, some of our policyholders’ benefits are directly tied to the AV and benefit base of our variable annuity products. Interest credited to policyholders varies in relation to the amount of the underlying AV or benefit base. Sales commissions and compen</w:t>
      </w:r>
      <w:r>
        <w:rPr>
          <w:rFonts w:eastAsia="Times New Roman"/>
          <w:color w:val="000000"/>
          <w:sz w:val="20"/>
          <w:szCs w:val="20"/>
        </w:rPr>
        <w:t xml:space="preserve">sation paid to intermediaries and advisors vary in relation to premium and fee income generated from these sources, whereas compensation and benefits to our employees are more constant and impacted by market wages and decline with increases in efficiency. </w:t>
      </w:r>
      <w:r>
        <w:rPr>
          <w:rFonts w:eastAsia="Times New Roman"/>
          <w:color w:val="000000"/>
          <w:sz w:val="20"/>
          <w:szCs w:val="20"/>
        </w:rPr>
        <w:t>Our ability to manage these expenses across various economic cycles and products is critical to the profitability of our company</w:t>
      </w:r>
      <w:r>
        <w:rPr>
          <w:rFonts w:eastAsia="Times New Roman"/>
          <w:color w:val="000000"/>
          <w:sz w:val="20"/>
          <w:szCs w:val="20"/>
        </w:rPr>
        <w:t>.</w:t>
      </w:r>
    </w:p>
    <w:p w:rsidR="00000000" w:rsidRDefault="00775A8F">
      <w:pPr>
        <w:jc w:val="both"/>
        <w:divId w:val="1611401303"/>
        <w:rPr>
          <w:rFonts w:eastAsia="Times New Roman"/>
        </w:rPr>
      </w:pPr>
      <w:r>
        <w:rPr>
          <w:rFonts w:eastAsia="Times New Roman"/>
          <w:b/>
          <w:bCs/>
          <w:i/>
          <w:iCs/>
          <w:color w:val="000000"/>
          <w:sz w:val="20"/>
          <w:szCs w:val="20"/>
        </w:rPr>
        <w:t>Net Income Volatilit</w:t>
      </w:r>
      <w:r>
        <w:rPr>
          <w:rFonts w:eastAsia="Times New Roman"/>
          <w:b/>
          <w:bCs/>
          <w:i/>
          <w:iCs/>
          <w:color w:val="000000"/>
          <w:sz w:val="20"/>
          <w:szCs w:val="20"/>
        </w:rPr>
        <w:t>y</w:t>
      </w:r>
    </w:p>
    <w:p w:rsidR="00000000" w:rsidRDefault="00775A8F">
      <w:pPr>
        <w:ind w:firstLine="360"/>
        <w:divId w:val="2075618176"/>
        <w:rPr>
          <w:rFonts w:eastAsia="Times New Roman"/>
        </w:rPr>
      </w:pPr>
      <w:r>
        <w:rPr>
          <w:rFonts w:eastAsia="Times New Roman"/>
          <w:color w:val="000000"/>
          <w:sz w:val="20"/>
          <w:szCs w:val="20"/>
        </w:rPr>
        <w:t>We have offered and continue to offer variable annuity products with GMxB features. The future claims ex</w:t>
      </w:r>
      <w:r>
        <w:rPr>
          <w:rFonts w:eastAsia="Times New Roman"/>
          <w:color w:val="000000"/>
          <w:sz w:val="20"/>
          <w:szCs w:val="20"/>
        </w:rPr>
        <w:t>posure on these features is sensitive to movements in the equity markets and interest rates. Accordingly, we have implemented hedging and reinsurance programs designed to mitigate the economic exposure to us from these features due to equity market and int</w:t>
      </w:r>
      <w:r>
        <w:rPr>
          <w:rFonts w:eastAsia="Times New Roman"/>
          <w:color w:val="000000"/>
          <w:sz w:val="20"/>
          <w:szCs w:val="20"/>
        </w:rPr>
        <w:t>erest rate movements. Changes in the values of the derivatives associated with these programs due to equity market and interest rate movements are recognized in the periods in which they occur while corresponding changes in offsetting liabilities not measu</w:t>
      </w:r>
      <w:r>
        <w:rPr>
          <w:rFonts w:eastAsia="Times New Roman"/>
          <w:color w:val="000000"/>
          <w:sz w:val="20"/>
          <w:szCs w:val="20"/>
        </w:rPr>
        <w:t>red at fair value are recognized over time. This results in net income volatility as further described below. See “—Significant Factors Impacting Our Results—Impact of Hedging and GMIB Reinsurance on Results.</w:t>
      </w:r>
      <w:r>
        <w:rPr>
          <w:rFonts w:eastAsia="Times New Roman"/>
          <w:color w:val="000000"/>
          <w:sz w:val="20"/>
          <w:szCs w:val="20"/>
        </w:rPr>
        <w:t>”</w:t>
      </w:r>
    </w:p>
    <w:p w:rsidR="00000000" w:rsidRDefault="00775A8F">
      <w:pPr>
        <w:ind w:firstLine="360"/>
        <w:divId w:val="678040540"/>
        <w:rPr>
          <w:rFonts w:eastAsia="Times New Roman"/>
        </w:rPr>
      </w:pPr>
      <w:r>
        <w:rPr>
          <w:rFonts w:eastAsia="Times New Roman"/>
          <w:color w:val="000000"/>
          <w:sz w:val="20"/>
          <w:szCs w:val="20"/>
        </w:rPr>
        <w:t>In addition to our dynamic hedging strategy, w</w:t>
      </w:r>
      <w:r>
        <w:rPr>
          <w:rFonts w:eastAsia="Times New Roman"/>
          <w:color w:val="000000"/>
          <w:sz w:val="20"/>
          <w:szCs w:val="20"/>
        </w:rPr>
        <w:t>e have static hedge positions designed to mitigate the adverse impact of changing market conditions on our statutory capital. We believe this program will continue to preserve the economic value of our variable annuity contracts and better protect our targ</w:t>
      </w:r>
      <w:r>
        <w:rPr>
          <w:rFonts w:eastAsia="Times New Roman"/>
          <w:color w:val="000000"/>
          <w:sz w:val="20"/>
          <w:szCs w:val="20"/>
        </w:rPr>
        <w:t>et variable annuity asset level. However, these static hedge positions increase the size of our derivative positions and may result in higher net income volatility on a period-over-period basis</w:t>
      </w:r>
      <w:r>
        <w:rPr>
          <w:rFonts w:eastAsia="Times New Roman"/>
          <w:color w:val="000000"/>
          <w:sz w:val="20"/>
          <w:szCs w:val="20"/>
        </w:rPr>
        <w:t>.</w:t>
      </w:r>
    </w:p>
    <w:p w:rsidR="00000000" w:rsidRDefault="00775A8F">
      <w:pPr>
        <w:ind w:firstLine="360"/>
        <w:divId w:val="2129665064"/>
        <w:rPr>
          <w:rFonts w:eastAsia="Times New Roman"/>
        </w:rPr>
      </w:pPr>
      <w:r>
        <w:rPr>
          <w:rFonts w:eastAsia="Times New Roman"/>
          <w:color w:val="000000"/>
          <w:sz w:val="20"/>
          <w:szCs w:val="20"/>
        </w:rPr>
        <w:t>Due to the impacts on our net income of equity market and int</w:t>
      </w:r>
      <w:r>
        <w:rPr>
          <w:rFonts w:eastAsia="Times New Roman"/>
          <w:color w:val="000000"/>
          <w:sz w:val="20"/>
          <w:szCs w:val="20"/>
        </w:rPr>
        <w:t>erest rate movements and other items that are not part of the underlying profitability drivers of our business, we evaluate and manage our business performance using Non-GAAP Operating Earnings, a non-GAAP financial measure that is intended to remove these</w:t>
      </w:r>
      <w:r>
        <w:rPr>
          <w:rFonts w:eastAsia="Times New Roman"/>
          <w:color w:val="000000"/>
          <w:sz w:val="20"/>
          <w:szCs w:val="20"/>
        </w:rPr>
        <w:t xml:space="preserve"> impacts from our results. See “—Key Operating Measures—Non-GAAP Operating Earnings.</w:t>
      </w:r>
      <w:r>
        <w:rPr>
          <w:rFonts w:eastAsia="Times New Roman"/>
          <w:color w:val="000000"/>
          <w:sz w:val="20"/>
          <w:szCs w:val="20"/>
        </w:rPr>
        <w:t>”</w:t>
      </w:r>
    </w:p>
    <w:p w:rsidR="00000000" w:rsidRDefault="00775A8F">
      <w:pPr>
        <w:divId w:val="969213467"/>
        <w:rPr>
          <w:rFonts w:eastAsia="Times New Roman"/>
        </w:rPr>
      </w:pPr>
      <w:r>
        <w:rPr>
          <w:rFonts w:eastAsia="Times New Roman"/>
          <w:b/>
          <w:bCs/>
          <w:color w:val="000000"/>
          <w:sz w:val="20"/>
          <w:szCs w:val="20"/>
        </w:rPr>
        <w:t>Significant Factors Impacting Our Results</w:t>
      </w:r>
      <w:r>
        <w:rPr>
          <w:rFonts w:eastAsia="Times New Roman"/>
          <w:b/>
          <w:bCs/>
          <w:color w:val="000000"/>
          <w:sz w:val="20"/>
          <w:szCs w:val="20"/>
        </w:rPr>
        <w:t xml:space="preserve"> </w:t>
      </w:r>
    </w:p>
    <w:p w:rsidR="00000000" w:rsidRDefault="00775A8F">
      <w:pPr>
        <w:ind w:firstLine="360"/>
        <w:divId w:val="999698060"/>
        <w:rPr>
          <w:rFonts w:eastAsia="Times New Roman"/>
        </w:rPr>
      </w:pPr>
      <w:r>
        <w:rPr>
          <w:rFonts w:eastAsia="Times New Roman"/>
          <w:color w:val="000000"/>
          <w:sz w:val="20"/>
          <w:szCs w:val="20"/>
        </w:rPr>
        <w:t>The following significant factors have impacted, and may in the future impact, our financial condition, results of operations o</w:t>
      </w:r>
      <w:r>
        <w:rPr>
          <w:rFonts w:eastAsia="Times New Roman"/>
          <w:color w:val="000000"/>
          <w:sz w:val="20"/>
          <w:szCs w:val="20"/>
        </w:rPr>
        <w:t>r cash flows.</w:t>
      </w:r>
      <w:r>
        <w:rPr>
          <w:rFonts w:eastAsia="Times New Roman"/>
          <w:color w:val="000000"/>
          <w:sz w:val="20"/>
          <w:szCs w:val="20"/>
        </w:rPr>
        <w:t xml:space="preserve"> </w:t>
      </w:r>
    </w:p>
    <w:p w:rsidR="00000000" w:rsidRDefault="00775A8F">
      <w:pPr>
        <w:jc w:val="both"/>
        <w:divId w:val="1378243441"/>
        <w:rPr>
          <w:rFonts w:eastAsia="Times New Roman"/>
        </w:rPr>
      </w:pPr>
      <w:r>
        <w:rPr>
          <w:rFonts w:eastAsia="Times New Roman"/>
          <w:b/>
          <w:bCs/>
          <w:i/>
          <w:iCs/>
          <w:color w:val="000000"/>
          <w:sz w:val="20"/>
          <w:szCs w:val="20"/>
        </w:rPr>
        <w:t>Impact of Hedging and GMIB Reinsurance on Results</w:t>
      </w:r>
      <w:r>
        <w:rPr>
          <w:rFonts w:eastAsia="Times New Roman"/>
          <w:b/>
          <w:bCs/>
          <w:i/>
          <w:iCs/>
          <w:color w:val="000000"/>
          <w:sz w:val="20"/>
          <w:szCs w:val="20"/>
        </w:rPr>
        <w:t xml:space="preserve"> </w:t>
      </w:r>
    </w:p>
    <w:p w:rsidR="00000000" w:rsidRDefault="00775A8F">
      <w:pPr>
        <w:ind w:firstLine="360"/>
        <w:divId w:val="1127820323"/>
        <w:rPr>
          <w:rFonts w:eastAsia="Times New Roman"/>
        </w:rPr>
      </w:pPr>
      <w:r>
        <w:rPr>
          <w:rFonts w:eastAsia="Times New Roman"/>
          <w:color w:val="000000"/>
          <w:sz w:val="20"/>
          <w:szCs w:val="20"/>
        </w:rPr>
        <w:t xml:space="preserve">We have offered and continue to offer variable annuity products with GMxB features. The future claims exposure on these features is sensitive to movements in the equity markets and interest </w:t>
      </w:r>
      <w:r>
        <w:rPr>
          <w:rFonts w:eastAsia="Times New Roman"/>
          <w:color w:val="000000"/>
          <w:sz w:val="20"/>
          <w:szCs w:val="20"/>
        </w:rPr>
        <w:t>rates. Accordingly, we have implemented hedging and reinsurance programs designed to mitigate the economic exposure to us from these features due to equity market and interest rate movements. These programs include:</w:t>
      </w:r>
      <w:r>
        <w:rPr>
          <w:rFonts w:eastAsia="Times New Roman"/>
          <w:color w:val="000000"/>
          <w:sz w:val="20"/>
          <w:szCs w:val="20"/>
        </w:rPr>
        <w:t xml:space="preserve"> </w:t>
      </w:r>
    </w:p>
    <w:p w:rsidR="00000000" w:rsidRDefault="00775A8F">
      <w:pPr>
        <w:ind w:hanging="360"/>
        <w:jc w:val="both"/>
        <w:divId w:val="1657025322"/>
        <w:rPr>
          <w:rFonts w:eastAsia="Times New Roman"/>
        </w:rPr>
      </w:pPr>
      <w:r>
        <w:rPr>
          <w:rFonts w:eastAsia="Times New Roman"/>
          <w:color w:val="000000"/>
          <w:sz w:val="20"/>
          <w:szCs w:val="20"/>
        </w:rPr>
        <w:t>•</w:t>
      </w:r>
      <w:r>
        <w:rPr>
          <w:rFonts w:eastAsia="Times New Roman"/>
          <w:i/>
          <w:iCs/>
          <w:color w:val="000000"/>
          <w:sz w:val="20"/>
          <w:szCs w:val="20"/>
        </w:rPr>
        <w:t>Variable annuity hedging programs.</w:t>
      </w:r>
      <w:r>
        <w:rPr>
          <w:rFonts w:eastAsia="Times New Roman"/>
          <w:i/>
          <w:iCs/>
          <w:color w:val="000000"/>
          <w:sz w:val="20"/>
          <w:szCs w:val="20"/>
        </w:rPr>
        <w:t xml:space="preserve"> </w:t>
      </w:r>
      <w:r>
        <w:rPr>
          <w:rFonts w:eastAsia="Times New Roman"/>
          <w:color w:val="000000"/>
          <w:sz w:val="20"/>
          <w:szCs w:val="20"/>
        </w:rPr>
        <w:t xml:space="preserve">We </w:t>
      </w:r>
      <w:r>
        <w:rPr>
          <w:rFonts w:eastAsia="Times New Roman"/>
          <w:color w:val="000000"/>
          <w:sz w:val="20"/>
          <w:szCs w:val="20"/>
        </w:rPr>
        <w:t>use a dynamic hedging program (within this program, generally, we reevaluate our economic exposure at least daily and rebalance our hedge positions accordingly) to mitigate certain risks associated with the GMxB features that are embedded in our liabilitie</w:t>
      </w:r>
      <w:r>
        <w:rPr>
          <w:rFonts w:eastAsia="Times New Roman"/>
          <w:color w:val="000000"/>
          <w:sz w:val="20"/>
          <w:szCs w:val="20"/>
        </w:rPr>
        <w:t>s for our variable annuity products. This program utilizes various derivative instruments that are managed in an effort to reduce the economic impact of unfavorable changes in GMxB features’ exposures attributable to movements in the equity markets and int</w:t>
      </w:r>
      <w:r>
        <w:rPr>
          <w:rFonts w:eastAsia="Times New Roman"/>
          <w:color w:val="000000"/>
          <w:sz w:val="20"/>
          <w:szCs w:val="20"/>
        </w:rPr>
        <w:t>erest rates. Although this program is designed to provide a measure of economic protection against the impact of adverse market conditions, it does not qualify for hedge accounting treatment. Accordingly, changes in value of the derivatives will be recogni</w:t>
      </w:r>
      <w:r>
        <w:rPr>
          <w:rFonts w:eastAsia="Times New Roman"/>
          <w:color w:val="000000"/>
          <w:sz w:val="20"/>
          <w:szCs w:val="20"/>
        </w:rPr>
        <w:t>zed in the period in which they occur with offsetting changes in reserves partially recognized in the current period, resulting in net income volatility. In addition to our dynamic hedging program, we have a hedging program using static hedge positions (de</w:t>
      </w:r>
      <w:r>
        <w:rPr>
          <w:rFonts w:eastAsia="Times New Roman"/>
          <w:color w:val="000000"/>
          <w:sz w:val="20"/>
          <w:szCs w:val="20"/>
        </w:rPr>
        <w:t>rivative positions intended to be held to maturity with less frequent re-balancing) to protect our statutory capital against stress scenarios. This program in addition to our dynamic hedge program has increased the size of our derivative positions, resulti</w:t>
      </w:r>
      <w:r>
        <w:rPr>
          <w:rFonts w:eastAsia="Times New Roman"/>
          <w:color w:val="000000"/>
          <w:sz w:val="20"/>
          <w:szCs w:val="20"/>
        </w:rPr>
        <w:t>ng in an increase in net income volatility. The impacts are most pronounced for variable annuity products in our Individual Retirement segment.</w:t>
      </w:r>
      <w:r>
        <w:rPr>
          <w:rFonts w:eastAsia="Times New Roman"/>
          <w:color w:val="000000"/>
          <w:sz w:val="20"/>
          <w:szCs w:val="20"/>
        </w:rPr>
        <w:t xml:space="preserve"> </w:t>
      </w:r>
    </w:p>
    <w:p w:rsidR="00000000" w:rsidRDefault="00775A8F">
      <w:pPr>
        <w:ind w:hanging="360"/>
        <w:jc w:val="both"/>
        <w:divId w:val="1582719506"/>
        <w:rPr>
          <w:rFonts w:eastAsia="Times New Roman"/>
        </w:rPr>
      </w:pPr>
      <w:r>
        <w:rPr>
          <w:rFonts w:eastAsia="Times New Roman"/>
          <w:color w:val="000000"/>
          <w:sz w:val="20"/>
          <w:szCs w:val="20"/>
        </w:rPr>
        <w:t>•</w:t>
      </w:r>
      <w:r>
        <w:rPr>
          <w:rFonts w:eastAsia="Times New Roman"/>
          <w:i/>
          <w:iCs/>
          <w:color w:val="000000"/>
          <w:sz w:val="20"/>
          <w:szCs w:val="20"/>
        </w:rPr>
        <w:t>GMIB reinsurance contracts.</w:t>
      </w:r>
      <w:r>
        <w:rPr>
          <w:rFonts w:eastAsia="Times New Roman"/>
          <w:i/>
          <w:iCs/>
          <w:color w:val="000000"/>
          <w:sz w:val="20"/>
          <w:szCs w:val="20"/>
        </w:rPr>
        <w:t xml:space="preserve"> </w:t>
      </w:r>
      <w:r>
        <w:rPr>
          <w:rFonts w:eastAsia="Times New Roman"/>
          <w:color w:val="000000"/>
          <w:sz w:val="20"/>
          <w:szCs w:val="20"/>
        </w:rPr>
        <w:t>Historically, GMIB reinsurance contracts were used to cede to non-affiliated reinsurers a portion of our exposure to variable annuity products that offer a GMIB feature. We account for the GMIB reinsurance</w:t>
      </w:r>
      <w:r>
        <w:rPr>
          <w:rFonts w:eastAsia="Times New Roman"/>
          <w:color w:val="000000"/>
          <w:sz w:val="20"/>
          <w:szCs w:val="20"/>
        </w:rPr>
        <w:t xml:space="preserve"> </w:t>
      </w:r>
    </w:p>
    <w:p w:rsidR="00000000" w:rsidRDefault="00775A8F">
      <w:pPr>
        <w:jc w:val="center"/>
        <w:divId w:val="1624341020"/>
        <w:rPr>
          <w:rFonts w:eastAsia="Times New Roman"/>
        </w:rPr>
      </w:pPr>
      <w:r>
        <w:rPr>
          <w:rFonts w:eastAsia="Times New Roman"/>
          <w:color w:val="000000"/>
          <w:sz w:val="20"/>
          <w:szCs w:val="20"/>
        </w:rPr>
        <w:t>6</w:t>
      </w:r>
      <w:r>
        <w:rPr>
          <w:rFonts w:eastAsia="Times New Roman"/>
          <w:color w:val="000000"/>
          <w:sz w:val="20"/>
          <w:szCs w:val="20"/>
        </w:rPr>
        <w:t>5</w:t>
      </w:r>
    </w:p>
    <w:p w:rsidR="00000000" w:rsidRDefault="00775A8F">
      <w:pPr>
        <w:rPr>
          <w:rFonts w:eastAsia="Times New Roman"/>
        </w:rPr>
      </w:pPr>
      <w:r>
        <w:rPr>
          <w:rFonts w:eastAsia="Times New Roman"/>
        </w:rPr>
        <w:pict>
          <v:rect id="_x0000_i1091" style="width:0;height:1.5pt" o:hralign="center" o:hrstd="t" o:hr="t" fillcolor="#a0a0a0" stroked="f"/>
        </w:pict>
      </w:r>
    </w:p>
    <w:p w:rsidR="00000000" w:rsidRDefault="00775A8F">
      <w:pPr>
        <w:ind w:firstLine="360"/>
        <w:divId w:val="1313169696"/>
        <w:rPr>
          <w:rFonts w:eastAsia="Times New Roman"/>
        </w:rPr>
      </w:pPr>
    </w:p>
    <w:p w:rsidR="00000000" w:rsidRDefault="00775A8F">
      <w:pPr>
        <w:jc w:val="both"/>
        <w:divId w:val="2063677861"/>
        <w:rPr>
          <w:rFonts w:eastAsia="Times New Roman"/>
        </w:rPr>
      </w:pPr>
      <w:r>
        <w:rPr>
          <w:rFonts w:eastAsia="Times New Roman"/>
          <w:color w:val="000000"/>
          <w:sz w:val="20"/>
          <w:szCs w:val="20"/>
        </w:rPr>
        <w:t>contracts as derivatives and report them at fair value. Gross GMIB reserves are calculated on the basis of assumptions related to projected benefits and related contract charges over the lives of the contracts. Accordi</w:t>
      </w:r>
      <w:r>
        <w:rPr>
          <w:rFonts w:eastAsia="Times New Roman"/>
          <w:color w:val="000000"/>
          <w:sz w:val="20"/>
          <w:szCs w:val="20"/>
        </w:rPr>
        <w:t>ngly, our gross reserves will not immediately reflect the offsetting impact on future claims exposure resulting from the same capital market or interest rate fluctuations that cause gains or losses on the fair value of the GMIB reinsurance contracts. Becau</w:t>
      </w:r>
      <w:r>
        <w:rPr>
          <w:rFonts w:eastAsia="Times New Roman"/>
          <w:color w:val="000000"/>
          <w:sz w:val="20"/>
          <w:szCs w:val="20"/>
        </w:rPr>
        <w:t>se changes in the fair value of the GMIB reinsurance contracts are recorded in the period in which they occur and a majority of the changes in gross reserves for GMIB are recognized over time, net income will be more volatile.</w:t>
      </w:r>
      <w:r>
        <w:rPr>
          <w:rFonts w:eastAsia="Times New Roman"/>
          <w:color w:val="000000"/>
          <w:sz w:val="20"/>
          <w:szCs w:val="20"/>
        </w:rPr>
        <w:t xml:space="preserve"> </w:t>
      </w:r>
    </w:p>
    <w:p w:rsidR="00000000" w:rsidRDefault="00775A8F">
      <w:pPr>
        <w:jc w:val="both"/>
        <w:divId w:val="331877699"/>
        <w:rPr>
          <w:rFonts w:eastAsia="Times New Roman"/>
        </w:rPr>
      </w:pPr>
      <w:r>
        <w:rPr>
          <w:rFonts w:eastAsia="Times New Roman"/>
          <w:b/>
          <w:bCs/>
          <w:i/>
          <w:iCs/>
          <w:color w:val="000000"/>
          <w:sz w:val="20"/>
          <w:szCs w:val="20"/>
        </w:rPr>
        <w:t>Effect of Assumption Updates</w:t>
      </w:r>
      <w:r>
        <w:rPr>
          <w:rFonts w:eastAsia="Times New Roman"/>
          <w:b/>
          <w:bCs/>
          <w:i/>
          <w:iCs/>
          <w:color w:val="000000"/>
          <w:sz w:val="20"/>
          <w:szCs w:val="20"/>
        </w:rPr>
        <w:t xml:space="preserve"> on Operating Results</w:t>
      </w:r>
      <w:r>
        <w:rPr>
          <w:rFonts w:eastAsia="Times New Roman"/>
          <w:b/>
          <w:bCs/>
          <w:i/>
          <w:iCs/>
          <w:color w:val="000000"/>
          <w:sz w:val="20"/>
          <w:szCs w:val="20"/>
        </w:rPr>
        <w:t xml:space="preserve"> </w:t>
      </w:r>
    </w:p>
    <w:p w:rsidR="00000000" w:rsidRDefault="00775A8F">
      <w:pPr>
        <w:ind w:firstLine="360"/>
        <w:divId w:val="1058359019"/>
        <w:rPr>
          <w:rFonts w:eastAsia="Times New Roman"/>
        </w:rPr>
      </w:pPr>
      <w:r>
        <w:rPr>
          <w:rFonts w:eastAsia="Times New Roman"/>
          <w:color w:val="000000"/>
          <w:sz w:val="20"/>
          <w:szCs w:val="20"/>
        </w:rPr>
        <w:t>Our actuaries oversee the valuation of the product liabilities and assets and review the underlying inputs and assumptions. We comprehensively review the actuarial assumptions underlying these valuations and update assumptions during</w:t>
      </w:r>
      <w:r>
        <w:rPr>
          <w:rFonts w:eastAsia="Times New Roman"/>
          <w:color w:val="000000"/>
          <w:sz w:val="20"/>
          <w:szCs w:val="20"/>
        </w:rPr>
        <w:t xml:space="preserve"> the third quarter of each year. Assumptions are based on a combination of Company experience, industry experience, management actions and expert judgment and reflect our best estimate as of the date of the applicable financial statements. Changes in assum</w:t>
      </w:r>
      <w:r>
        <w:rPr>
          <w:rFonts w:eastAsia="Times New Roman"/>
          <w:color w:val="000000"/>
          <w:sz w:val="20"/>
          <w:szCs w:val="20"/>
        </w:rPr>
        <w:t>ptions can result in a significant change to the carrying value of product liabilities and assets and, consequently, the impact could be material to earnings in the period of the change</w:t>
      </w:r>
      <w:r>
        <w:rPr>
          <w:rFonts w:eastAsia="Times New Roman"/>
          <w:color w:val="000000"/>
          <w:sz w:val="20"/>
          <w:szCs w:val="20"/>
        </w:rPr>
        <w:t>.</w:t>
      </w:r>
    </w:p>
    <w:p w:rsidR="00000000" w:rsidRDefault="00775A8F">
      <w:pPr>
        <w:ind w:firstLine="360"/>
        <w:divId w:val="1325277959"/>
        <w:rPr>
          <w:rFonts w:eastAsia="Times New Roman"/>
        </w:rPr>
      </w:pPr>
      <w:r>
        <w:rPr>
          <w:rFonts w:eastAsia="Times New Roman"/>
          <w:color w:val="000000"/>
          <w:sz w:val="20"/>
          <w:szCs w:val="20"/>
        </w:rPr>
        <w:t>Most of the variable annuity products, variable universal life insura</w:t>
      </w:r>
      <w:r>
        <w:rPr>
          <w:rFonts w:eastAsia="Times New Roman"/>
          <w:color w:val="000000"/>
          <w:sz w:val="20"/>
          <w:szCs w:val="20"/>
        </w:rPr>
        <w:t xml:space="preserve">nce and universal life insurance products we offer maintain policyholder deposits that are reported as liabilities and classified within either Separate Accounts liabilities or policyholder account balances. Our products and riders also impact liabilities </w:t>
      </w:r>
      <w:r>
        <w:rPr>
          <w:rFonts w:eastAsia="Times New Roman"/>
          <w:color w:val="000000"/>
          <w:sz w:val="20"/>
          <w:szCs w:val="20"/>
        </w:rPr>
        <w:t>for future policyholder benefits and unearned revenues and assets for DAC and DSI. The valuation of these assets and liabilities (other than deposits) are based on differing accounting methods depending on the product, each of which requires numerous assum</w:t>
      </w:r>
      <w:r>
        <w:rPr>
          <w:rFonts w:eastAsia="Times New Roman"/>
          <w:color w:val="000000"/>
          <w:sz w:val="20"/>
          <w:szCs w:val="20"/>
        </w:rPr>
        <w:t>ptions and considerable judgment. The accounting guidance applied in the valuation of these assets and liabilities includes, but is not limited to, the following: (i) traditional life insurance products for which assumptions are locked in at inception; (ii</w:t>
      </w:r>
      <w:r>
        <w:rPr>
          <w:rFonts w:eastAsia="Times New Roman"/>
          <w:color w:val="000000"/>
          <w:sz w:val="20"/>
          <w:szCs w:val="20"/>
        </w:rPr>
        <w:t>) universal life insurance and variable life insurance secondary guarantees for which benefit liabilities are determined by estimating the expected value of death benefits payable when the account balance is projected to be zero and recognizing those benef</w:t>
      </w:r>
      <w:r>
        <w:rPr>
          <w:rFonts w:eastAsia="Times New Roman"/>
          <w:color w:val="000000"/>
          <w:sz w:val="20"/>
          <w:szCs w:val="20"/>
        </w:rPr>
        <w:t xml:space="preserve">its ratably over the accumulation period based on total expected assessments; (iii) certain product guarantees for which benefit liabilities are accrued over the life of the contract in proportion to actual and future expected policy assessments; and (iv) </w:t>
      </w:r>
      <w:r>
        <w:rPr>
          <w:rFonts w:eastAsia="Times New Roman"/>
          <w:color w:val="000000"/>
          <w:sz w:val="20"/>
          <w:szCs w:val="20"/>
        </w:rPr>
        <w:t>certain product guarantees reported as embedded derivatives at fair value.</w:t>
      </w:r>
      <w:r>
        <w:rPr>
          <w:rFonts w:eastAsia="Times New Roman"/>
          <w:color w:val="000000"/>
          <w:sz w:val="20"/>
          <w:szCs w:val="20"/>
        </w:rPr>
        <w:t xml:space="preserve"> </w:t>
      </w:r>
    </w:p>
    <w:p w:rsidR="00000000" w:rsidRDefault="00775A8F">
      <w:pPr>
        <w:ind w:firstLine="360"/>
        <w:divId w:val="1190602298"/>
        <w:rPr>
          <w:rFonts w:eastAsia="Times New Roman"/>
        </w:rPr>
      </w:pPr>
      <w:r>
        <w:rPr>
          <w:rFonts w:eastAsia="Times New Roman"/>
          <w:color w:val="000000"/>
          <w:sz w:val="20"/>
          <w:szCs w:val="20"/>
        </w:rPr>
        <w:t>For further details of our accounting policies and related judgments pertaining to assumption updates, see Note 2  to the Notes to the Company’s consolidated financial statements a</w:t>
      </w:r>
      <w:r>
        <w:rPr>
          <w:rFonts w:eastAsia="Times New Roman"/>
          <w:color w:val="000000"/>
          <w:sz w:val="20"/>
          <w:szCs w:val="20"/>
        </w:rPr>
        <w:t>nd “-Summary of Critical Accounting Estimates -Liability for Future Policy Benefits” included in the 2019 Form 10-K</w:t>
      </w:r>
      <w:r>
        <w:rPr>
          <w:rFonts w:eastAsia="Times New Roman"/>
          <w:color w:val="000000"/>
          <w:sz w:val="20"/>
          <w:szCs w:val="20"/>
        </w:rPr>
        <w:t>.</w:t>
      </w:r>
    </w:p>
    <w:p w:rsidR="00000000" w:rsidRDefault="00775A8F">
      <w:pPr>
        <w:jc w:val="both"/>
        <w:divId w:val="447049843"/>
        <w:rPr>
          <w:rFonts w:eastAsia="Times New Roman"/>
        </w:rPr>
      </w:pPr>
      <w:r>
        <w:rPr>
          <w:rFonts w:eastAsia="Times New Roman"/>
          <w:b/>
          <w:bCs/>
          <w:i/>
          <w:iCs/>
          <w:color w:val="000000"/>
          <w:sz w:val="20"/>
          <w:szCs w:val="20"/>
        </w:rPr>
        <w:t>Assumption Updates and Model Change</w:t>
      </w:r>
      <w:r>
        <w:rPr>
          <w:rFonts w:eastAsia="Times New Roman"/>
          <w:b/>
          <w:bCs/>
          <w:i/>
          <w:iCs/>
          <w:color w:val="000000"/>
          <w:sz w:val="20"/>
          <w:szCs w:val="20"/>
        </w:rPr>
        <w:t>s</w:t>
      </w:r>
    </w:p>
    <w:p w:rsidR="00000000" w:rsidRDefault="00775A8F">
      <w:pPr>
        <w:ind w:firstLine="360"/>
        <w:divId w:val="252474001"/>
        <w:rPr>
          <w:rFonts w:eastAsia="Times New Roman"/>
        </w:rPr>
      </w:pPr>
      <w:r>
        <w:rPr>
          <w:rFonts w:eastAsia="Times New Roman"/>
          <w:color w:val="000000"/>
          <w:sz w:val="20"/>
          <w:szCs w:val="20"/>
        </w:rPr>
        <w:t>We conduct our annual review of our assumptions and models during the third quarter of each year. Howe</w:t>
      </w:r>
      <w:r>
        <w:rPr>
          <w:rFonts w:eastAsia="Times New Roman"/>
          <w:color w:val="000000"/>
          <w:sz w:val="20"/>
          <w:szCs w:val="20"/>
        </w:rPr>
        <w:t xml:space="preserve">ver, we update our assumptions as needed in the event we become aware of economic conditions or events that could require a change in our assumptions that we believe may have a significant impact to the carrying value of product liabilities and assets and </w:t>
      </w:r>
      <w:r>
        <w:rPr>
          <w:rFonts w:eastAsia="Times New Roman"/>
          <w:color w:val="000000"/>
          <w:sz w:val="20"/>
          <w:szCs w:val="20"/>
        </w:rPr>
        <w:t>consequently materially impact our earnings in the period of the change.</w:t>
      </w:r>
      <w:r>
        <w:rPr>
          <w:rFonts w:eastAsia="Times New Roman"/>
          <w:color w:val="000000"/>
          <w:sz w:val="20"/>
          <w:szCs w:val="20"/>
        </w:rPr>
        <w:t xml:space="preserve"> </w:t>
      </w:r>
    </w:p>
    <w:p w:rsidR="00000000" w:rsidRDefault="00775A8F">
      <w:pPr>
        <w:ind w:firstLine="360"/>
        <w:divId w:val="1411582330"/>
        <w:rPr>
          <w:rFonts w:eastAsia="Times New Roman"/>
        </w:rPr>
      </w:pPr>
      <w:r>
        <w:rPr>
          <w:rFonts w:eastAsia="Times New Roman"/>
          <w:color w:val="000000"/>
          <w:sz w:val="20"/>
          <w:szCs w:val="20"/>
        </w:rPr>
        <w:t>In the first quarter of 2020, due to the extraordinary economic conditions driven by the COVID-19 pandemic, we updated our interest rate assumption to grade from the current interest</w:t>
      </w:r>
      <w:r>
        <w:rPr>
          <w:rFonts w:eastAsia="Times New Roman"/>
          <w:color w:val="000000"/>
          <w:sz w:val="20"/>
          <w:szCs w:val="20"/>
        </w:rPr>
        <w:t xml:space="preserve"> rate environment to an ultimate five-year historical average over a 10-year period. As such, the 10-year U.S. Treasury yield grades from the current level to an ultimate 5-year average of 2.25%. We determined that no assumption updates were necessary in t</w:t>
      </w:r>
      <w:r>
        <w:rPr>
          <w:rFonts w:eastAsia="Times New Roman"/>
          <w:color w:val="000000"/>
          <w:sz w:val="20"/>
          <w:szCs w:val="20"/>
        </w:rPr>
        <w:t>he second quarter of 2020.</w:t>
      </w:r>
      <w:r>
        <w:rPr>
          <w:rFonts w:eastAsia="Times New Roman"/>
          <w:color w:val="000000"/>
          <w:sz w:val="20"/>
          <w:szCs w:val="20"/>
        </w:rPr>
        <w:t xml:space="preserve"> </w:t>
      </w:r>
    </w:p>
    <w:p w:rsidR="00000000" w:rsidRDefault="00775A8F">
      <w:pPr>
        <w:ind w:firstLine="360"/>
        <w:divId w:val="642806350"/>
        <w:rPr>
          <w:rFonts w:eastAsia="Times New Roman"/>
        </w:rPr>
      </w:pPr>
      <w:r>
        <w:rPr>
          <w:rFonts w:eastAsia="Times New Roman"/>
          <w:color w:val="000000"/>
          <w:sz w:val="20"/>
          <w:szCs w:val="20"/>
        </w:rPr>
        <w:t xml:space="preserve">The low interest rate environment and update to the interest rate assumption caused a loss recognition event for our life interest-sensitive products, as well as to certain run-off business included in Corporate and Other. This </w:t>
      </w:r>
      <w:r>
        <w:rPr>
          <w:rFonts w:eastAsia="Times New Roman"/>
          <w:color w:val="000000"/>
          <w:sz w:val="20"/>
          <w:szCs w:val="20"/>
        </w:rPr>
        <w:t>loss recognition event caused an acceleration of DAC amortization on our life interest-sensitive products and an increase in the premium deficiency reserve on the run-off business in the first quarter of 2020.</w:t>
      </w:r>
      <w:r>
        <w:rPr>
          <w:rFonts w:eastAsia="Times New Roman"/>
          <w:color w:val="000000"/>
          <w:sz w:val="20"/>
          <w:szCs w:val="20"/>
        </w:rPr>
        <w:t xml:space="preserve"> </w:t>
      </w:r>
    </w:p>
    <w:p w:rsidR="00000000" w:rsidRDefault="00775A8F">
      <w:pPr>
        <w:divId w:val="1403327923"/>
        <w:rPr>
          <w:rFonts w:eastAsia="Times New Roman"/>
        </w:rPr>
      </w:pPr>
      <w:r>
        <w:rPr>
          <w:rFonts w:eastAsia="Times New Roman"/>
          <w:i/>
          <w:iCs/>
          <w:color w:val="000000"/>
          <w:sz w:val="20"/>
          <w:szCs w:val="20"/>
          <w:u w:val="single"/>
        </w:rPr>
        <w:t>Impact of Assumption Updates and Model Change</w:t>
      </w:r>
      <w:r>
        <w:rPr>
          <w:rFonts w:eastAsia="Times New Roman"/>
          <w:i/>
          <w:iCs/>
          <w:color w:val="000000"/>
          <w:sz w:val="20"/>
          <w:szCs w:val="20"/>
          <w:u w:val="single"/>
        </w:rPr>
        <w:t>s on Income from Continuing Operations before income taxes and Net income (loss</w:t>
      </w:r>
      <w:r>
        <w:rPr>
          <w:rFonts w:eastAsia="Times New Roman"/>
          <w:i/>
          <w:iCs/>
          <w:color w:val="000000"/>
          <w:sz w:val="20"/>
          <w:szCs w:val="20"/>
          <w:u w:val="single"/>
        </w:rPr>
        <w:t>)</w:t>
      </w:r>
    </w:p>
    <w:p w:rsidR="00000000" w:rsidRDefault="00775A8F">
      <w:pPr>
        <w:ind w:firstLine="360"/>
        <w:divId w:val="106001759"/>
        <w:rPr>
          <w:rFonts w:eastAsia="Times New Roman"/>
        </w:rPr>
      </w:pPr>
      <w:r>
        <w:rPr>
          <w:rFonts w:eastAsia="Times New Roman"/>
          <w:color w:val="000000"/>
          <w:sz w:val="20"/>
          <w:szCs w:val="20"/>
        </w:rPr>
        <w:t>The table below presents the impact of our actuarial assumption update during the three and six months ended June 30, 2020 to our Income (loss) from continuing operations, bef</w:t>
      </w:r>
      <w:r>
        <w:rPr>
          <w:rFonts w:eastAsia="Times New Roman"/>
          <w:color w:val="000000"/>
          <w:sz w:val="20"/>
          <w:szCs w:val="20"/>
        </w:rPr>
        <w:t>ore income taxes and Net income (loss)</w:t>
      </w:r>
      <w:r>
        <w:rPr>
          <w:rFonts w:eastAsia="Times New Roman"/>
          <w:color w:val="000000"/>
          <w:sz w:val="20"/>
          <w:szCs w:val="20"/>
        </w:rPr>
        <w:t>:</w:t>
      </w:r>
    </w:p>
    <w:p w:rsidR="00000000" w:rsidRDefault="00775A8F">
      <w:pPr>
        <w:jc w:val="center"/>
        <w:divId w:val="1643609172"/>
        <w:rPr>
          <w:rFonts w:eastAsia="Times New Roman"/>
        </w:rPr>
      </w:pPr>
      <w:r>
        <w:rPr>
          <w:rFonts w:eastAsia="Times New Roman"/>
          <w:color w:val="000000"/>
          <w:sz w:val="20"/>
          <w:szCs w:val="20"/>
        </w:rPr>
        <w:t>6</w:t>
      </w:r>
      <w:r>
        <w:rPr>
          <w:rFonts w:eastAsia="Times New Roman"/>
          <w:color w:val="000000"/>
          <w:sz w:val="20"/>
          <w:szCs w:val="20"/>
        </w:rPr>
        <w:t>6</w:t>
      </w:r>
    </w:p>
    <w:p w:rsidR="00000000" w:rsidRDefault="00775A8F">
      <w:pPr>
        <w:rPr>
          <w:rFonts w:eastAsia="Times New Roman"/>
        </w:rPr>
      </w:pPr>
      <w:r>
        <w:rPr>
          <w:rFonts w:eastAsia="Times New Roman"/>
        </w:rPr>
        <w:pict>
          <v:rect id="_x0000_i1092" style="width:0;height:1.5pt" o:hralign="center" o:hrstd="t" o:hr="t" fillcolor="#a0a0a0" stroked="f"/>
        </w:pict>
      </w:r>
    </w:p>
    <w:p w:rsidR="00000000" w:rsidRDefault="00775A8F">
      <w:pPr>
        <w:ind w:firstLine="360"/>
        <w:divId w:val="110095269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5250"/>
        <w:gridCol w:w="52"/>
        <w:gridCol w:w="136"/>
        <w:gridCol w:w="1086"/>
        <w:gridCol w:w="85"/>
        <w:gridCol w:w="36"/>
        <w:gridCol w:w="50"/>
        <w:gridCol w:w="36"/>
        <w:gridCol w:w="135"/>
        <w:gridCol w:w="1087"/>
        <w:gridCol w:w="85"/>
        <w:gridCol w:w="36"/>
        <w:gridCol w:w="36"/>
        <w:gridCol w:w="36"/>
        <w:gridCol w:w="36"/>
        <w:gridCol w:w="36"/>
        <w:gridCol w:w="36"/>
      </w:tblGrid>
      <w:tr w:rsidR="00000000">
        <w:trPr>
          <w:gridAfter w:val="6"/>
          <w:divId w:val="1868251369"/>
        </w:trPr>
        <w:tc>
          <w:tcPr>
            <w:tcW w:w="50" w:type="pct"/>
            <w:vAlign w:val="center"/>
            <w:hideMark/>
          </w:tcPr>
          <w:p w:rsidR="00000000" w:rsidRDefault="00775A8F">
            <w:pPr>
              <w:ind w:firstLine="360"/>
              <w:rPr>
                <w:rFonts w:eastAsia="Times New Roman"/>
              </w:rPr>
            </w:pPr>
          </w:p>
        </w:tc>
        <w:tc>
          <w:tcPr>
            <w:tcW w:w="326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4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8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86825136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r>
      <w:tr w:rsidR="00000000">
        <w:trPr>
          <w:divId w:val="1868251369"/>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868251369"/>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Impact of assumption update on Net income (loss)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8251369"/>
        </w:trPr>
        <w:tc>
          <w:tcPr>
            <w:tcW w:w="0" w:type="auto"/>
            <w:gridSpan w:val="3"/>
            <w:shd w:val="clear" w:color="auto" w:fill="CCEEFF"/>
            <w:tcMar>
              <w:top w:w="30" w:type="dxa"/>
              <w:left w:w="20" w:type="dxa"/>
              <w:bottom w:w="30" w:type="dxa"/>
              <w:right w:w="20" w:type="dxa"/>
            </w:tcMar>
            <w:vAlign w:val="bottom"/>
            <w:hideMark/>
          </w:tcPr>
          <w:p w:rsidR="00000000" w:rsidRDefault="00775A8F">
            <w:pPr>
              <w:divId w:val="458188557"/>
              <w:rPr>
                <w:rFonts w:eastAsia="Times New Roman"/>
              </w:rPr>
            </w:pPr>
            <w:r>
              <w:rPr>
                <w:rFonts w:eastAsia="Times New Roman"/>
                <w:color w:val="000000"/>
                <w:sz w:val="20"/>
                <w:szCs w:val="20"/>
              </w:rPr>
              <w:t>Variable annuity product features related assumption updat</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8251369"/>
        </w:trPr>
        <w:tc>
          <w:tcPr>
            <w:tcW w:w="0" w:type="auto"/>
            <w:gridSpan w:val="3"/>
            <w:shd w:val="clear" w:color="auto" w:fill="FFFFFF"/>
            <w:tcMar>
              <w:top w:w="30" w:type="dxa"/>
              <w:left w:w="20" w:type="dxa"/>
              <w:bottom w:w="30" w:type="dxa"/>
              <w:right w:w="20" w:type="dxa"/>
            </w:tcMar>
            <w:vAlign w:val="bottom"/>
            <w:hideMark/>
          </w:tcPr>
          <w:p w:rsidR="00000000" w:rsidRDefault="00775A8F">
            <w:pPr>
              <w:divId w:val="138351535"/>
              <w:rPr>
                <w:rFonts w:eastAsia="Times New Roman"/>
              </w:rPr>
            </w:pPr>
            <w:r>
              <w:rPr>
                <w:rFonts w:eastAsia="Times New Roman"/>
                <w:color w:val="000000"/>
                <w:sz w:val="20"/>
                <w:szCs w:val="20"/>
              </w:rPr>
              <w:t>Assumption updates for other busines</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8251369"/>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Impact of assumption updates on Income (loss) from continuing operations, before income ta</w:t>
            </w:r>
            <w:r>
              <w:rPr>
                <w:rFonts w:eastAsia="Times New Roman"/>
                <w:color w:val="000000"/>
                <w:sz w:val="20"/>
                <w:szCs w:val="20"/>
              </w:rPr>
              <w:t>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(2,456</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8251369"/>
        </w:trPr>
        <w:tc>
          <w:tcPr>
            <w:tcW w:w="0" w:type="auto"/>
            <w:gridSpan w:val="3"/>
            <w:shd w:val="clear" w:color="auto" w:fill="FFFFFF"/>
            <w:tcMar>
              <w:top w:w="30" w:type="dxa"/>
              <w:left w:w="20" w:type="dxa"/>
              <w:bottom w:w="30" w:type="dxa"/>
              <w:right w:w="20" w:type="dxa"/>
            </w:tcMar>
            <w:vAlign w:val="bottom"/>
            <w:hideMark/>
          </w:tcPr>
          <w:p w:rsidR="00000000" w:rsidRDefault="00775A8F">
            <w:pPr>
              <w:divId w:val="810170453"/>
              <w:rPr>
                <w:rFonts w:eastAsia="Times New Roman"/>
              </w:rPr>
            </w:pPr>
            <w:r>
              <w:rPr>
                <w:rFonts w:eastAsia="Times New Roman"/>
                <w:color w:val="000000"/>
                <w:sz w:val="20"/>
                <w:szCs w:val="20"/>
              </w:rPr>
              <w:t>Income tax (expense) benefit on assumption updat</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68251369"/>
        </w:trPr>
        <w:tc>
          <w:tcPr>
            <w:tcW w:w="0" w:type="auto"/>
            <w:gridSpan w:val="3"/>
            <w:shd w:val="clear" w:color="auto" w:fill="CCEEFF"/>
            <w:tcMar>
              <w:top w:w="30" w:type="dxa"/>
              <w:left w:w="20" w:type="dxa"/>
              <w:bottom w:w="30" w:type="dxa"/>
              <w:right w:w="20" w:type="dxa"/>
            </w:tcMar>
            <w:vAlign w:val="bottom"/>
            <w:hideMark/>
          </w:tcPr>
          <w:p w:rsidR="00000000" w:rsidRDefault="00775A8F">
            <w:pPr>
              <w:divId w:val="928657743"/>
              <w:rPr>
                <w:rFonts w:eastAsia="Times New Roman"/>
              </w:rPr>
            </w:pPr>
            <w:r>
              <w:rPr>
                <w:rFonts w:eastAsia="Times New Roman"/>
                <w:color w:val="000000"/>
                <w:sz w:val="20"/>
                <w:szCs w:val="20"/>
              </w:rPr>
              <w:t>Net income (loss) impact of assumption updat</w:t>
            </w:r>
            <w:r>
              <w:rPr>
                <w:rFonts w:eastAsia="Times New Roman"/>
                <w:color w:val="000000"/>
                <w:sz w:val="20"/>
                <w:szCs w:val="20"/>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(1,940</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271743919"/>
        <w:rPr>
          <w:rFonts w:eastAsia="Times New Roman"/>
        </w:rPr>
      </w:pPr>
      <w:r>
        <w:rPr>
          <w:rFonts w:eastAsia="Times New Roman"/>
          <w:i/>
          <w:iCs/>
          <w:color w:val="000000"/>
          <w:sz w:val="20"/>
          <w:szCs w:val="20"/>
          <w:u w:val="single"/>
        </w:rPr>
        <w:t>2020 Assumption Updat</w:t>
      </w:r>
      <w:r>
        <w:rPr>
          <w:rFonts w:eastAsia="Times New Roman"/>
          <w:i/>
          <w:iCs/>
          <w:color w:val="000000"/>
          <w:sz w:val="20"/>
          <w:szCs w:val="20"/>
          <w:u w:val="single"/>
        </w:rPr>
        <w:t>e</w:t>
      </w:r>
    </w:p>
    <w:p w:rsidR="00000000" w:rsidRDefault="00775A8F">
      <w:pPr>
        <w:ind w:firstLine="360"/>
        <w:divId w:val="1756705360"/>
        <w:rPr>
          <w:rFonts w:eastAsia="Times New Roman"/>
        </w:rPr>
      </w:pPr>
      <w:r>
        <w:rPr>
          <w:rFonts w:eastAsia="Times New Roman"/>
          <w:color w:val="000000"/>
          <w:sz w:val="20"/>
          <w:szCs w:val="20"/>
        </w:rPr>
        <w:t>The impact of the economic assumption update in the first six months of 2020 was a decrease of $2.5 billion to Income (loss) from continuing operations, before income taxes and a decrease to Net income (loss) of $1.9 billion</w:t>
      </w:r>
      <w:r>
        <w:rPr>
          <w:rFonts w:eastAsia="Times New Roman"/>
          <w:color w:val="000000"/>
          <w:sz w:val="20"/>
          <w:szCs w:val="20"/>
        </w:rPr>
        <w:t>.</w:t>
      </w:r>
    </w:p>
    <w:p w:rsidR="00000000" w:rsidRDefault="00775A8F">
      <w:pPr>
        <w:ind w:firstLine="360"/>
        <w:divId w:val="1054546948"/>
        <w:rPr>
          <w:rFonts w:eastAsia="Times New Roman"/>
        </w:rPr>
      </w:pPr>
      <w:r>
        <w:rPr>
          <w:rFonts w:eastAsia="Times New Roman"/>
          <w:color w:val="000000"/>
          <w:sz w:val="20"/>
          <w:szCs w:val="20"/>
        </w:rPr>
        <w:t>The net impact of this assumpt</w:t>
      </w:r>
      <w:r>
        <w:rPr>
          <w:rFonts w:eastAsia="Times New Roman"/>
          <w:color w:val="000000"/>
          <w:sz w:val="20"/>
          <w:szCs w:val="20"/>
        </w:rPr>
        <w:t>ion update on Income (loss) from continuing operations, before income taxes of $2.5 billion consisted of an increase in Policyholders’ benefits of $1.4 billion, an increase in the Amortization of DAC of $1.1 billion, an increase in Policy charges and fee i</w:t>
      </w:r>
      <w:r>
        <w:rPr>
          <w:rFonts w:eastAsia="Times New Roman"/>
          <w:color w:val="000000"/>
          <w:sz w:val="20"/>
          <w:szCs w:val="20"/>
        </w:rPr>
        <w:t>ncome of $46 million and a decrease in Interest credited to policyholders’ account balances of $6 million</w:t>
      </w:r>
      <w:r>
        <w:rPr>
          <w:rFonts w:eastAsia="Times New Roman"/>
          <w:color w:val="000000"/>
          <w:sz w:val="20"/>
          <w:szCs w:val="20"/>
        </w:rPr>
        <w:t>.</w:t>
      </w:r>
    </w:p>
    <w:p w:rsidR="00000000" w:rsidRDefault="00775A8F">
      <w:pPr>
        <w:divId w:val="1123575329"/>
        <w:rPr>
          <w:rFonts w:eastAsia="Times New Roman"/>
        </w:rPr>
      </w:pPr>
      <w:r>
        <w:rPr>
          <w:rFonts w:eastAsia="Times New Roman"/>
          <w:i/>
          <w:iCs/>
          <w:color w:val="000000"/>
          <w:sz w:val="20"/>
          <w:szCs w:val="20"/>
          <w:u w:val="single"/>
        </w:rPr>
        <w:t>Impact of Assumption Update and COVID-19 Impacts on Pre-tax Non-GAAP Operating Earning</w:t>
      </w:r>
      <w:r>
        <w:rPr>
          <w:rFonts w:eastAsia="Times New Roman"/>
          <w:i/>
          <w:iCs/>
          <w:color w:val="000000"/>
          <w:sz w:val="20"/>
          <w:szCs w:val="20"/>
          <w:u w:val="single"/>
        </w:rPr>
        <w:t>s</w:t>
      </w:r>
    </w:p>
    <w:p w:rsidR="00000000" w:rsidRDefault="00775A8F">
      <w:pPr>
        <w:ind w:firstLine="360"/>
        <w:divId w:val="363215599"/>
        <w:rPr>
          <w:rFonts w:eastAsia="Times New Roman"/>
        </w:rPr>
      </w:pPr>
      <w:r>
        <w:rPr>
          <w:rFonts w:eastAsia="Times New Roman"/>
          <w:color w:val="000000"/>
          <w:sz w:val="20"/>
          <w:szCs w:val="20"/>
        </w:rPr>
        <w:t>The unprecedented and rapid spread of COVID-19 and the relate</w:t>
      </w:r>
      <w:r>
        <w:rPr>
          <w:rFonts w:eastAsia="Times New Roman"/>
          <w:color w:val="000000"/>
          <w:sz w:val="20"/>
          <w:szCs w:val="20"/>
        </w:rPr>
        <w:t>d restrictions and social distancing measures implemented throughout the world have caused severe, lasting turmoil in the financial markets during the first six months of 2020.</w:t>
      </w:r>
      <w:r>
        <w:rPr>
          <w:rFonts w:eastAsia="Times New Roman"/>
          <w:color w:val="000000"/>
          <w:sz w:val="20"/>
          <w:szCs w:val="20"/>
        </w:rPr>
        <w:t xml:space="preserve"> </w:t>
      </w:r>
    </w:p>
    <w:p w:rsidR="00000000" w:rsidRDefault="00775A8F">
      <w:pPr>
        <w:ind w:firstLine="360"/>
        <w:divId w:val="1861237457"/>
        <w:rPr>
          <w:rFonts w:eastAsia="Times New Roman"/>
        </w:rPr>
      </w:pPr>
      <w:r>
        <w:rPr>
          <w:rFonts w:eastAsia="Times New Roman"/>
          <w:color w:val="000000"/>
          <w:sz w:val="20"/>
          <w:szCs w:val="20"/>
        </w:rPr>
        <w:t>The Company’s accounting policy governing its Non-GAAP Operating Earnings meas</w:t>
      </w:r>
      <w:r>
        <w:rPr>
          <w:rFonts w:eastAsia="Times New Roman"/>
          <w:color w:val="000000"/>
          <w:sz w:val="20"/>
          <w:szCs w:val="20"/>
        </w:rPr>
        <w:t>ure permits adjustments to Non-GAAP Operating Earnings if certain criteria are met, which include if the proposed adjustment relates to a non-recurring event or transaction. Management concluded that all impacts on the Company from the COVID-19 pandemic an</w:t>
      </w:r>
      <w:r>
        <w:rPr>
          <w:rFonts w:eastAsia="Times New Roman"/>
          <w:color w:val="000000"/>
          <w:sz w:val="20"/>
          <w:szCs w:val="20"/>
        </w:rPr>
        <w:t>d its effects on the economy meet the indicators of a non-recurring event. Therefore, management has determined that the items set forth in the table below should be included as adjustments to the Non-GAAP Operating Earnings measure so that investors can m</w:t>
      </w:r>
      <w:r>
        <w:rPr>
          <w:rFonts w:eastAsia="Times New Roman"/>
          <w:color w:val="000000"/>
          <w:sz w:val="20"/>
          <w:szCs w:val="20"/>
        </w:rPr>
        <w:t>ore clearly see the delineation between the operating results of the Company’s core operations and the impact of the items specific to the current COVID-19 pandemic crisis. Management expects to continue to treat these items as adjustments to Non-GAAP Oper</w:t>
      </w:r>
      <w:r>
        <w:rPr>
          <w:rFonts w:eastAsia="Times New Roman"/>
          <w:color w:val="000000"/>
          <w:sz w:val="20"/>
          <w:szCs w:val="20"/>
        </w:rPr>
        <w:t>ating Earnings in the future</w:t>
      </w:r>
      <w:r>
        <w:rPr>
          <w:rFonts w:eastAsia="Times New Roman"/>
          <w:color w:val="000000"/>
          <w:sz w:val="20"/>
          <w:szCs w:val="20"/>
        </w:rPr>
        <w:t>.</w:t>
      </w:r>
    </w:p>
    <w:p w:rsidR="00000000" w:rsidRDefault="00775A8F">
      <w:pPr>
        <w:ind w:firstLine="360"/>
        <w:divId w:val="1997300218"/>
        <w:rPr>
          <w:rFonts w:eastAsia="Times New Roman"/>
        </w:rPr>
      </w:pPr>
      <w:r>
        <w:rPr>
          <w:rFonts w:eastAsia="Times New Roman"/>
          <w:color w:val="000000"/>
          <w:sz w:val="20"/>
          <w:szCs w:val="20"/>
        </w:rPr>
        <w:t>The table below presents the impact of COVID-19 related impacts on Income (loss) from continuing operations, before income taxes during the three and six months ended June 30, 2020 by segment and Corporate and Other, and the C</w:t>
      </w:r>
      <w:r>
        <w:rPr>
          <w:rFonts w:eastAsia="Times New Roman"/>
          <w:color w:val="000000"/>
          <w:sz w:val="20"/>
          <w:szCs w:val="20"/>
        </w:rPr>
        <w:t>OVID-19-related adjustments included in the reconciliation of Net Income (loss) attributable to Holdings to Non-GAAP Operating Earnings</w:t>
      </w:r>
      <w:r>
        <w:rPr>
          <w:rFonts w:eastAsia="Times New Roman"/>
          <w:color w:val="000000"/>
          <w:sz w:val="20"/>
          <w:szCs w:val="20"/>
        </w:rPr>
        <w:t>:</w:t>
      </w:r>
    </w:p>
    <w:tbl>
      <w:tblPr>
        <w:tblW w:w="4539" w:type="pct"/>
        <w:tblCellMar>
          <w:top w:w="15" w:type="dxa"/>
          <w:left w:w="15" w:type="dxa"/>
          <w:bottom w:w="15" w:type="dxa"/>
          <w:right w:w="15" w:type="dxa"/>
        </w:tblCellMar>
        <w:tblLook w:val="04A0" w:firstRow="1" w:lastRow="0" w:firstColumn="1" w:lastColumn="0" w:noHBand="0" w:noVBand="1"/>
      </w:tblPr>
      <w:tblGrid>
        <w:gridCol w:w="39"/>
        <w:gridCol w:w="4250"/>
        <w:gridCol w:w="38"/>
        <w:gridCol w:w="136"/>
        <w:gridCol w:w="712"/>
        <w:gridCol w:w="85"/>
        <w:gridCol w:w="36"/>
        <w:gridCol w:w="36"/>
        <w:gridCol w:w="36"/>
        <w:gridCol w:w="136"/>
        <w:gridCol w:w="712"/>
        <w:gridCol w:w="85"/>
        <w:gridCol w:w="36"/>
        <w:gridCol w:w="36"/>
        <w:gridCol w:w="36"/>
        <w:gridCol w:w="135"/>
        <w:gridCol w:w="479"/>
        <w:gridCol w:w="85"/>
        <w:gridCol w:w="36"/>
        <w:gridCol w:w="36"/>
        <w:gridCol w:w="36"/>
        <w:gridCol w:w="36"/>
        <w:gridCol w:w="36"/>
        <w:gridCol w:w="36"/>
        <w:gridCol w:w="36"/>
        <w:gridCol w:w="36"/>
        <w:gridCol w:w="36"/>
        <w:gridCol w:w="36"/>
        <w:gridCol w:w="36"/>
        <w:gridCol w:w="36"/>
      </w:tblGrid>
      <w:tr w:rsidR="00000000">
        <w:trPr>
          <w:gridAfter w:val="12"/>
          <w:divId w:val="710543058"/>
        </w:trPr>
        <w:tc>
          <w:tcPr>
            <w:tcW w:w="50" w:type="pct"/>
            <w:vAlign w:val="center"/>
            <w:hideMark/>
          </w:tcPr>
          <w:p w:rsidR="00000000" w:rsidRDefault="00775A8F">
            <w:pPr>
              <w:ind w:firstLine="360"/>
              <w:rPr>
                <w:rFonts w:eastAsia="Times New Roman"/>
              </w:rPr>
            </w:pPr>
          </w:p>
        </w:tc>
        <w:tc>
          <w:tcPr>
            <w:tcW w:w="305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7105430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7105430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COVID-19 Impact</w:t>
            </w:r>
            <w:r>
              <w:rPr>
                <w:rFonts w:eastAsia="Times New Roman"/>
                <w:b/>
                <w:bCs/>
                <w:color w:val="000000"/>
                <w:sz w:val="16"/>
                <w:szCs w:val="16"/>
              </w:rPr>
              <w:t>s</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7105430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Interest Rate Assumption Update</w:t>
            </w:r>
            <w:r>
              <w:rPr>
                <w:rFonts w:eastAsia="Times New Roman"/>
                <w:b/>
                <w:bCs/>
                <w:color w:val="000000"/>
                <w:sz w:val="16"/>
                <w:szCs w:val="16"/>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710543058"/>
        </w:trPr>
        <w:tc>
          <w:tcPr>
            <w:tcW w:w="0" w:type="auto"/>
            <w:gridSpan w:val="3"/>
            <w:tcMar>
              <w:top w:w="30" w:type="dxa"/>
              <w:left w:w="20" w:type="dxa"/>
              <w:bottom w:w="30" w:type="dxa"/>
              <w:right w:w="20" w:type="dxa"/>
            </w:tcMar>
            <w:vAlign w:val="bottom"/>
            <w:hideMark/>
          </w:tcPr>
          <w:p w:rsidR="00000000" w:rsidRDefault="00775A8F">
            <w:pPr>
              <w:divId w:val="1660036995"/>
              <w:rPr>
                <w:rFonts w:eastAsia="Times New Roman"/>
              </w:rPr>
            </w:pPr>
            <w:r>
              <w:rPr>
                <w:rFonts w:eastAsia="Times New Roman"/>
                <w:color w:val="000000"/>
                <w:sz w:val="20"/>
                <w:szCs w:val="20"/>
              </w:rPr>
              <w:t>Net income (loss) from continuing operations, before income taxes by Segment and Corporate and Other</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Individual Retiremen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Group Retiremen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Protection Solution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from continuing operations, before income taxe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10543058"/>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divId w:val="1821579809"/>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divId w:val="1646013105"/>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divId w:val="1859003126"/>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953248464"/>
        <w:rPr>
          <w:rFonts w:eastAsia="Times New Roman"/>
        </w:rPr>
      </w:pPr>
      <w:r>
        <w:rPr>
          <w:rFonts w:eastAsia="Times New Roman"/>
          <w:color w:val="000000"/>
          <w:sz w:val="20"/>
          <w:szCs w:val="20"/>
        </w:rPr>
        <w:t>6</w:t>
      </w:r>
      <w:r>
        <w:rPr>
          <w:rFonts w:eastAsia="Times New Roman"/>
          <w:color w:val="000000"/>
          <w:sz w:val="20"/>
          <w:szCs w:val="20"/>
        </w:rPr>
        <w:t>7</w:t>
      </w:r>
    </w:p>
    <w:p w:rsidR="00000000" w:rsidRDefault="00775A8F">
      <w:pPr>
        <w:rPr>
          <w:rFonts w:eastAsia="Times New Roman"/>
        </w:rPr>
      </w:pPr>
      <w:r>
        <w:rPr>
          <w:rFonts w:eastAsia="Times New Roman"/>
        </w:rPr>
        <w:pict>
          <v:rect id="_x0000_i1093" style="width:0;height:1.5pt" o:hralign="center" o:hrstd="t" o:hr="t" fillcolor="#a0a0a0" stroked="f"/>
        </w:pict>
      </w:r>
    </w:p>
    <w:p w:rsidR="00000000" w:rsidRDefault="00775A8F">
      <w:pPr>
        <w:ind w:firstLine="360"/>
        <w:divId w:val="594479278"/>
        <w:rPr>
          <w:rFonts w:eastAsia="Times New Roman"/>
        </w:rPr>
      </w:pPr>
    </w:p>
    <w:tbl>
      <w:tblPr>
        <w:tblW w:w="4539" w:type="pct"/>
        <w:tblCellMar>
          <w:top w:w="15" w:type="dxa"/>
          <w:left w:w="15" w:type="dxa"/>
          <w:bottom w:w="15" w:type="dxa"/>
          <w:right w:w="15" w:type="dxa"/>
        </w:tblCellMar>
        <w:tblLook w:val="04A0" w:firstRow="1" w:lastRow="0" w:firstColumn="1" w:lastColumn="0" w:noHBand="0" w:noVBand="1"/>
      </w:tblPr>
      <w:tblGrid>
        <w:gridCol w:w="37"/>
        <w:gridCol w:w="4252"/>
        <w:gridCol w:w="36"/>
        <w:gridCol w:w="136"/>
        <w:gridCol w:w="712"/>
        <w:gridCol w:w="85"/>
        <w:gridCol w:w="36"/>
        <w:gridCol w:w="36"/>
        <w:gridCol w:w="36"/>
        <w:gridCol w:w="136"/>
        <w:gridCol w:w="712"/>
        <w:gridCol w:w="85"/>
        <w:gridCol w:w="36"/>
        <w:gridCol w:w="36"/>
        <w:gridCol w:w="36"/>
        <w:gridCol w:w="135"/>
        <w:gridCol w:w="481"/>
        <w:gridCol w:w="85"/>
        <w:gridCol w:w="36"/>
        <w:gridCol w:w="36"/>
        <w:gridCol w:w="36"/>
        <w:gridCol w:w="36"/>
        <w:gridCol w:w="36"/>
        <w:gridCol w:w="36"/>
        <w:gridCol w:w="36"/>
        <w:gridCol w:w="36"/>
        <w:gridCol w:w="36"/>
        <w:gridCol w:w="36"/>
        <w:gridCol w:w="36"/>
        <w:gridCol w:w="36"/>
      </w:tblGrid>
      <w:tr w:rsidR="00000000">
        <w:trPr>
          <w:gridAfter w:val="12"/>
          <w:divId w:val="1567954114"/>
        </w:trPr>
        <w:tc>
          <w:tcPr>
            <w:tcW w:w="50" w:type="pct"/>
            <w:vAlign w:val="center"/>
            <w:hideMark/>
          </w:tcPr>
          <w:p w:rsidR="00000000" w:rsidRDefault="00775A8F">
            <w:pPr>
              <w:ind w:firstLine="360"/>
              <w:rPr>
                <w:rFonts w:eastAsia="Times New Roman"/>
              </w:rPr>
            </w:pPr>
          </w:p>
        </w:tc>
        <w:tc>
          <w:tcPr>
            <w:tcW w:w="305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56795411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center"/>
            <w:hideMark/>
          </w:tcPr>
          <w:p w:rsidR="00000000" w:rsidRDefault="00775A8F">
            <w:pPr>
              <w:jc w:val="center"/>
              <w:rPr>
                <w:rFonts w:eastAsia="Times New Roman"/>
              </w:rPr>
            </w:pPr>
            <w:r>
              <w:rPr>
                <w:rFonts w:eastAsia="Times New Roman"/>
                <w:b/>
                <w:bCs/>
                <w:color w:val="000000"/>
                <w:sz w:val="16"/>
                <w:szCs w:val="16"/>
              </w:rPr>
              <w:t>Three Months Ended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6795411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COVID-19 Impact</w:t>
            </w:r>
            <w:r>
              <w:rPr>
                <w:rFonts w:eastAsia="Times New Roman"/>
                <w:b/>
                <w:bCs/>
                <w:color w:val="000000"/>
                <w:sz w:val="16"/>
                <w:szCs w:val="16"/>
              </w:rPr>
              <w:t>s</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6795411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Interest Rate Assumption Update</w:t>
            </w:r>
            <w:r>
              <w:rPr>
                <w:rFonts w:eastAsia="Times New Roman"/>
                <w:b/>
                <w:bCs/>
                <w:color w:val="000000"/>
                <w:sz w:val="16"/>
                <w:szCs w:val="16"/>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67954114"/>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67954114"/>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COVID-19-related adjustments included in Reconciliation of Net income (loss) attributable to Holdings to Non-GAAP Operating Earnings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67954114"/>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Variable annuities product feature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67954114"/>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adjustment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67954114"/>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from continuing operations, before income taxe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270"/>
        <w:divId w:val="1402559330"/>
        <w:rPr>
          <w:rFonts w:eastAsia="Times New Roman"/>
        </w:rPr>
      </w:pPr>
      <w:r>
        <w:rPr>
          <w:rFonts w:eastAsia="Times New Roman"/>
          <w:color w:val="000000"/>
          <w:sz w:val="18"/>
          <w:szCs w:val="18"/>
        </w:rPr>
        <w:t>______________</w:t>
      </w:r>
      <w:r>
        <w:rPr>
          <w:rFonts w:eastAsia="Times New Roman"/>
          <w:color w:val="000000"/>
          <w:sz w:val="18"/>
          <w:szCs w:val="18"/>
        </w:rPr>
        <w:t>_</w:t>
      </w:r>
    </w:p>
    <w:p w:rsidR="00000000" w:rsidRDefault="00775A8F">
      <w:pPr>
        <w:ind w:hanging="270"/>
        <w:divId w:val="1806895028"/>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 and accelerated amortization of DAC due to continued loss recognition resulting from fir</w:t>
      </w:r>
      <w:r>
        <w:rPr>
          <w:rFonts w:eastAsia="Times New Roman"/>
          <w:color w:val="000000"/>
          <w:sz w:val="18"/>
          <w:szCs w:val="18"/>
        </w:rPr>
        <w:t>st quarter 2020 interest rate assumption update</w:t>
      </w:r>
      <w:r>
        <w:rPr>
          <w:rFonts w:eastAsia="Times New Roman"/>
          <w:color w:val="000000"/>
          <w:sz w:val="18"/>
          <w:szCs w:val="18"/>
        </w:rPr>
        <w:t>.</w:t>
      </w:r>
    </w:p>
    <w:tbl>
      <w:tblPr>
        <w:tblW w:w="4539" w:type="pct"/>
        <w:tblCellMar>
          <w:top w:w="15" w:type="dxa"/>
          <w:left w:w="15" w:type="dxa"/>
          <w:bottom w:w="15" w:type="dxa"/>
          <w:right w:w="15" w:type="dxa"/>
        </w:tblCellMar>
        <w:tblLook w:val="04A0" w:firstRow="1" w:lastRow="0" w:firstColumn="1" w:lastColumn="0" w:noHBand="0" w:noVBand="1"/>
      </w:tblPr>
      <w:tblGrid>
        <w:gridCol w:w="40"/>
        <w:gridCol w:w="4128"/>
        <w:gridCol w:w="39"/>
        <w:gridCol w:w="136"/>
        <w:gridCol w:w="712"/>
        <w:gridCol w:w="85"/>
        <w:gridCol w:w="36"/>
        <w:gridCol w:w="36"/>
        <w:gridCol w:w="36"/>
        <w:gridCol w:w="136"/>
        <w:gridCol w:w="712"/>
        <w:gridCol w:w="85"/>
        <w:gridCol w:w="36"/>
        <w:gridCol w:w="36"/>
        <w:gridCol w:w="36"/>
        <w:gridCol w:w="135"/>
        <w:gridCol w:w="599"/>
        <w:gridCol w:w="85"/>
        <w:gridCol w:w="36"/>
        <w:gridCol w:w="36"/>
        <w:gridCol w:w="36"/>
        <w:gridCol w:w="36"/>
        <w:gridCol w:w="36"/>
        <w:gridCol w:w="36"/>
        <w:gridCol w:w="36"/>
        <w:gridCol w:w="36"/>
        <w:gridCol w:w="36"/>
        <w:gridCol w:w="36"/>
        <w:gridCol w:w="36"/>
        <w:gridCol w:w="36"/>
      </w:tblGrid>
      <w:tr w:rsidR="00000000">
        <w:trPr>
          <w:gridAfter w:val="12"/>
          <w:divId w:val="1113473949"/>
        </w:trPr>
        <w:tc>
          <w:tcPr>
            <w:tcW w:w="50" w:type="pct"/>
            <w:vAlign w:val="center"/>
            <w:hideMark/>
          </w:tcPr>
          <w:p w:rsidR="00000000" w:rsidRDefault="00775A8F">
            <w:pPr>
              <w:ind w:hanging="270"/>
              <w:rPr>
                <w:rFonts w:eastAsia="Times New Roman"/>
              </w:rPr>
            </w:pPr>
          </w:p>
        </w:tc>
        <w:tc>
          <w:tcPr>
            <w:tcW w:w="305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3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12"/>
          <w:divId w:val="1113473949"/>
          <w:trHeight w:val="24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11347394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1347394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COVID-19 Impact</w:t>
            </w:r>
            <w:r>
              <w:rPr>
                <w:rFonts w:eastAsia="Times New Roman"/>
                <w:b/>
                <w:bCs/>
                <w:color w:val="000000"/>
                <w:sz w:val="16"/>
                <w:szCs w:val="16"/>
              </w:rPr>
              <w:t>s</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1347394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Interest Rate Assumption Update</w:t>
            </w:r>
            <w:r>
              <w:rPr>
                <w:rFonts w:eastAsia="Times New Roman"/>
                <w:b/>
                <w:bCs/>
                <w:color w:val="000000"/>
                <w:sz w:val="16"/>
                <w:szCs w:val="16"/>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r>
              <w:rPr>
                <w:rFonts w:eastAsia="Times New Roman"/>
                <w:b/>
                <w:bCs/>
                <w:color w:val="000000"/>
                <w:sz w:val="16"/>
                <w:szCs w:val="16"/>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w:t>
            </w:r>
            <w:r>
              <w:rPr>
                <w:rFonts w:eastAsia="Times New Roman"/>
                <w:b/>
                <w:bCs/>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13473949"/>
        </w:trPr>
        <w:tc>
          <w:tcPr>
            <w:tcW w:w="0" w:type="auto"/>
            <w:gridSpan w:val="3"/>
            <w:tcMar>
              <w:top w:w="30" w:type="dxa"/>
              <w:left w:w="20" w:type="dxa"/>
              <w:bottom w:w="30" w:type="dxa"/>
              <w:right w:w="20" w:type="dxa"/>
            </w:tcMar>
            <w:vAlign w:val="bottom"/>
            <w:hideMark/>
          </w:tcPr>
          <w:p w:rsidR="00000000" w:rsidRDefault="00775A8F">
            <w:pPr>
              <w:divId w:val="448281409"/>
              <w:rPr>
                <w:rFonts w:eastAsia="Times New Roman"/>
              </w:rPr>
            </w:pPr>
            <w:r>
              <w:rPr>
                <w:rFonts w:eastAsia="Times New Roman"/>
                <w:color w:val="000000"/>
                <w:sz w:val="20"/>
                <w:szCs w:val="20"/>
              </w:rPr>
              <w:t>Net income (loss) from continuing operations, before income taxes by Segment and Corporate and Other</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Individual Retiremen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(1,417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Group Retiremen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Protection Solution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(955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(1,047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from continuing operations, before income taxe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(2,456</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(2,594</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divId w:val="951546935"/>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divId w:val="153766367"/>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divId w:val="376510456"/>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COVID-19-related adjustments included in Reconciliation of Net income (loss) attributable to Holdings to Non-GAAP Operating Earnings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Variable annuities product feature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adjustment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(1,091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13473949"/>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from continuing operations, before income taxe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(2,456</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(2,594</w:t>
            </w: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219051644"/>
        <w:rPr>
          <w:rFonts w:eastAsia="Times New Roman"/>
        </w:rPr>
      </w:pPr>
      <w:r>
        <w:rPr>
          <w:rFonts w:eastAsia="Times New Roman"/>
          <w:color w:val="000000"/>
          <w:sz w:val="18"/>
          <w:szCs w:val="18"/>
        </w:rPr>
        <w:t>______________</w:t>
      </w:r>
      <w:r>
        <w:rPr>
          <w:rFonts w:eastAsia="Times New Roman"/>
          <w:color w:val="000000"/>
          <w:sz w:val="18"/>
          <w:szCs w:val="18"/>
        </w:rPr>
        <w:t>_</w:t>
      </w:r>
    </w:p>
    <w:p w:rsidR="00000000" w:rsidRDefault="00775A8F">
      <w:pPr>
        <w:ind w:hanging="270"/>
        <w:divId w:val="577061781"/>
        <w:rPr>
          <w:rFonts w:eastAsia="Times New Roman"/>
        </w:rPr>
      </w:pPr>
      <w:r>
        <w:rPr>
          <w:rFonts w:eastAsia="Times New Roman"/>
          <w:color w:val="000000"/>
          <w:sz w:val="18"/>
          <w:szCs w:val="18"/>
        </w:rPr>
        <w:t>(1) Includes adjustments to Non-GAAP Operating Earnings primarily due to non-variable annuity hedging impacts resulting from unprecedented volatility in equity markets and accelerated amortization of DAC due to continued loss recognition resulting from fir</w:t>
      </w:r>
      <w:r>
        <w:rPr>
          <w:rFonts w:eastAsia="Times New Roman"/>
          <w:color w:val="000000"/>
          <w:sz w:val="18"/>
          <w:szCs w:val="18"/>
        </w:rPr>
        <w:t>st quarter 2020 interest rate assumption update</w:t>
      </w:r>
      <w:r>
        <w:rPr>
          <w:rFonts w:eastAsia="Times New Roman"/>
          <w:color w:val="000000"/>
          <w:sz w:val="18"/>
          <w:szCs w:val="18"/>
        </w:rPr>
        <w:t>.</w:t>
      </w:r>
    </w:p>
    <w:p w:rsidR="00000000" w:rsidRDefault="00775A8F">
      <w:pPr>
        <w:ind w:firstLine="360"/>
        <w:divId w:val="1012563703"/>
        <w:rPr>
          <w:rFonts w:eastAsia="Times New Roman"/>
        </w:rPr>
      </w:pPr>
      <w:r>
        <w:rPr>
          <w:rFonts w:eastAsia="Times New Roman"/>
          <w:color w:val="000000"/>
          <w:sz w:val="20"/>
          <w:szCs w:val="20"/>
        </w:rPr>
        <w:t>Adjustments related to the Individual Retirement and Group Retirement segments are primarily included in the “Variable annuities product features” in the reconciliation of Net income (loss) attributable to H</w:t>
      </w:r>
      <w:r>
        <w:rPr>
          <w:rFonts w:eastAsia="Times New Roman"/>
          <w:color w:val="000000"/>
          <w:sz w:val="20"/>
          <w:szCs w:val="20"/>
        </w:rPr>
        <w:t>oldings to Non-GAAP Operating Earnings. All other adjustments are included in “Other”. This impact has been more than offset by hedging gains</w:t>
      </w:r>
      <w:r>
        <w:rPr>
          <w:rFonts w:eastAsia="Times New Roman"/>
          <w:color w:val="000000"/>
          <w:sz w:val="20"/>
          <w:szCs w:val="20"/>
        </w:rPr>
        <w:t>.</w:t>
      </w:r>
    </w:p>
    <w:p w:rsidR="00000000" w:rsidRDefault="00775A8F">
      <w:pPr>
        <w:divId w:val="1766413324"/>
        <w:rPr>
          <w:rFonts w:eastAsia="Times New Roman"/>
        </w:rPr>
      </w:pPr>
      <w:r>
        <w:rPr>
          <w:rFonts w:eastAsia="Times New Roman"/>
          <w:i/>
          <w:iCs/>
          <w:color w:val="000000"/>
          <w:sz w:val="20"/>
          <w:szCs w:val="20"/>
          <w:u w:val="single"/>
        </w:rPr>
        <w:t>2020 Model Change</w:t>
      </w:r>
      <w:r>
        <w:rPr>
          <w:rFonts w:eastAsia="Times New Roman"/>
          <w:i/>
          <w:iCs/>
          <w:color w:val="000000"/>
          <w:sz w:val="20"/>
          <w:szCs w:val="20"/>
          <w:u w:val="single"/>
        </w:rPr>
        <w:t>s</w:t>
      </w:r>
    </w:p>
    <w:p w:rsidR="00000000" w:rsidRDefault="00775A8F">
      <w:pPr>
        <w:ind w:firstLine="360"/>
        <w:divId w:val="1685594551"/>
        <w:rPr>
          <w:rFonts w:eastAsia="Times New Roman"/>
        </w:rPr>
      </w:pPr>
      <w:r>
        <w:rPr>
          <w:rFonts w:eastAsia="Times New Roman"/>
          <w:color w:val="000000"/>
          <w:sz w:val="20"/>
          <w:szCs w:val="20"/>
        </w:rPr>
        <w:t>In the first quarter of 2020, we adopted a new economic scenario generator to calculate the fa</w:t>
      </w:r>
      <w:r>
        <w:rPr>
          <w:rFonts w:eastAsia="Times New Roman"/>
          <w:color w:val="000000"/>
          <w:sz w:val="20"/>
          <w:szCs w:val="20"/>
        </w:rPr>
        <w:t>ir value of the GMIB reinsurance contract asset and GMxB derivative features liability, eliminating reliance on AXA Group for scenario production. The new economic scenario generator allows for a tighter calibration of U.S. indices, better reflecting our a</w:t>
      </w:r>
      <w:r>
        <w:rPr>
          <w:rFonts w:eastAsia="Times New Roman"/>
          <w:color w:val="000000"/>
          <w:sz w:val="20"/>
          <w:szCs w:val="20"/>
        </w:rPr>
        <w:t>ctual portfolio. The net impact of the new economic scenario generator resulted in an increase in Income (loss) from continuing operations, before income taxes of $201 million, and an increase to Net Income (loss) of $159 million</w:t>
      </w:r>
      <w:r>
        <w:rPr>
          <w:rFonts w:eastAsia="Times New Roman"/>
          <w:color w:val="000000"/>
          <w:sz w:val="20"/>
          <w:szCs w:val="20"/>
        </w:rPr>
        <w:t>.</w:t>
      </w:r>
    </w:p>
    <w:p w:rsidR="00000000" w:rsidRDefault="00775A8F">
      <w:pPr>
        <w:jc w:val="center"/>
        <w:divId w:val="2129426840"/>
        <w:rPr>
          <w:rFonts w:eastAsia="Times New Roman"/>
        </w:rPr>
      </w:pPr>
      <w:r>
        <w:rPr>
          <w:rFonts w:eastAsia="Times New Roman"/>
          <w:color w:val="000000"/>
          <w:sz w:val="20"/>
          <w:szCs w:val="20"/>
        </w:rPr>
        <w:t>6</w:t>
      </w:r>
      <w:r>
        <w:rPr>
          <w:rFonts w:eastAsia="Times New Roman"/>
          <w:color w:val="000000"/>
          <w:sz w:val="20"/>
          <w:szCs w:val="20"/>
        </w:rPr>
        <w:t>8</w:t>
      </w:r>
    </w:p>
    <w:p w:rsidR="00000000" w:rsidRDefault="00775A8F">
      <w:pPr>
        <w:rPr>
          <w:rFonts w:eastAsia="Times New Roman"/>
        </w:rPr>
      </w:pPr>
      <w:r>
        <w:rPr>
          <w:rFonts w:eastAsia="Times New Roman"/>
        </w:rPr>
        <w:pict>
          <v:rect id="_x0000_i1094" style="width:0;height:1.5pt" o:hralign="center" o:hrstd="t" o:hr="t" fillcolor="#a0a0a0" stroked="f"/>
        </w:pict>
      </w:r>
    </w:p>
    <w:p w:rsidR="00000000" w:rsidRDefault="00775A8F">
      <w:pPr>
        <w:ind w:firstLine="360"/>
        <w:divId w:val="2002005369"/>
        <w:rPr>
          <w:rFonts w:eastAsia="Times New Roman"/>
        </w:rPr>
      </w:pPr>
    </w:p>
    <w:p w:rsidR="00000000" w:rsidRDefault="00775A8F">
      <w:pPr>
        <w:divId w:val="1366830015"/>
        <w:rPr>
          <w:rFonts w:eastAsia="Times New Roman"/>
        </w:rPr>
      </w:pPr>
      <w:r>
        <w:rPr>
          <w:rFonts w:eastAsia="Times New Roman"/>
          <w:b/>
          <w:bCs/>
          <w:color w:val="000000"/>
          <w:sz w:val="20"/>
          <w:szCs w:val="20"/>
        </w:rPr>
        <w:t>Macroeconomic and Industry Trends</w:t>
      </w:r>
      <w:r>
        <w:rPr>
          <w:rFonts w:eastAsia="Times New Roman"/>
          <w:b/>
          <w:bCs/>
          <w:color w:val="000000"/>
          <w:sz w:val="20"/>
          <w:szCs w:val="20"/>
        </w:rPr>
        <w:t xml:space="preserve"> </w:t>
      </w:r>
    </w:p>
    <w:p w:rsidR="00000000" w:rsidRDefault="00775A8F">
      <w:pPr>
        <w:ind w:firstLine="360"/>
        <w:divId w:val="1717705303"/>
        <w:rPr>
          <w:rFonts w:eastAsia="Times New Roman"/>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interest rate environment.</w:t>
      </w:r>
      <w:r>
        <w:rPr>
          <w:rFonts w:eastAsia="Times New Roman"/>
          <w:color w:val="000000"/>
          <w:sz w:val="20"/>
          <w:szCs w:val="20"/>
        </w:rPr>
        <w:t xml:space="preserve"> </w:t>
      </w:r>
    </w:p>
    <w:p w:rsidR="00000000" w:rsidRDefault="00775A8F">
      <w:pPr>
        <w:jc w:val="both"/>
        <w:divId w:val="434208762"/>
        <w:rPr>
          <w:rFonts w:eastAsia="Times New Roman"/>
        </w:rPr>
      </w:pPr>
      <w:r>
        <w:rPr>
          <w:rFonts w:eastAsia="Times New Roman"/>
          <w:b/>
          <w:bCs/>
          <w:i/>
          <w:iCs/>
          <w:color w:val="000000"/>
          <w:sz w:val="20"/>
          <w:szCs w:val="20"/>
        </w:rPr>
        <w:t>F</w:t>
      </w:r>
      <w:r>
        <w:rPr>
          <w:rFonts w:eastAsia="Times New Roman"/>
          <w:b/>
          <w:bCs/>
          <w:i/>
          <w:iCs/>
          <w:color w:val="000000"/>
          <w:sz w:val="20"/>
          <w:szCs w:val="20"/>
        </w:rPr>
        <w:t>inancial and Economic Environment</w:t>
      </w:r>
      <w:r>
        <w:rPr>
          <w:rFonts w:eastAsia="Times New Roman"/>
          <w:b/>
          <w:bCs/>
          <w:i/>
          <w:iCs/>
          <w:color w:val="000000"/>
          <w:sz w:val="20"/>
          <w:szCs w:val="20"/>
        </w:rPr>
        <w:t xml:space="preserve"> </w:t>
      </w:r>
    </w:p>
    <w:p w:rsidR="00000000" w:rsidRDefault="00775A8F">
      <w:pPr>
        <w:ind w:firstLine="360"/>
        <w:divId w:val="1339697811"/>
        <w:rPr>
          <w:rFonts w:eastAsia="Times New Roman"/>
        </w:rPr>
      </w:pPr>
      <w:r>
        <w:rPr>
          <w:rFonts w:eastAsia="Times New Roman"/>
          <w:color w:val="000000"/>
          <w:sz w:val="20"/>
          <w:szCs w:val="20"/>
        </w:rPr>
        <w:t>During the second quarter, the COVID-19 pandemic continued to adversely affect capital markets. As the pandemic evolved during the quarter, equity markets experienced significant volatility, interest rates continued to dr</w:t>
      </w:r>
      <w:r>
        <w:rPr>
          <w:rFonts w:eastAsia="Times New Roman"/>
          <w:color w:val="000000"/>
          <w:sz w:val="20"/>
          <w:szCs w:val="20"/>
        </w:rPr>
        <w:t>op to historical lows, and many state and local governments maintained or instituted orders for non-essential businesses to close and residents to shelter in place. This resulted in an unprecedented slow-down in economic activity, a related dramatic increa</w:t>
      </w:r>
      <w:r>
        <w:rPr>
          <w:rFonts w:eastAsia="Times New Roman"/>
          <w:color w:val="000000"/>
          <w:sz w:val="20"/>
          <w:szCs w:val="20"/>
        </w:rPr>
        <w:t>se in unemployment and fears of a global recession. Stressed conditions, volatility and disruptions in the capital markets, particular markets, or financial asset classes can have an adverse effect on us, in part because we have a large investment portfoli</w:t>
      </w:r>
      <w:r>
        <w:rPr>
          <w:rFonts w:eastAsia="Times New Roman"/>
          <w:color w:val="000000"/>
          <w:sz w:val="20"/>
          <w:szCs w:val="20"/>
        </w:rPr>
        <w:t>o and our insurance liabilities and derivatives are sensitive to changing market factors. An increase in market volatility could continue to affect our business, including through effects on the yields we earn on invested assets, changes in required reserv</w:t>
      </w:r>
      <w:r>
        <w:rPr>
          <w:rFonts w:eastAsia="Times New Roman"/>
          <w:color w:val="000000"/>
          <w:sz w:val="20"/>
          <w:szCs w:val="20"/>
        </w:rPr>
        <w:t>es and capital and fluctuations in the value of our AUM, AV or AUA from which we derive our fee income. These effects could be exacerbated by uncertainty about future fiscal policy, changes in tax policy, the scope of potential deregulation and levels of g</w:t>
      </w:r>
      <w:r>
        <w:rPr>
          <w:rFonts w:eastAsia="Times New Roman"/>
          <w:color w:val="000000"/>
          <w:sz w:val="20"/>
          <w:szCs w:val="20"/>
        </w:rPr>
        <w:t>lobal trade.</w:t>
      </w:r>
      <w:r>
        <w:rPr>
          <w:rFonts w:eastAsia="Times New Roman"/>
          <w:color w:val="000000"/>
          <w:sz w:val="20"/>
          <w:szCs w:val="20"/>
        </w:rPr>
        <w:t xml:space="preserve"> </w:t>
      </w:r>
    </w:p>
    <w:p w:rsidR="00000000" w:rsidRDefault="00775A8F">
      <w:pPr>
        <w:ind w:firstLine="360"/>
        <w:divId w:val="1568760178"/>
        <w:rPr>
          <w:rFonts w:eastAsia="Times New Roman"/>
        </w:rPr>
      </w:pPr>
      <w:r>
        <w:rPr>
          <w:rFonts w:eastAsia="Times New Roman"/>
          <w:color w:val="000000"/>
          <w:sz w:val="20"/>
          <w:szCs w:val="20"/>
        </w:rPr>
        <w:t>The potential for increased volatility, coupled with prevailing interest rates continuing to fall and/or remaining below historical averages, could pressure sales and reduce demand for our products as consumers consider purchasing alternative</w:t>
      </w:r>
      <w:r>
        <w:rPr>
          <w:rFonts w:eastAsia="Times New Roman"/>
          <w:color w:val="000000"/>
          <w:sz w:val="20"/>
          <w:szCs w:val="20"/>
        </w:rPr>
        <w:t xml:space="preserve"> products to meet their objectives. In addition, this environment could make it difficult to consistently develop products that are attractive to customers. Financial performance can be adversely affected by market volatility and equity market declines as </w:t>
      </w:r>
      <w:r>
        <w:rPr>
          <w:rFonts w:eastAsia="Times New Roman"/>
          <w:color w:val="000000"/>
          <w:sz w:val="20"/>
          <w:szCs w:val="20"/>
        </w:rPr>
        <w:t>fees driven by AV and AUM fluctuate, hedging costs increase and revenues decline due to reduced sales and increased outflows.</w:t>
      </w:r>
      <w:r>
        <w:rPr>
          <w:rFonts w:eastAsia="Times New Roman"/>
          <w:color w:val="000000"/>
          <w:sz w:val="20"/>
          <w:szCs w:val="20"/>
        </w:rPr>
        <w:t xml:space="preserve"> </w:t>
      </w:r>
    </w:p>
    <w:p w:rsidR="00000000" w:rsidRDefault="00775A8F">
      <w:pPr>
        <w:ind w:firstLine="360"/>
        <w:divId w:val="1810708445"/>
        <w:rPr>
          <w:rFonts w:eastAsia="Times New Roman"/>
        </w:rPr>
      </w:pPr>
      <w:r>
        <w:rPr>
          <w:rFonts w:eastAsia="Times New Roman"/>
          <w:color w:val="000000"/>
          <w:sz w:val="20"/>
          <w:szCs w:val="20"/>
        </w:rPr>
        <w:t>We monitor the behavior of our customers and other factors, including mortality rates, morbidity rates, annuitization rates and l</w:t>
      </w:r>
      <w:r>
        <w:rPr>
          <w:rFonts w:eastAsia="Times New Roman"/>
          <w:color w:val="000000"/>
          <w:sz w:val="20"/>
          <w:szCs w:val="20"/>
        </w:rPr>
        <w:t>apse and surrender rates, which change in response to changes in capital market conditions, to ensure that our products and solutions remain attractive and profitable. For additional information on our sensitivity to interest rates and capital market price</w:t>
      </w:r>
      <w:r>
        <w:rPr>
          <w:rFonts w:eastAsia="Times New Roman"/>
          <w:color w:val="000000"/>
          <w:sz w:val="20"/>
          <w:szCs w:val="20"/>
        </w:rPr>
        <w:t>s, see “Quantitative and Qualitative Disclosures About Market Risk.”</w:t>
      </w:r>
      <w:r>
        <w:rPr>
          <w:rFonts w:eastAsia="Times New Roman"/>
          <w:color w:val="000000"/>
          <w:sz w:val="20"/>
          <w:szCs w:val="20"/>
        </w:rPr>
        <w:t xml:space="preserve"> </w:t>
      </w:r>
    </w:p>
    <w:p w:rsidR="00000000" w:rsidRDefault="00775A8F">
      <w:pPr>
        <w:jc w:val="both"/>
        <w:divId w:val="1156916262"/>
        <w:rPr>
          <w:rFonts w:eastAsia="Times New Roman"/>
        </w:rPr>
      </w:pPr>
      <w:r>
        <w:rPr>
          <w:rFonts w:eastAsia="Times New Roman"/>
          <w:b/>
          <w:bCs/>
          <w:i/>
          <w:iCs/>
          <w:color w:val="000000"/>
          <w:sz w:val="20"/>
          <w:szCs w:val="20"/>
        </w:rPr>
        <w:t>Interest Rate Environment</w:t>
      </w:r>
      <w:r>
        <w:rPr>
          <w:rFonts w:eastAsia="Times New Roman"/>
          <w:b/>
          <w:bCs/>
          <w:i/>
          <w:iCs/>
          <w:color w:val="000000"/>
          <w:sz w:val="20"/>
          <w:szCs w:val="20"/>
        </w:rPr>
        <w:t xml:space="preserve"> </w:t>
      </w:r>
    </w:p>
    <w:p w:rsidR="00000000" w:rsidRDefault="00775A8F">
      <w:pPr>
        <w:ind w:firstLine="360"/>
        <w:divId w:val="1720737892"/>
        <w:rPr>
          <w:rFonts w:eastAsia="Times New Roman"/>
        </w:rPr>
      </w:pPr>
      <w:r>
        <w:rPr>
          <w:rFonts w:eastAsia="Times New Roman"/>
          <w:color w:val="000000"/>
          <w:sz w:val="20"/>
          <w:szCs w:val="20"/>
        </w:rPr>
        <w:t>We believe the interest rate environment will continue to impact our business and financial performance in the future for several reasons, including the follow</w:t>
      </w:r>
      <w:r>
        <w:rPr>
          <w:rFonts w:eastAsia="Times New Roman"/>
          <w:color w:val="000000"/>
          <w:sz w:val="20"/>
          <w:szCs w:val="20"/>
        </w:rPr>
        <w:t>ing:</w:t>
      </w:r>
      <w:r>
        <w:rPr>
          <w:rFonts w:eastAsia="Times New Roman"/>
          <w:color w:val="000000"/>
          <w:sz w:val="20"/>
          <w:szCs w:val="20"/>
        </w:rPr>
        <w:t xml:space="preserve"> </w:t>
      </w:r>
    </w:p>
    <w:p w:rsidR="00000000" w:rsidRDefault="00775A8F">
      <w:pPr>
        <w:ind w:hanging="360"/>
        <w:jc w:val="both"/>
        <w:divId w:val="2072119911"/>
        <w:rPr>
          <w:rFonts w:eastAsia="Times New Roman"/>
        </w:rPr>
      </w:pPr>
      <w:r>
        <w:rPr>
          <w:rFonts w:eastAsia="Times New Roman"/>
          <w:color w:val="000000"/>
          <w:sz w:val="20"/>
          <w:szCs w:val="20"/>
        </w:rPr>
        <w:t>•</w:t>
      </w: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portfolio decline, with the resulting investment ma</w:t>
      </w:r>
      <w:r>
        <w:rPr>
          <w:rFonts w:eastAsia="Times New Roman"/>
          <w:color w:val="000000"/>
          <w:sz w:val="20"/>
          <w:szCs w:val="20"/>
        </w:rPr>
        <w:t>rgin compression negatively impacting earnings. In addition, we expect more policyholders to hold policies with comparatively high guaranteed rates longer (lower lapse rates) in a low interest rate environment. Conversely, a rise in average yield on our in</w:t>
      </w:r>
      <w:r>
        <w:rPr>
          <w:rFonts w:eastAsia="Times New Roman"/>
          <w:color w:val="000000"/>
          <w:sz w:val="20"/>
          <w:szCs w:val="20"/>
        </w:rPr>
        <w:t>vestment portfolio should positively impact earnings. Similarly, we expect policyholders would be less likely to hold policies with existing guaranteed rates (higher lapse rates) as interest rates rise.</w:t>
      </w:r>
      <w:r>
        <w:rPr>
          <w:rFonts w:eastAsia="Times New Roman"/>
          <w:color w:val="000000"/>
          <w:sz w:val="20"/>
          <w:szCs w:val="20"/>
        </w:rPr>
        <w:t xml:space="preserve"> </w:t>
      </w:r>
    </w:p>
    <w:p w:rsidR="00000000" w:rsidRDefault="00775A8F">
      <w:pPr>
        <w:ind w:hanging="360"/>
        <w:divId w:val="505218691"/>
        <w:rPr>
          <w:rFonts w:eastAsia="Times New Roman"/>
        </w:rPr>
      </w:pPr>
      <w:r>
        <w:rPr>
          <w:rFonts w:eastAsia="Times New Roman"/>
          <w:color w:val="000000"/>
          <w:sz w:val="20"/>
          <w:szCs w:val="20"/>
        </w:rPr>
        <w:t>•</w:t>
      </w:r>
      <w:r>
        <w:rPr>
          <w:rFonts w:eastAsia="Times New Roman"/>
          <w:color w:val="000000"/>
          <w:sz w:val="20"/>
          <w:szCs w:val="20"/>
        </w:rPr>
        <w:t>A prolonged low interest rate environment also may subject us to increased hedging costs or an increase in the amount of statutory reserves that our insurance subsidiaries are required to hold for GMxB features, lowering their statutory surplus, which woul</w:t>
      </w:r>
      <w:r>
        <w:rPr>
          <w:rFonts w:eastAsia="Times New Roman"/>
          <w:color w:val="000000"/>
          <w:sz w:val="20"/>
          <w:szCs w:val="20"/>
        </w:rPr>
        <w:t>d adversely affect their ability to pay dividends to us. In addition, it may also increase the perceived value of GMxB features to our policyholders, which in turn may lead to a higher rate of annuitization and higher persistency of those products over tim</w:t>
      </w:r>
      <w:r>
        <w:rPr>
          <w:rFonts w:eastAsia="Times New Roman"/>
          <w:color w:val="000000"/>
          <w:sz w:val="20"/>
          <w:szCs w:val="20"/>
        </w:rPr>
        <w:t>e. Finally, low interest rates may continue to cause an acceleration of DAC amortization or reserve increase due to loss recognition for interest sensitive products, primarily for our Protection Solutions segment.</w:t>
      </w:r>
      <w:r>
        <w:rPr>
          <w:rFonts w:eastAsia="Times New Roman"/>
          <w:color w:val="000000"/>
          <w:sz w:val="20"/>
          <w:szCs w:val="20"/>
        </w:rPr>
        <w:t xml:space="preserve"> </w:t>
      </w:r>
    </w:p>
    <w:p w:rsidR="00000000" w:rsidRDefault="00775A8F">
      <w:pPr>
        <w:ind w:firstLine="360"/>
        <w:divId w:val="1547373838"/>
        <w:rPr>
          <w:rFonts w:eastAsia="Times New Roman"/>
        </w:rPr>
      </w:pPr>
      <w:r>
        <w:rPr>
          <w:rFonts w:eastAsia="Times New Roman"/>
          <w:color w:val="000000"/>
          <w:sz w:val="20"/>
          <w:szCs w:val="20"/>
        </w:rPr>
        <w:t>For a discussion on derivatives we used t</w:t>
      </w:r>
      <w:r>
        <w:rPr>
          <w:rFonts w:eastAsia="Times New Roman"/>
          <w:color w:val="000000"/>
          <w:sz w:val="20"/>
          <w:szCs w:val="20"/>
        </w:rPr>
        <w:t>o hedge interest rates, see Note 4 of the Notes to the Consolidated Financial Statements in this Form 10-Q</w:t>
      </w:r>
      <w:r>
        <w:rPr>
          <w:rFonts w:eastAsia="Times New Roman"/>
          <w:color w:val="000000"/>
          <w:sz w:val="20"/>
          <w:szCs w:val="20"/>
        </w:rPr>
        <w:t>.</w:t>
      </w:r>
    </w:p>
    <w:p w:rsidR="00000000" w:rsidRDefault="00775A8F">
      <w:pPr>
        <w:jc w:val="both"/>
        <w:divId w:val="1486244550"/>
        <w:rPr>
          <w:rFonts w:eastAsia="Times New Roman"/>
        </w:rPr>
      </w:pPr>
      <w:r>
        <w:rPr>
          <w:rFonts w:eastAsia="Times New Roman"/>
          <w:b/>
          <w:bCs/>
          <w:i/>
          <w:iCs/>
          <w:color w:val="000000"/>
          <w:sz w:val="20"/>
          <w:szCs w:val="20"/>
        </w:rPr>
        <w:t>Regulatory Developments</w:t>
      </w:r>
      <w:r>
        <w:rPr>
          <w:rFonts w:eastAsia="Times New Roman"/>
          <w:b/>
          <w:bCs/>
          <w:i/>
          <w:iCs/>
          <w:color w:val="000000"/>
          <w:sz w:val="20"/>
          <w:szCs w:val="20"/>
        </w:rPr>
        <w:t xml:space="preserve"> </w:t>
      </w:r>
    </w:p>
    <w:p w:rsidR="00000000" w:rsidRDefault="00775A8F">
      <w:pPr>
        <w:ind w:firstLine="360"/>
        <w:divId w:val="571281647"/>
        <w:rPr>
          <w:rFonts w:eastAsia="Times New Roman"/>
        </w:rPr>
      </w:pPr>
      <w:r>
        <w:rPr>
          <w:rFonts w:eastAsia="Times New Roman"/>
          <w:color w:val="000000"/>
          <w:sz w:val="20"/>
          <w:szCs w:val="20"/>
        </w:rPr>
        <w:t>Our life insurance subsidiaries are regulated primarily at the state level, with some policies and products also subject to</w:t>
      </w:r>
      <w:r>
        <w:rPr>
          <w:rFonts w:eastAsia="Times New Roman"/>
          <w:color w:val="000000"/>
          <w:sz w:val="20"/>
          <w:szCs w:val="20"/>
        </w:rPr>
        <w:t xml:space="preserve"> federal regulation. In addition, Holdings and its insurance subsidiaries are subject to regulation under the insurance holding company laws of various U.S. jurisdictions. Furthermore, on an ongoing basis, regulators refine capital requirements and introdu</w:t>
      </w:r>
      <w:r>
        <w:rPr>
          <w:rFonts w:eastAsia="Times New Roman"/>
          <w:color w:val="000000"/>
          <w:sz w:val="20"/>
          <w:szCs w:val="20"/>
        </w:rPr>
        <w:t>ce new reserving standards. See “Business—Regulation” and “Risk Factors—Legal and Regulatory Risks” in the 2019</w:t>
      </w:r>
      <w:r>
        <w:rPr>
          <w:rFonts w:eastAsia="Times New Roman"/>
          <w:color w:val="000000"/>
          <w:sz w:val="20"/>
          <w:szCs w:val="20"/>
        </w:rPr>
        <w:t xml:space="preserve"> </w:t>
      </w:r>
    </w:p>
    <w:p w:rsidR="00000000" w:rsidRDefault="00775A8F">
      <w:pPr>
        <w:jc w:val="center"/>
        <w:divId w:val="957371550"/>
        <w:rPr>
          <w:rFonts w:eastAsia="Times New Roman"/>
        </w:rPr>
      </w:pPr>
      <w:r>
        <w:rPr>
          <w:rFonts w:eastAsia="Times New Roman"/>
          <w:color w:val="000000"/>
          <w:sz w:val="20"/>
          <w:szCs w:val="20"/>
        </w:rPr>
        <w:t>6</w:t>
      </w:r>
      <w:r>
        <w:rPr>
          <w:rFonts w:eastAsia="Times New Roman"/>
          <w:color w:val="000000"/>
          <w:sz w:val="20"/>
          <w:szCs w:val="20"/>
        </w:rPr>
        <w:t>9</w:t>
      </w:r>
    </w:p>
    <w:p w:rsidR="00000000" w:rsidRDefault="00775A8F">
      <w:pPr>
        <w:rPr>
          <w:rFonts w:eastAsia="Times New Roman"/>
        </w:rPr>
      </w:pPr>
      <w:r>
        <w:rPr>
          <w:rFonts w:eastAsia="Times New Roman"/>
        </w:rPr>
        <w:pict>
          <v:rect id="_x0000_i1095" style="width:0;height:1.5pt" o:hralign="center" o:hrstd="t" o:hr="t" fillcolor="#a0a0a0" stroked="f"/>
        </w:pict>
      </w:r>
    </w:p>
    <w:p w:rsidR="00000000" w:rsidRDefault="00775A8F">
      <w:pPr>
        <w:ind w:firstLine="360"/>
        <w:divId w:val="129396640"/>
        <w:rPr>
          <w:rFonts w:eastAsia="Times New Roman"/>
        </w:rPr>
      </w:pPr>
    </w:p>
    <w:p w:rsidR="00000000" w:rsidRDefault="00775A8F">
      <w:pPr>
        <w:divId w:val="1444572158"/>
        <w:rPr>
          <w:rFonts w:eastAsia="Times New Roman"/>
        </w:rPr>
      </w:pPr>
      <w:r>
        <w:rPr>
          <w:rFonts w:eastAsia="Times New Roman"/>
          <w:color w:val="000000"/>
          <w:sz w:val="20"/>
          <w:szCs w:val="20"/>
        </w:rPr>
        <w:t>Form 10-K. Regulations recently adopted or currently under review can potentially impact our statutory reserve, capital requirements and profitability of the industry and result in increased regulation and oversight for the industry</w:t>
      </w:r>
      <w:r>
        <w:rPr>
          <w:rFonts w:eastAsia="Times New Roman"/>
          <w:color w:val="000000"/>
          <w:sz w:val="20"/>
          <w:szCs w:val="20"/>
        </w:rPr>
        <w:t>.</w:t>
      </w:r>
    </w:p>
    <w:p w:rsidR="00000000" w:rsidRDefault="00775A8F">
      <w:pPr>
        <w:ind w:hanging="360"/>
        <w:divId w:val="489368729"/>
        <w:rPr>
          <w:rFonts w:eastAsia="Times New Roman"/>
        </w:rPr>
      </w:pPr>
      <w:r>
        <w:rPr>
          <w:rFonts w:eastAsia="Times New Roman"/>
          <w:color w:val="000000"/>
          <w:sz w:val="20"/>
          <w:szCs w:val="20"/>
        </w:rPr>
        <w:t>•</w:t>
      </w:r>
      <w:r>
        <w:rPr>
          <w:rFonts w:eastAsia="Times New Roman"/>
          <w:i/>
          <w:iCs/>
          <w:color w:val="000000"/>
          <w:sz w:val="20"/>
          <w:szCs w:val="20"/>
        </w:rPr>
        <w:t>COVID-19 Impac</w:t>
      </w:r>
      <w:r>
        <w:rPr>
          <w:rFonts w:eastAsia="Times New Roman"/>
          <w:i/>
          <w:iCs/>
          <w:color w:val="000000"/>
          <w:sz w:val="20"/>
          <w:szCs w:val="20"/>
        </w:rPr>
        <w:t>t</w:t>
      </w:r>
      <w:r>
        <w:rPr>
          <w:rFonts w:eastAsia="Times New Roman"/>
          <w:color w:val="000000"/>
          <w:sz w:val="20"/>
          <w:szCs w:val="20"/>
        </w:rPr>
        <w:t>. In M</w:t>
      </w:r>
      <w:r>
        <w:rPr>
          <w:rFonts w:eastAsia="Times New Roman"/>
          <w:color w:val="000000"/>
          <w:sz w:val="20"/>
          <w:szCs w:val="20"/>
        </w:rPr>
        <w:t>arch 2020, in connection with the COVID-19 pandemic, many U.S. state insurance regulators began issuing bulletins, directives and guidance encouraging, requesting or directing licensed life insurance companies to implement life insurance policy measures su</w:t>
      </w:r>
      <w:r>
        <w:rPr>
          <w:rFonts w:eastAsia="Times New Roman"/>
          <w:color w:val="000000"/>
          <w:sz w:val="20"/>
          <w:szCs w:val="20"/>
        </w:rPr>
        <w:t>ch as: providing grace periods to policyholders for the payment of insurance premiums and forbearing on the cancellation or non-renewal of life insurance policies due to non-payment of premium. In addition, some states’ governors have issued emergency orde</w:t>
      </w:r>
      <w:r>
        <w:rPr>
          <w:rFonts w:eastAsia="Times New Roman"/>
          <w:color w:val="000000"/>
          <w:sz w:val="20"/>
          <w:szCs w:val="20"/>
        </w:rPr>
        <w:t>rs and state insurance commissioners have promulgated emergency regulations requiring such actions. For example, the NYDFS, which is the domiciliary regulator of our principal insurance subsidiary, Equitable Financial, promulgated emergency regulations req</w:t>
      </w:r>
      <w:r>
        <w:rPr>
          <w:rFonts w:eastAsia="Times New Roman"/>
          <w:color w:val="000000"/>
          <w:sz w:val="20"/>
          <w:szCs w:val="20"/>
        </w:rPr>
        <w:t>uiring insurance company actions with respect to many lines of insurance. Among other requirements, these emergency measures temporarily required New York licensed life insurers to extend the grace period for the payment of premiums and fees to 90 days for</w:t>
      </w:r>
      <w:r>
        <w:rPr>
          <w:rFonts w:eastAsia="Times New Roman"/>
          <w:color w:val="000000"/>
          <w:sz w:val="20"/>
          <w:szCs w:val="20"/>
        </w:rPr>
        <w:t xml:space="preserve"> any life policyholder or group certificate holder facing financial hardship as a result of the COVID-19 pandemic. In addition, licensed life insurers were required to provide 90 days to exercise rights or benefits for a policyholder who was unable timely </w:t>
      </w:r>
      <w:r>
        <w:rPr>
          <w:rFonts w:eastAsia="Times New Roman"/>
          <w:color w:val="000000"/>
          <w:sz w:val="20"/>
          <w:szCs w:val="20"/>
        </w:rPr>
        <w:t>to exercise such rights as a result of the COVID-19 pandemic. New York licensed insurers were prohibited from imposing any late fees or reporting such policyholder to a credit reporting agency or debt collection agency in the event of a policyholder’s fail</w:t>
      </w:r>
      <w:r>
        <w:rPr>
          <w:rFonts w:eastAsia="Times New Roman"/>
          <w:color w:val="000000"/>
          <w:sz w:val="20"/>
          <w:szCs w:val="20"/>
        </w:rPr>
        <w:t>ure to timely pay premium and were required to permit policyholders who did not make a premium payment due to financial hardship as a result of the COVID-19 pandemic to pay the premium over a 12-month period. These measures expired on July 6, 2020, however</w:t>
      </w:r>
      <w:r>
        <w:rPr>
          <w:rFonts w:eastAsia="Times New Roman"/>
          <w:color w:val="000000"/>
          <w:sz w:val="20"/>
          <w:szCs w:val="20"/>
        </w:rPr>
        <w:t xml:space="preserve"> we cannot predict what future orders or regulations, if any, will be implemented as a result of the ongoing COVID-19 pandemic</w:t>
      </w:r>
      <w:r>
        <w:rPr>
          <w:rFonts w:eastAsia="Times New Roman"/>
          <w:color w:val="000000"/>
          <w:sz w:val="20"/>
          <w:szCs w:val="20"/>
        </w:rPr>
        <w:t>.</w:t>
      </w:r>
    </w:p>
    <w:p w:rsidR="00000000" w:rsidRDefault="00775A8F">
      <w:pPr>
        <w:ind w:hanging="360"/>
        <w:divId w:val="1906990892"/>
        <w:rPr>
          <w:rFonts w:eastAsia="Times New Roman"/>
        </w:rPr>
      </w:pPr>
      <w:r>
        <w:rPr>
          <w:rFonts w:eastAsia="Times New Roman"/>
          <w:i/>
          <w:iCs/>
          <w:color w:val="000000"/>
          <w:sz w:val="20"/>
          <w:szCs w:val="20"/>
        </w:rPr>
        <w:t>•</w:t>
      </w:r>
      <w:r>
        <w:rPr>
          <w:rFonts w:eastAsia="Times New Roman"/>
          <w:i/>
          <w:iCs/>
          <w:color w:val="000000"/>
          <w:sz w:val="20"/>
          <w:szCs w:val="20"/>
        </w:rPr>
        <w:t>Variable Annuity Capital Standard</w:t>
      </w:r>
      <w:r>
        <w:rPr>
          <w:rFonts w:eastAsia="Times New Roman"/>
          <w:i/>
          <w:iCs/>
          <w:color w:val="000000"/>
          <w:sz w:val="20"/>
          <w:szCs w:val="20"/>
        </w:rPr>
        <w:t>s</w:t>
      </w:r>
      <w:r>
        <w:rPr>
          <w:rFonts w:eastAsia="Times New Roman"/>
          <w:color w:val="000000"/>
          <w:sz w:val="20"/>
          <w:szCs w:val="20"/>
        </w:rPr>
        <w:t>. In 2015, the NAIC Financial Condition (E) Committee established a working group to study an</w:t>
      </w:r>
      <w:r>
        <w:rPr>
          <w:rFonts w:eastAsia="Times New Roman"/>
          <w:color w:val="000000"/>
          <w:sz w:val="20"/>
          <w:szCs w:val="20"/>
        </w:rPr>
        <w:t>d address, as appropriate, regulatory issues resulting from variable annuity captive reinsurance transactions, including reforms that would improve the current statutory reserve and RBC framework for insurance companies that sell variable annuity products.</w:t>
      </w:r>
      <w:r>
        <w:rPr>
          <w:rFonts w:eastAsia="Times New Roman"/>
          <w:color w:val="000000"/>
          <w:sz w:val="20"/>
          <w:szCs w:val="20"/>
        </w:rPr>
        <w:t xml:space="preserve"> In August 2018, the NAIC adopted the new framework developed and proposed by this working group. Following its referral to various NAIC committees to develop the full implementation details, the new framework became operational in January 2020. Among othe</w:t>
      </w:r>
      <w:r>
        <w:rPr>
          <w:rFonts w:eastAsia="Times New Roman"/>
          <w:color w:val="000000"/>
          <w:sz w:val="20"/>
          <w:szCs w:val="20"/>
        </w:rPr>
        <w:t>r changes, the new framework includes new prescriptions for reflecting hedge effectiveness, investment returns, interest rates, mortality and policyholder behavior in calculating statutory reserves and RBC. Once effective, it is expected to materially chan</w:t>
      </w:r>
      <w:r>
        <w:rPr>
          <w:rFonts w:eastAsia="Times New Roman"/>
          <w:color w:val="000000"/>
          <w:sz w:val="20"/>
          <w:szCs w:val="20"/>
        </w:rPr>
        <w:t>ge the level of variable annuity reserves and RBC requirements as well as their sensitivity to capital markets including interest rate, equity markets, volatility and credit spreads. Overall, we believe the NAIC reform has moved variable annuity capital st</w:t>
      </w:r>
      <w:r>
        <w:rPr>
          <w:rFonts w:eastAsia="Times New Roman"/>
          <w:color w:val="000000"/>
          <w:sz w:val="20"/>
          <w:szCs w:val="20"/>
        </w:rPr>
        <w:t>andards towards an economic framework and is consistent with how we manage our business. The Company adopted the NAIC reserve and capital framework for the year ended December 31, 2019</w:t>
      </w:r>
      <w:r>
        <w:rPr>
          <w:rFonts w:eastAsia="Times New Roman"/>
          <w:color w:val="000000"/>
          <w:sz w:val="20"/>
          <w:szCs w:val="20"/>
        </w:rPr>
        <w:t>.</w:t>
      </w:r>
    </w:p>
    <w:p w:rsidR="00000000" w:rsidRDefault="00775A8F">
      <w:pPr>
        <w:ind w:hanging="360"/>
        <w:divId w:val="848833834"/>
        <w:rPr>
          <w:rFonts w:eastAsia="Times New Roman"/>
        </w:rPr>
      </w:pPr>
      <w:r>
        <w:rPr>
          <w:rFonts w:eastAsia="Times New Roman"/>
          <w:color w:val="000000"/>
          <w:sz w:val="20"/>
          <w:szCs w:val="20"/>
        </w:rPr>
        <w:t>•</w:t>
      </w:r>
      <w:r>
        <w:rPr>
          <w:rFonts w:eastAsia="Times New Roman"/>
          <w:color w:val="000000"/>
          <w:sz w:val="20"/>
          <w:szCs w:val="20"/>
        </w:rPr>
        <w:t>On February 26, 2020 the NYDFS adopted amendments to Regulation 213 t</w:t>
      </w:r>
      <w:r>
        <w:rPr>
          <w:rFonts w:eastAsia="Times New Roman"/>
          <w:color w:val="000000"/>
          <w:sz w:val="20"/>
          <w:szCs w:val="20"/>
        </w:rPr>
        <w:t>hat differ from the NAIC variable annuity reserve and capital framework. These amendments will not materially affect the Company’s GAAP financial condition, results of operations or stockholders’ equity.  However,  Regulation 213, as amended, absent manage</w:t>
      </w:r>
      <w:r>
        <w:rPr>
          <w:rFonts w:eastAsia="Times New Roman"/>
          <w:color w:val="000000"/>
          <w:sz w:val="20"/>
          <w:szCs w:val="20"/>
        </w:rPr>
        <w:t xml:space="preserve">ment action, will require our principal insurance subsidiary, Equitable Financial, to carry statutory basis reserves for its variable annuity contract obligations equal to the greater of those required under (i) the NAIC standard or (ii) a revised version </w:t>
      </w:r>
      <w:r>
        <w:rPr>
          <w:rFonts w:eastAsia="Times New Roman"/>
          <w:color w:val="000000"/>
          <w:sz w:val="20"/>
          <w:szCs w:val="20"/>
        </w:rPr>
        <w:t xml:space="preserve">of the NYDFS requirement in effect prior to the adoption of the amendment for contracts issued prior to January 1, 2020, and for policies issued after that date a new standard that we believe is more conservative than the NAIC standard.  Absent management </w:t>
      </w:r>
      <w:r>
        <w:rPr>
          <w:rFonts w:eastAsia="Times New Roman"/>
          <w:color w:val="000000"/>
          <w:sz w:val="20"/>
          <w:szCs w:val="20"/>
        </w:rPr>
        <w:t>action, we believe that the adoption of the amendments will materially increase the statutory basis reserves that Equitable Financial will be required to carry and, will materially and adversely affect the capacity of Equitable Financial to distribute divi</w:t>
      </w:r>
      <w:r>
        <w:rPr>
          <w:rFonts w:eastAsia="Times New Roman"/>
          <w:color w:val="000000"/>
          <w:sz w:val="20"/>
          <w:szCs w:val="20"/>
        </w:rPr>
        <w:t>dends to the Company beyond 2020.  As a holding company, we rely on dividends and other payments from our subsidiaries and, accordingly, any material limitation on Equitable Financial’s dividend capacity could materially affect our ability to return capita</w:t>
      </w:r>
      <w:r>
        <w:rPr>
          <w:rFonts w:eastAsia="Times New Roman"/>
          <w:color w:val="000000"/>
          <w:sz w:val="20"/>
          <w:szCs w:val="20"/>
        </w:rPr>
        <w:t>l to stockholders through dividends and stock repurchases.  The Company is considering management actions to mitigate the impact of Regulation 213. These actions could include seeking further amendment of Regulation 213 or exemptive relief therefrom to mak</w:t>
      </w:r>
      <w:r>
        <w:rPr>
          <w:rFonts w:eastAsia="Times New Roman"/>
          <w:color w:val="000000"/>
          <w:sz w:val="20"/>
          <w:szCs w:val="20"/>
        </w:rPr>
        <w:t xml:space="preserve">e the regulation’s application to Equitable Financial more consistent with the NAIC reserve and capital framework, as well as changing our underwriting practices to emphasize issuing variable annuity products out of subsidiaries which are not domiciled in </w:t>
      </w:r>
      <w:r>
        <w:rPr>
          <w:rFonts w:eastAsia="Times New Roman"/>
          <w:color w:val="000000"/>
          <w:sz w:val="20"/>
          <w:szCs w:val="20"/>
        </w:rPr>
        <w:t>New York, increasing the use of reinsurance and other corporate transactions intended to reduce the impact of the regulation.  There can be no assurance that any management action individually or collectively will fully mitigate the impact of Regulation 21</w:t>
      </w:r>
      <w:r>
        <w:rPr>
          <w:rFonts w:eastAsia="Times New Roman"/>
          <w:color w:val="000000"/>
          <w:sz w:val="20"/>
          <w:szCs w:val="20"/>
        </w:rPr>
        <w:t>3. Other state insurance regulators may also propose and adopt standards different from the NAIC framework</w:t>
      </w:r>
      <w:r>
        <w:rPr>
          <w:rFonts w:eastAsia="Times New Roman"/>
          <w:color w:val="000000"/>
          <w:sz w:val="20"/>
          <w:szCs w:val="20"/>
        </w:rPr>
        <w:t>.</w:t>
      </w:r>
    </w:p>
    <w:p w:rsidR="00000000" w:rsidRDefault="00775A8F">
      <w:pPr>
        <w:ind w:hanging="360"/>
        <w:divId w:val="1052343570"/>
        <w:rPr>
          <w:rFonts w:eastAsia="Times New Roman"/>
        </w:rPr>
      </w:pPr>
      <w:r>
        <w:rPr>
          <w:rFonts w:eastAsia="Times New Roman"/>
          <w:color w:val="000000"/>
          <w:sz w:val="22"/>
          <w:szCs w:val="22"/>
        </w:rPr>
        <w:t>•</w:t>
      </w:r>
      <w:r>
        <w:rPr>
          <w:rFonts w:eastAsia="Times New Roman"/>
          <w:i/>
          <w:iCs/>
          <w:color w:val="000000"/>
          <w:sz w:val="20"/>
          <w:szCs w:val="20"/>
        </w:rPr>
        <w:t>DOL Fiduciary Rule and “Best Interest” PTE</w:t>
      </w:r>
      <w:r>
        <w:rPr>
          <w:rFonts w:eastAsia="Times New Roman"/>
          <w:i/>
          <w:iCs/>
          <w:color w:val="000000"/>
          <w:sz w:val="20"/>
          <w:szCs w:val="20"/>
        </w:rPr>
        <w:t>s</w:t>
      </w:r>
      <w:r>
        <w:rPr>
          <w:rFonts w:eastAsia="Times New Roman"/>
          <w:color w:val="000000"/>
          <w:sz w:val="20"/>
          <w:szCs w:val="20"/>
        </w:rPr>
        <w:t>. In the wake of the March 2018 federal appeals court decision to vacate the DOL Fiduciary Rule, the DOL</w:t>
      </w:r>
      <w:r>
        <w:rPr>
          <w:rFonts w:eastAsia="Times New Roman"/>
          <w:color w:val="000000"/>
          <w:sz w:val="20"/>
          <w:szCs w:val="20"/>
        </w:rPr>
        <w:t xml:space="preserve"> announced that it planned to issue revised fiduciary investment advice regulations. In June 2020, the DOL proposed a “best interest” prohibited transaction exemption (“PTE”) for investment advice fiduciaries under ERISA. The proposal restores the five-par</w:t>
      </w:r>
      <w:r>
        <w:rPr>
          <w:rFonts w:eastAsia="Times New Roman"/>
          <w:color w:val="000000"/>
          <w:sz w:val="20"/>
          <w:szCs w:val="20"/>
        </w:rPr>
        <w:t>t test for determining fiduciary status that was in effect</w:t>
      </w:r>
      <w:r>
        <w:rPr>
          <w:rFonts w:eastAsia="Times New Roman"/>
          <w:color w:val="000000"/>
          <w:sz w:val="20"/>
          <w:szCs w:val="20"/>
        </w:rPr>
        <w:t xml:space="preserve"> </w:t>
      </w:r>
    </w:p>
    <w:p w:rsidR="00000000" w:rsidRDefault="00775A8F">
      <w:pPr>
        <w:jc w:val="center"/>
        <w:divId w:val="1524518040"/>
        <w:rPr>
          <w:rFonts w:eastAsia="Times New Roman"/>
        </w:rPr>
      </w:pPr>
      <w:r>
        <w:rPr>
          <w:rFonts w:eastAsia="Times New Roman"/>
          <w:color w:val="000000"/>
          <w:sz w:val="20"/>
          <w:szCs w:val="20"/>
        </w:rPr>
        <w:t>7</w:t>
      </w:r>
      <w:r>
        <w:rPr>
          <w:rFonts w:eastAsia="Times New Roman"/>
          <w:color w:val="000000"/>
          <w:sz w:val="20"/>
          <w:szCs w:val="20"/>
        </w:rPr>
        <w:t>0</w:t>
      </w:r>
    </w:p>
    <w:p w:rsidR="00000000" w:rsidRDefault="00775A8F">
      <w:pPr>
        <w:rPr>
          <w:rFonts w:eastAsia="Times New Roman"/>
        </w:rPr>
      </w:pPr>
      <w:r>
        <w:rPr>
          <w:rFonts w:eastAsia="Times New Roman"/>
        </w:rPr>
        <w:pict>
          <v:rect id="_x0000_i1096" style="width:0;height:1.5pt" o:hralign="center" o:hrstd="t" o:hr="t" fillcolor="#a0a0a0" stroked="f"/>
        </w:pict>
      </w:r>
    </w:p>
    <w:p w:rsidR="00000000" w:rsidRDefault="00775A8F">
      <w:pPr>
        <w:ind w:firstLine="360"/>
        <w:divId w:val="1597250008"/>
        <w:rPr>
          <w:rFonts w:eastAsia="Times New Roman"/>
        </w:rPr>
      </w:pPr>
    </w:p>
    <w:p w:rsidR="00000000" w:rsidRDefault="00775A8F">
      <w:pPr>
        <w:divId w:val="451483996"/>
        <w:rPr>
          <w:rFonts w:eastAsia="Times New Roman"/>
        </w:rPr>
      </w:pPr>
      <w:r>
        <w:rPr>
          <w:rFonts w:eastAsia="Times New Roman"/>
          <w:color w:val="000000"/>
          <w:sz w:val="20"/>
          <w:szCs w:val="20"/>
        </w:rPr>
        <w:t>prior to the DOL Fiduciary Rule, although the scope of the PTE now extends to rollover transactions if they constitute “investment advice” under the five-</w:t>
      </w:r>
      <w:r>
        <w:rPr>
          <w:rFonts w:eastAsia="Times New Roman"/>
          <w:color w:val="000000"/>
          <w:sz w:val="20"/>
          <w:szCs w:val="20"/>
        </w:rPr>
        <w:t>part test. If fiduciary status is triggered, the PTE prescribes a set of impartial conduct standards and disclosure obligations that are intended to be consistent with the SEC’s Regulation Best Interest. We are currently assessing the proposed PTE to deter</w:t>
      </w:r>
      <w:r>
        <w:rPr>
          <w:rFonts w:eastAsia="Times New Roman"/>
          <w:color w:val="000000"/>
          <w:sz w:val="20"/>
          <w:szCs w:val="20"/>
        </w:rPr>
        <w:t>mine the impact it may have on our business</w:t>
      </w:r>
      <w:r>
        <w:rPr>
          <w:rFonts w:eastAsia="Times New Roman"/>
          <w:color w:val="000000"/>
          <w:sz w:val="20"/>
          <w:szCs w:val="20"/>
        </w:rPr>
        <w:t>.</w:t>
      </w:r>
    </w:p>
    <w:p w:rsidR="00000000" w:rsidRDefault="00775A8F">
      <w:pPr>
        <w:ind w:hanging="360"/>
        <w:divId w:val="2114741064"/>
        <w:rPr>
          <w:rFonts w:eastAsia="Times New Roman"/>
        </w:rPr>
      </w:pPr>
      <w:r>
        <w:rPr>
          <w:rFonts w:eastAsia="Times New Roman"/>
          <w:color w:val="000000"/>
          <w:sz w:val="20"/>
          <w:szCs w:val="20"/>
        </w:rPr>
        <w:t>•</w:t>
      </w:r>
      <w:r>
        <w:rPr>
          <w:rFonts w:eastAsia="Times New Roman"/>
          <w:i/>
          <w:iCs/>
          <w:color w:val="000000"/>
          <w:sz w:val="20"/>
          <w:szCs w:val="20"/>
        </w:rPr>
        <w:t>Other “Best Interest” Standards of Conduc</w:t>
      </w:r>
      <w:r>
        <w:rPr>
          <w:rFonts w:eastAsia="Times New Roman"/>
          <w:i/>
          <w:iCs/>
          <w:color w:val="000000"/>
          <w:sz w:val="20"/>
          <w:szCs w:val="20"/>
        </w:rPr>
        <w:t>t</w:t>
      </w:r>
      <w:r>
        <w:rPr>
          <w:rFonts w:eastAsia="Times New Roman"/>
          <w:color w:val="000000"/>
          <w:sz w:val="20"/>
          <w:szCs w:val="20"/>
        </w:rPr>
        <w:t>. Following the decision to vacate the DOL Fiduciary Rule in 2018, the NAIC adopted, and state regulators either have adopted or are currently considering whether to ap</w:t>
      </w:r>
      <w:r>
        <w:rPr>
          <w:rFonts w:eastAsia="Times New Roman"/>
          <w:color w:val="000000"/>
          <w:sz w:val="20"/>
          <w:szCs w:val="20"/>
        </w:rPr>
        <w:t>ply, an impartial conduct or fiduciary standard to recommendations made in connection with certain annuities and, in one case, to life insurance policies. For example, the NAIC has amended its Suitability in Annuity Transactions Model Regulation to apply a</w:t>
      </w:r>
      <w:r>
        <w:rPr>
          <w:rFonts w:eastAsia="Times New Roman"/>
          <w:color w:val="000000"/>
          <w:sz w:val="20"/>
          <w:szCs w:val="20"/>
        </w:rPr>
        <w:t xml:space="preserve"> best interest of the consumer standard to insurance producers’ annuity recommendations and require that insurers supervise such recommendations. To date, the amended regulation has been adopted in Iowa and Arizona. In July 2018, the NYDFS issued a final v</w:t>
      </w:r>
      <w:r>
        <w:rPr>
          <w:rFonts w:eastAsia="Times New Roman"/>
          <w:color w:val="000000"/>
          <w:sz w:val="20"/>
          <w:szCs w:val="20"/>
        </w:rPr>
        <w:t>ersion of Regulation 187 that adopts a “best interest” standard for recommendations regarding the sale of life insurance and annuity products in New York. Regulation 187 took effect on August 1, 2019 with respect to annuity sales and took effect on Februar</w:t>
      </w:r>
      <w:r>
        <w:rPr>
          <w:rFonts w:eastAsia="Times New Roman"/>
          <w:color w:val="000000"/>
          <w:sz w:val="20"/>
          <w:szCs w:val="20"/>
        </w:rPr>
        <w:t>y 1, 2020 for life insurance sales and is applicable to sales of life insurance and annuity products in New York. We have developed our compliance framework for Regulation 187 with respect to annuity sales as well as our life insurance business. In additio</w:t>
      </w:r>
      <w:r>
        <w:rPr>
          <w:rFonts w:eastAsia="Times New Roman"/>
          <w:color w:val="000000"/>
          <w:sz w:val="20"/>
          <w:szCs w:val="20"/>
        </w:rPr>
        <w:t xml:space="preserve">n, state regulators and legislatures in Nevada, New Jersey and Maryland have proposed measures that would make broker-dealers, sales agents, and investment advisers and their representatives subject to a fiduciary duty when providing products and services </w:t>
      </w:r>
      <w:r>
        <w:rPr>
          <w:rFonts w:eastAsia="Times New Roman"/>
          <w:color w:val="000000"/>
          <w:sz w:val="20"/>
          <w:szCs w:val="20"/>
        </w:rPr>
        <w:t>to customers, including pension plans and IRAs. Massachusetts has adopted such a regulation applying a fiduciary duty standard to broker-dealers and their agents, but it does not apply to insurance product sales, including variable annuities. Beyond the Ne</w:t>
      </w:r>
      <w:r>
        <w:rPr>
          <w:rFonts w:eastAsia="Times New Roman"/>
          <w:color w:val="000000"/>
          <w:sz w:val="20"/>
          <w:szCs w:val="20"/>
        </w:rPr>
        <w:t>w York regulation, the likelihood of enactment of any such state-based regulation is uncertain at this time, but if implemented, these regulations could have adverse effects on our business and consolidated results of operations</w:t>
      </w:r>
      <w:r>
        <w:rPr>
          <w:rFonts w:eastAsia="Times New Roman"/>
          <w:color w:val="000000"/>
          <w:sz w:val="20"/>
          <w:szCs w:val="20"/>
        </w:rPr>
        <w:t>.</w:t>
      </w:r>
    </w:p>
    <w:p w:rsidR="00000000" w:rsidRDefault="00775A8F">
      <w:pPr>
        <w:ind w:hanging="360"/>
        <w:divId w:val="1417361724"/>
        <w:rPr>
          <w:rFonts w:eastAsia="Times New Roman"/>
        </w:rPr>
      </w:pPr>
      <w:r>
        <w:rPr>
          <w:rFonts w:eastAsia="Times New Roman"/>
          <w:color w:val="000000"/>
          <w:sz w:val="20"/>
          <w:szCs w:val="20"/>
        </w:rPr>
        <w:t>•</w:t>
      </w:r>
      <w:r>
        <w:rPr>
          <w:rFonts w:eastAsia="Times New Roman"/>
          <w:i/>
          <w:iCs/>
          <w:color w:val="000000"/>
          <w:sz w:val="20"/>
          <w:szCs w:val="20"/>
        </w:rPr>
        <w:t>Regulation Best Interes</w:t>
      </w:r>
      <w:r>
        <w:rPr>
          <w:rFonts w:eastAsia="Times New Roman"/>
          <w:i/>
          <w:iCs/>
          <w:color w:val="000000"/>
          <w:sz w:val="20"/>
          <w:szCs w:val="20"/>
        </w:rPr>
        <w:t>t</w:t>
      </w:r>
      <w:r>
        <w:rPr>
          <w:rFonts w:eastAsia="Times New Roman"/>
          <w:color w:val="000000"/>
          <w:sz w:val="20"/>
          <w:szCs w:val="20"/>
        </w:rPr>
        <w:t>.</w:t>
      </w:r>
      <w:r>
        <w:rPr>
          <w:rFonts w:eastAsia="Times New Roman"/>
          <w:color w:val="000000"/>
          <w:sz w:val="20"/>
          <w:szCs w:val="20"/>
        </w:rPr>
        <w:t xml:space="preserve"> In June 2019, the SEC released a set of rules that, among other things, enhance the existing standard of conduct for broker-dealers to require them to act in the best interest of their retail customers (“Regulation Best Interest”); clarify the nature of t</w:t>
      </w:r>
      <w:r>
        <w:rPr>
          <w:rFonts w:eastAsia="Times New Roman"/>
          <w:color w:val="000000"/>
          <w:sz w:val="20"/>
          <w:szCs w:val="20"/>
        </w:rPr>
        <w:t>he fiduciary obligations owed by registered investment advisers to their clients; impose new disclosure requirements aimed at ensuring investors understand the nature of their relationship with their investment professionals; and restrict certain broker-de</w:t>
      </w:r>
      <w:r>
        <w:rPr>
          <w:rFonts w:eastAsia="Times New Roman"/>
          <w:color w:val="000000"/>
          <w:sz w:val="20"/>
          <w:szCs w:val="20"/>
        </w:rPr>
        <w:t>alers and their financial professionals from using the terms “adviser” or “advisor”. The effective date for compliance with these rules was June 30, 2020. Investment advisers to retail clients as well as broker-dealers serving retail customers are now requ</w:t>
      </w:r>
      <w:r>
        <w:rPr>
          <w:rFonts w:eastAsia="Times New Roman"/>
          <w:color w:val="000000"/>
          <w:sz w:val="20"/>
          <w:szCs w:val="20"/>
        </w:rPr>
        <w:t>ired to deliver to retail clients and customers and file with the SEC the new Form CRS, which provides disclosures about its standard of conduct and conflicts of interest. The intent of these rules is to impose on broker-dealers an enhanced duty of care to</w:t>
      </w:r>
      <w:r>
        <w:rPr>
          <w:rFonts w:eastAsia="Times New Roman"/>
          <w:color w:val="000000"/>
          <w:sz w:val="20"/>
          <w:szCs w:val="20"/>
        </w:rPr>
        <w:t xml:space="preserve"> their customers similar to that which applies to investment advisers under existing law and to require both broker-dealers and investment advisers to provide enhanced disclosure regarding the nature of their services to retail clients and customers and as</w:t>
      </w:r>
      <w:r>
        <w:rPr>
          <w:rFonts w:eastAsia="Times New Roman"/>
          <w:color w:val="000000"/>
          <w:sz w:val="20"/>
          <w:szCs w:val="20"/>
        </w:rPr>
        <w:t>sociated conflicts of interest. We have developed systems and processes and put in place policies and procedures to ensure that we are in compliance with Regulation Best Interest. Meanwhile, two lawsuits, one by seven states and the District of Columbia an</w:t>
      </w:r>
      <w:r>
        <w:rPr>
          <w:rFonts w:eastAsia="Times New Roman"/>
          <w:color w:val="000000"/>
          <w:sz w:val="20"/>
          <w:szCs w:val="20"/>
        </w:rPr>
        <w:t>d the other by private firms, which were filed in September 2019 and sought to vacate Regulation Best Interest, were dismissed by the U.S. Second Circuit Court of Appeals in June 2020, and the plaintiffs have not yet announced whether they intend appeal to</w:t>
      </w:r>
      <w:r>
        <w:rPr>
          <w:rFonts w:eastAsia="Times New Roman"/>
          <w:color w:val="000000"/>
          <w:sz w:val="20"/>
          <w:szCs w:val="20"/>
        </w:rPr>
        <w:t xml:space="preserve"> the U.S. Supreme Court. In addition, FINRA is also currently focusing on examining compliance efforts by broker-dealers with Regulation Best Interest</w:t>
      </w:r>
      <w:r>
        <w:rPr>
          <w:rFonts w:eastAsia="Times New Roman"/>
          <w:color w:val="000000"/>
          <w:sz w:val="20"/>
          <w:szCs w:val="20"/>
        </w:rPr>
        <w:t>.</w:t>
      </w:r>
    </w:p>
    <w:p w:rsidR="00000000" w:rsidRDefault="00775A8F">
      <w:pPr>
        <w:ind w:hanging="360"/>
        <w:divId w:val="1418357265"/>
        <w:rPr>
          <w:rFonts w:eastAsia="Times New Roman"/>
        </w:rPr>
      </w:pPr>
      <w:r>
        <w:rPr>
          <w:rFonts w:eastAsia="Times New Roman"/>
          <w:color w:val="000000"/>
          <w:sz w:val="20"/>
          <w:szCs w:val="20"/>
        </w:rPr>
        <w:t>•</w:t>
      </w:r>
      <w:r>
        <w:rPr>
          <w:rFonts w:eastAsia="Times New Roman"/>
          <w:i/>
          <w:iCs/>
          <w:color w:val="000000"/>
          <w:sz w:val="20"/>
          <w:szCs w:val="20"/>
        </w:rPr>
        <w:t>Derivatives Regulatio</w:t>
      </w:r>
      <w:r>
        <w:rPr>
          <w:rFonts w:eastAsia="Times New Roman"/>
          <w:i/>
          <w:iCs/>
          <w:color w:val="000000"/>
          <w:sz w:val="20"/>
          <w:szCs w:val="20"/>
        </w:rPr>
        <w:t>n</w:t>
      </w:r>
      <w:r>
        <w:rPr>
          <w:rFonts w:eastAsia="Times New Roman"/>
          <w:color w:val="000000"/>
          <w:sz w:val="20"/>
          <w:szCs w:val="20"/>
        </w:rPr>
        <w:t>. The amount of collateral we are required to pledge and the expenses we incur un</w:t>
      </w:r>
      <w:r>
        <w:rPr>
          <w:rFonts w:eastAsia="Times New Roman"/>
          <w:color w:val="000000"/>
          <w:sz w:val="20"/>
          <w:szCs w:val="20"/>
        </w:rPr>
        <w:t xml:space="preserve">der our derivatives transactions are expected to increase as a result of the requirement to pledge initial margin for non-centrally cleared derivative transactions (“OTC” derivatives) entered into after the phase-in period, which will become applicable to </w:t>
      </w:r>
      <w:r>
        <w:rPr>
          <w:rFonts w:eastAsia="Times New Roman"/>
          <w:color w:val="000000"/>
          <w:sz w:val="20"/>
          <w:szCs w:val="20"/>
        </w:rPr>
        <w:t>us in September 2021 as a result of adoption by the Office of the Comptroller of the Currency, the Federal Reserve Board, the FDIC, the Farm Credit Administration, and the Federal Housing Finance Agency and the Commodity Futures Trading Commission of final</w:t>
      </w:r>
      <w:r>
        <w:rPr>
          <w:rFonts w:eastAsia="Times New Roman"/>
          <w:color w:val="000000"/>
          <w:sz w:val="20"/>
          <w:szCs w:val="20"/>
        </w:rPr>
        <w:t xml:space="preserve"> margin requirements for OTC derivatives. Also, the SEC has finalized and adopted the final set of rules related to security-based swaps, which triggers the compliance date for security-based swap entities registration and compliance with previously adopte</w:t>
      </w:r>
      <w:r>
        <w:rPr>
          <w:rFonts w:eastAsia="Times New Roman"/>
          <w:color w:val="000000"/>
          <w:sz w:val="20"/>
          <w:szCs w:val="20"/>
        </w:rPr>
        <w:t>d rules regarding margin, capital, segregation, recordkeeping and reporting and business conduct for security-based swaps. The rules became effective on April 6, 2020. The compliance date for registration of (i) security-based swap dealers that incur a reg</w:t>
      </w:r>
      <w:r>
        <w:rPr>
          <w:rFonts w:eastAsia="Times New Roman"/>
          <w:color w:val="000000"/>
          <w:sz w:val="20"/>
          <w:szCs w:val="20"/>
        </w:rPr>
        <w:t>istration obligation as a result of meeting certain thresholds to be set by the SEC on August 6, 2021 will be November 1, 2021 and (ii) major security-based swap participants that incur a registration obligation as a result of security-based swap activitie</w:t>
      </w:r>
      <w:r>
        <w:rPr>
          <w:rFonts w:eastAsia="Times New Roman"/>
          <w:color w:val="000000"/>
          <w:sz w:val="20"/>
          <w:szCs w:val="20"/>
        </w:rPr>
        <w:t>s in their quarter ending September 30, 2021 will be December 1, 2021. We continue to monitor developments and are evaluating the potential effect these rules might have on our business</w:t>
      </w:r>
      <w:r>
        <w:rPr>
          <w:rFonts w:eastAsia="Times New Roman"/>
          <w:color w:val="000000"/>
          <w:sz w:val="20"/>
          <w:szCs w:val="20"/>
        </w:rPr>
        <w:t>.</w:t>
      </w:r>
    </w:p>
    <w:p w:rsidR="00000000" w:rsidRDefault="00775A8F">
      <w:pPr>
        <w:jc w:val="center"/>
        <w:divId w:val="648824396"/>
        <w:rPr>
          <w:rFonts w:eastAsia="Times New Roman"/>
        </w:rPr>
      </w:pPr>
      <w:r>
        <w:rPr>
          <w:rFonts w:eastAsia="Times New Roman"/>
          <w:color w:val="000000"/>
          <w:sz w:val="20"/>
          <w:szCs w:val="20"/>
        </w:rPr>
        <w:t>7</w:t>
      </w:r>
      <w:r>
        <w:rPr>
          <w:rFonts w:eastAsia="Times New Roman"/>
          <w:color w:val="000000"/>
          <w:sz w:val="20"/>
          <w:szCs w:val="20"/>
        </w:rPr>
        <w:t>1</w:t>
      </w:r>
    </w:p>
    <w:p w:rsidR="00000000" w:rsidRDefault="00775A8F">
      <w:pPr>
        <w:rPr>
          <w:rFonts w:eastAsia="Times New Roman"/>
        </w:rPr>
      </w:pPr>
      <w:r>
        <w:rPr>
          <w:rFonts w:eastAsia="Times New Roman"/>
        </w:rPr>
        <w:pict>
          <v:rect id="_x0000_i1097" style="width:0;height:1.5pt" o:hralign="center" o:hrstd="t" o:hr="t" fillcolor="#a0a0a0" stroked="f"/>
        </w:pict>
      </w:r>
    </w:p>
    <w:p w:rsidR="00000000" w:rsidRDefault="00775A8F">
      <w:pPr>
        <w:ind w:firstLine="360"/>
        <w:divId w:val="283313103"/>
        <w:rPr>
          <w:rFonts w:eastAsia="Times New Roman"/>
        </w:rPr>
      </w:pPr>
    </w:p>
    <w:p w:rsidR="00000000" w:rsidRDefault="00775A8F">
      <w:pPr>
        <w:jc w:val="both"/>
        <w:divId w:val="765618096"/>
        <w:rPr>
          <w:rFonts w:eastAsia="Times New Roman"/>
        </w:rPr>
      </w:pPr>
      <w:r>
        <w:rPr>
          <w:rFonts w:eastAsia="Times New Roman"/>
          <w:b/>
          <w:bCs/>
          <w:i/>
          <w:iCs/>
          <w:color w:val="000000"/>
          <w:sz w:val="20"/>
          <w:szCs w:val="20"/>
        </w:rPr>
        <w:t>Impact of the SECURE Ac</w:t>
      </w:r>
      <w:r>
        <w:rPr>
          <w:rFonts w:eastAsia="Times New Roman"/>
          <w:b/>
          <w:bCs/>
          <w:i/>
          <w:iCs/>
          <w:color w:val="000000"/>
          <w:sz w:val="20"/>
          <w:szCs w:val="20"/>
        </w:rPr>
        <w:t>t</w:t>
      </w:r>
    </w:p>
    <w:p w:rsidR="00000000" w:rsidRDefault="00775A8F">
      <w:pPr>
        <w:ind w:firstLine="360"/>
        <w:divId w:val="1883322423"/>
        <w:rPr>
          <w:rFonts w:eastAsia="Times New Roman"/>
        </w:rPr>
      </w:pPr>
      <w:r>
        <w:rPr>
          <w:rFonts w:eastAsia="Times New Roman"/>
          <w:color w:val="000000"/>
          <w:sz w:val="20"/>
          <w:szCs w:val="20"/>
        </w:rPr>
        <w:t xml:space="preserve">On </w:t>
      </w:r>
      <w:r>
        <w:rPr>
          <w:rFonts w:eastAsia="Times New Roman"/>
          <w:color w:val="000000"/>
          <w:sz w:val="20"/>
          <w:szCs w:val="20"/>
        </w:rPr>
        <w:t>December 20, 2019, President Trump signed into law the Setting Every Community Up for Retirement Enhancement Act of 2019 (the “SECURE Act”). The SECURE Act contains a number of provisions that affect the administration and operation of defined contribution</w:t>
      </w:r>
      <w:r>
        <w:rPr>
          <w:rFonts w:eastAsia="Times New Roman"/>
          <w:color w:val="000000"/>
          <w:sz w:val="20"/>
          <w:szCs w:val="20"/>
        </w:rPr>
        <w:t xml:space="preserve"> plans such as 401(k) and 403(b) plans and IRAs, including provisions that encourage additional retirement savings and lifetime income options, promote the adoption of retirement plans by small employers, provide lifetime income portability, and accelerate</w:t>
      </w:r>
      <w:r>
        <w:rPr>
          <w:rFonts w:eastAsia="Times New Roman"/>
          <w:color w:val="000000"/>
          <w:sz w:val="20"/>
          <w:szCs w:val="20"/>
        </w:rPr>
        <w:t xml:space="preserve"> the distribution of retirement benefits of deceased retirees. Many provisions of the SECURE Act become effective for plan years beginning after December 31, 2019. At this time, we cannot predict the impact the SECURE Act will have on our business, financi</w:t>
      </w:r>
      <w:r>
        <w:rPr>
          <w:rFonts w:eastAsia="Times New Roman"/>
          <w:color w:val="000000"/>
          <w:sz w:val="20"/>
          <w:szCs w:val="20"/>
        </w:rPr>
        <w:t>al condition or results of operations</w:t>
      </w:r>
      <w:r>
        <w:rPr>
          <w:rFonts w:eastAsia="Times New Roman"/>
          <w:color w:val="000000"/>
          <w:sz w:val="20"/>
          <w:szCs w:val="20"/>
        </w:rPr>
        <w:t>.</w:t>
      </w:r>
    </w:p>
    <w:p w:rsidR="00000000" w:rsidRDefault="00775A8F">
      <w:pPr>
        <w:jc w:val="both"/>
        <w:divId w:val="1020664812"/>
        <w:rPr>
          <w:rFonts w:eastAsia="Times New Roman"/>
        </w:rPr>
      </w:pPr>
      <w:r>
        <w:rPr>
          <w:rFonts w:eastAsia="Times New Roman"/>
          <w:b/>
          <w:bCs/>
          <w:i/>
          <w:iCs/>
          <w:color w:val="000000"/>
          <w:sz w:val="20"/>
          <w:szCs w:val="20"/>
        </w:rPr>
        <w:t>Impact of the CARES Act</w:t>
      </w:r>
      <w:r>
        <w:rPr>
          <w:rFonts w:eastAsia="Times New Roman"/>
          <w:b/>
          <w:bCs/>
          <w:i/>
          <w:iCs/>
          <w:color w:val="000000"/>
          <w:sz w:val="20"/>
          <w:szCs w:val="20"/>
        </w:rPr>
        <w:t xml:space="preserve"> </w:t>
      </w:r>
    </w:p>
    <w:p w:rsidR="00000000" w:rsidRDefault="00775A8F">
      <w:pPr>
        <w:ind w:firstLine="360"/>
        <w:divId w:val="930546216"/>
        <w:rPr>
          <w:rFonts w:eastAsia="Times New Roman"/>
        </w:rPr>
      </w:pPr>
      <w:r>
        <w:rPr>
          <w:rFonts w:eastAsia="Times New Roman"/>
          <w:color w:val="000000"/>
          <w:sz w:val="20"/>
          <w:szCs w:val="20"/>
        </w:rPr>
        <w:t>The Coronavirus Aid, Relief, and Economic Security Act (“CARES Act”) was signed into law on March 27, 2020. Several tax provisions were included as part of a broad economic relief package. The</w:t>
      </w:r>
      <w:r>
        <w:rPr>
          <w:rFonts w:eastAsia="Times New Roman"/>
          <w:color w:val="000000"/>
          <w:sz w:val="20"/>
          <w:szCs w:val="20"/>
        </w:rPr>
        <w:t>se include the temporary allowance of Net Operating Loss carrybacks and the acceleration of Alternative Minimum Tax (“AMT”) credit refunds. The Company is assessing the economic and financial statement impact of these provisions.</w:t>
      </w:r>
      <w:r>
        <w:rPr>
          <w:rFonts w:eastAsia="Times New Roman"/>
          <w:color w:val="000000"/>
          <w:sz w:val="20"/>
          <w:szCs w:val="20"/>
        </w:rPr>
        <w:t xml:space="preserve"> </w:t>
      </w:r>
    </w:p>
    <w:p w:rsidR="00000000" w:rsidRDefault="00775A8F">
      <w:pPr>
        <w:jc w:val="both"/>
        <w:divId w:val="785851515"/>
        <w:rPr>
          <w:rFonts w:eastAsia="Times New Roman"/>
        </w:rPr>
      </w:pPr>
      <w:r>
        <w:rPr>
          <w:rFonts w:eastAsia="Times New Roman"/>
          <w:b/>
          <w:bCs/>
          <w:i/>
          <w:iCs/>
          <w:color w:val="000000"/>
          <w:sz w:val="20"/>
          <w:szCs w:val="20"/>
        </w:rPr>
        <w:t>Impact of the Tax Cut and</w:t>
      </w:r>
      <w:r>
        <w:rPr>
          <w:rFonts w:eastAsia="Times New Roman"/>
          <w:b/>
          <w:bCs/>
          <w:i/>
          <w:iCs/>
          <w:color w:val="000000"/>
          <w:sz w:val="20"/>
          <w:szCs w:val="20"/>
        </w:rPr>
        <w:t xml:space="preserve"> Jobs Act</w:t>
      </w:r>
      <w:r>
        <w:rPr>
          <w:rFonts w:eastAsia="Times New Roman"/>
          <w:b/>
          <w:bCs/>
          <w:i/>
          <w:iCs/>
          <w:color w:val="000000"/>
          <w:sz w:val="20"/>
          <w:szCs w:val="20"/>
        </w:rPr>
        <w:t xml:space="preserve"> </w:t>
      </w:r>
    </w:p>
    <w:p w:rsidR="00000000" w:rsidRDefault="00775A8F">
      <w:pPr>
        <w:ind w:firstLine="360"/>
        <w:divId w:val="560290411"/>
        <w:rPr>
          <w:rFonts w:eastAsia="Times New Roman"/>
        </w:rPr>
      </w:pPr>
      <w:r>
        <w:rPr>
          <w:rFonts w:eastAsia="Times New Roman"/>
          <w:color w:val="000000"/>
          <w:sz w:val="20"/>
          <w:szCs w:val="20"/>
        </w:rPr>
        <w:t>In December 2017, Tax Cut and Jobs Act (“TCJA”) was signed into law. The TCJA reduced the federal corporate income tax rate to 21% and repealed the corporate AMT while keeping existing AMT credits. It also contained measures affecting our insura</w:t>
      </w:r>
      <w:r>
        <w:rPr>
          <w:rFonts w:eastAsia="Times New Roman"/>
          <w:color w:val="000000"/>
          <w:sz w:val="20"/>
          <w:szCs w:val="20"/>
        </w:rPr>
        <w:t xml:space="preserve">nce companies, including changes to the DRD, insurance reserves and tax DAC, and measures affecting our international operations. As a result of the TCJA, our Net Income and Non-GAAP Operating Earnings has improved and the tax liability on the earnings of </w:t>
      </w:r>
      <w:r>
        <w:rPr>
          <w:rFonts w:eastAsia="Times New Roman"/>
          <w:color w:val="000000"/>
          <w:sz w:val="20"/>
          <w:szCs w:val="20"/>
        </w:rPr>
        <w:t>our foreign subsidiaries has decreased.</w:t>
      </w:r>
      <w:r>
        <w:rPr>
          <w:rFonts w:eastAsia="Times New Roman"/>
          <w:color w:val="000000"/>
          <w:sz w:val="20"/>
          <w:szCs w:val="20"/>
        </w:rPr>
        <w:t xml:space="preserve"> </w:t>
      </w:r>
    </w:p>
    <w:p w:rsidR="00000000" w:rsidRDefault="00775A8F">
      <w:pPr>
        <w:ind w:firstLine="360"/>
        <w:divId w:val="1637836028"/>
        <w:rPr>
          <w:rFonts w:eastAsia="Times New Roman"/>
        </w:rPr>
      </w:pPr>
      <w:r>
        <w:rPr>
          <w:rFonts w:eastAsia="Times New Roman"/>
          <w:color w:val="000000"/>
          <w:sz w:val="20"/>
          <w:szCs w:val="20"/>
        </w:rPr>
        <w:t>In August 2018, the NAIC adopted changes to the RBC calculation, including the C-3 Phase II Total Asset Requirement for variable annuities, to reflect the 21% corporate income tax rate in RBC, which resulted in a re</w:t>
      </w:r>
      <w:r>
        <w:rPr>
          <w:rFonts w:eastAsia="Times New Roman"/>
          <w:color w:val="000000"/>
          <w:sz w:val="20"/>
          <w:szCs w:val="20"/>
        </w:rPr>
        <w:t>duction to our Combined RBC Ratio.</w:t>
      </w:r>
      <w:r>
        <w:rPr>
          <w:rFonts w:eastAsia="Times New Roman"/>
          <w:color w:val="000000"/>
          <w:sz w:val="20"/>
          <w:szCs w:val="20"/>
        </w:rPr>
        <w:t xml:space="preserve"> </w:t>
      </w:r>
    </w:p>
    <w:p w:rsidR="00000000" w:rsidRDefault="00775A8F">
      <w:pPr>
        <w:ind w:firstLine="360"/>
        <w:divId w:val="726413762"/>
        <w:rPr>
          <w:rFonts w:eastAsia="Times New Roman"/>
        </w:rPr>
      </w:pPr>
      <w:r>
        <w:rPr>
          <w:rFonts w:eastAsia="Times New Roman"/>
          <w:color w:val="000000"/>
          <w:sz w:val="20"/>
          <w:szCs w:val="20"/>
        </w:rPr>
        <w:t>Overall, the TCJA had a net positive economic impact on us, and we continue to monitor regulations related to this reform.</w:t>
      </w:r>
      <w:r>
        <w:rPr>
          <w:rFonts w:eastAsia="Times New Roman"/>
          <w:color w:val="000000"/>
          <w:sz w:val="20"/>
          <w:szCs w:val="20"/>
        </w:rPr>
        <w:t xml:space="preserve"> </w:t>
      </w:r>
    </w:p>
    <w:p w:rsidR="00000000" w:rsidRDefault="00775A8F">
      <w:pPr>
        <w:divId w:val="1713844853"/>
        <w:rPr>
          <w:rFonts w:eastAsia="Times New Roman"/>
        </w:rPr>
      </w:pPr>
      <w:r>
        <w:rPr>
          <w:rFonts w:eastAsia="Times New Roman"/>
          <w:b/>
          <w:bCs/>
          <w:color w:val="000000"/>
          <w:sz w:val="20"/>
          <w:szCs w:val="20"/>
        </w:rPr>
        <w:t>Separation Costs</w:t>
      </w:r>
      <w:r>
        <w:rPr>
          <w:rFonts w:eastAsia="Times New Roman"/>
          <w:b/>
          <w:bCs/>
          <w:color w:val="000000"/>
          <w:sz w:val="20"/>
          <w:szCs w:val="20"/>
        </w:rPr>
        <w:t xml:space="preserve"> </w:t>
      </w:r>
    </w:p>
    <w:p w:rsidR="00000000" w:rsidRDefault="00775A8F">
      <w:pPr>
        <w:ind w:firstLine="360"/>
        <w:divId w:val="1181512272"/>
        <w:rPr>
          <w:rFonts w:eastAsia="Times New Roman"/>
        </w:rPr>
      </w:pPr>
      <w:r>
        <w:rPr>
          <w:rFonts w:eastAsia="Times New Roman"/>
          <w:color w:val="000000"/>
          <w:sz w:val="20"/>
          <w:szCs w:val="20"/>
        </w:rPr>
        <w:t>In connection with our separation from AXA, we have incurred and expect to continue to incur one-time and recurring expenses. These expenses primarily relate to information technology, compliance, internal audit, finance, risk management, procurement, clie</w:t>
      </w:r>
      <w:r>
        <w:rPr>
          <w:rFonts w:eastAsia="Times New Roman"/>
          <w:color w:val="000000"/>
          <w:sz w:val="20"/>
          <w:szCs w:val="20"/>
        </w:rPr>
        <w:t>nt service, human resources, rebranding and other support services. The process of replicating and replacing functions, systems and infrastructure provided by AXA or certain of its affiliates in order to operate on a stand-alone basis is currently underway</w:t>
      </w:r>
      <w:r>
        <w:rPr>
          <w:rFonts w:eastAsia="Times New Roman"/>
          <w:color w:val="000000"/>
          <w:sz w:val="20"/>
          <w:szCs w:val="20"/>
        </w:rPr>
        <w:t>. These expenses, any recurring expenses, including under the Transitional Services Agreement, and any additional one-time expenses we may incur may be material. See “Risk Factors” in the 2019 Form 10-K for additional information</w:t>
      </w:r>
      <w:r>
        <w:rPr>
          <w:rFonts w:eastAsia="Times New Roman"/>
          <w:color w:val="000000"/>
          <w:sz w:val="20"/>
          <w:szCs w:val="20"/>
        </w:rPr>
        <w:t>.</w:t>
      </w:r>
    </w:p>
    <w:p w:rsidR="00000000" w:rsidRDefault="00775A8F">
      <w:pPr>
        <w:ind w:firstLine="360"/>
        <w:divId w:val="64184091"/>
        <w:rPr>
          <w:rFonts w:eastAsia="Times New Roman"/>
        </w:rPr>
      </w:pPr>
      <w:r>
        <w:rPr>
          <w:rFonts w:eastAsia="Times New Roman"/>
          <w:color w:val="000000"/>
          <w:sz w:val="20"/>
          <w:szCs w:val="20"/>
        </w:rPr>
        <w:t>We estimate that the aggr</w:t>
      </w:r>
      <w:r>
        <w:rPr>
          <w:rFonts w:eastAsia="Times New Roman"/>
          <w:color w:val="000000"/>
          <w:sz w:val="20"/>
          <w:szCs w:val="20"/>
        </w:rPr>
        <w:t>egate amount of the one-time expenses described above will be approximately $700 million. Through June 30, 2020, a total of $603 million has been incurred, of which $39 million, $58 million, $71 million and $82 million was incurred in the three and six mon</w:t>
      </w:r>
      <w:r>
        <w:rPr>
          <w:rFonts w:eastAsia="Times New Roman"/>
          <w:color w:val="000000"/>
          <w:sz w:val="20"/>
          <w:szCs w:val="20"/>
        </w:rPr>
        <w:t>ths ended June 30, 2020 and 2019, respectively</w:t>
      </w:r>
      <w:r>
        <w:rPr>
          <w:rFonts w:eastAsia="Times New Roman"/>
          <w:color w:val="000000"/>
          <w:sz w:val="20"/>
          <w:szCs w:val="20"/>
        </w:rPr>
        <w:t>.</w:t>
      </w:r>
    </w:p>
    <w:p w:rsidR="00000000" w:rsidRDefault="00775A8F">
      <w:pPr>
        <w:divId w:val="769544981"/>
        <w:rPr>
          <w:rFonts w:eastAsia="Times New Roman"/>
        </w:rPr>
      </w:pPr>
      <w:r>
        <w:rPr>
          <w:rFonts w:eastAsia="Times New Roman"/>
          <w:b/>
          <w:bCs/>
          <w:color w:val="000000"/>
          <w:sz w:val="20"/>
          <w:szCs w:val="20"/>
        </w:rPr>
        <w:t>Productivity Strategies</w:t>
      </w:r>
      <w:r>
        <w:rPr>
          <w:rFonts w:eastAsia="Times New Roman"/>
          <w:b/>
          <w:bCs/>
          <w:color w:val="000000"/>
          <w:sz w:val="20"/>
          <w:szCs w:val="20"/>
        </w:rPr>
        <w:t xml:space="preserve"> </w:t>
      </w:r>
    </w:p>
    <w:p w:rsidR="00000000" w:rsidRDefault="00775A8F">
      <w:pPr>
        <w:divId w:val="1854999602"/>
        <w:rPr>
          <w:rFonts w:eastAsia="Times New Roman"/>
        </w:rPr>
      </w:pPr>
      <w:r>
        <w:rPr>
          <w:rFonts w:eastAsia="Times New Roman"/>
          <w:i/>
          <w:iCs/>
          <w:color w:val="000000"/>
          <w:sz w:val="20"/>
          <w:szCs w:val="20"/>
          <w:u w:val="single"/>
        </w:rPr>
        <w:t>Retirement and Protection Businesses</w:t>
      </w:r>
      <w:r>
        <w:rPr>
          <w:rFonts w:eastAsia="Times New Roman"/>
          <w:i/>
          <w:iCs/>
          <w:color w:val="000000"/>
          <w:sz w:val="20"/>
          <w:szCs w:val="20"/>
          <w:u w:val="single"/>
        </w:rPr>
        <w:t xml:space="preserve"> </w:t>
      </w:r>
    </w:p>
    <w:p w:rsidR="00000000" w:rsidRDefault="00775A8F">
      <w:pPr>
        <w:ind w:firstLine="360"/>
        <w:divId w:val="1424447837"/>
        <w:rPr>
          <w:rFonts w:eastAsia="Times New Roman"/>
        </w:rPr>
      </w:pPr>
      <w:r>
        <w:rPr>
          <w:rFonts w:eastAsia="Times New Roman"/>
          <w:color w:val="000000"/>
          <w:sz w:val="20"/>
          <w:szCs w:val="20"/>
        </w:rPr>
        <w:t>We continue to build upon our productivity improvements through which we delivered more than $350 million in efficiency improvements from 2012 through 2017. Our productivity strategy includes several initiatives, including relocating some of our real estat</w:t>
      </w:r>
      <w:r>
        <w:rPr>
          <w:rFonts w:eastAsia="Times New Roman"/>
          <w:color w:val="000000"/>
          <w:sz w:val="20"/>
          <w:szCs w:val="20"/>
        </w:rPr>
        <w:t>e footprint away from the New York metropolitan area, replacing or updating less efficient legacy technology infrastructure and expanding existing outsourcing arrangements, which we believe will reduce costs and improve productivity.</w:t>
      </w:r>
      <w:r>
        <w:rPr>
          <w:rFonts w:eastAsia="Times New Roman"/>
          <w:color w:val="000000"/>
          <w:sz w:val="20"/>
          <w:szCs w:val="20"/>
        </w:rPr>
        <w:t xml:space="preserve"> </w:t>
      </w:r>
    </w:p>
    <w:p w:rsidR="00000000" w:rsidRDefault="00775A8F">
      <w:pPr>
        <w:ind w:firstLine="360"/>
        <w:divId w:val="1458914531"/>
        <w:rPr>
          <w:rFonts w:eastAsia="Times New Roman"/>
        </w:rPr>
      </w:pPr>
      <w:r>
        <w:rPr>
          <w:rFonts w:eastAsia="Times New Roman"/>
          <w:color w:val="000000"/>
          <w:sz w:val="20"/>
          <w:szCs w:val="20"/>
        </w:rPr>
        <w:t>We anticipate that th</w:t>
      </w:r>
      <w:r>
        <w:rPr>
          <w:rFonts w:eastAsia="Times New Roman"/>
          <w:color w:val="000000"/>
          <w:sz w:val="20"/>
          <w:szCs w:val="20"/>
        </w:rPr>
        <w:t xml:space="preserve">e savings from these initiatives will offset any incremental ongoing expenses that we incur as a standalone company, and we expect these initiatives to improve our operating leverage, increasing our Non-GAAP Operating Earnings by approximately $75 million </w:t>
      </w:r>
      <w:r>
        <w:rPr>
          <w:rFonts w:eastAsia="Times New Roman"/>
          <w:color w:val="000000"/>
          <w:sz w:val="20"/>
          <w:szCs w:val="20"/>
        </w:rPr>
        <w:t>pre-tax per annum by the end of 2020 since the date of our IPO.</w:t>
      </w:r>
      <w:r>
        <w:rPr>
          <w:rFonts w:eastAsia="Times New Roman"/>
          <w:color w:val="000000"/>
          <w:sz w:val="20"/>
          <w:szCs w:val="20"/>
        </w:rPr>
        <w:t xml:space="preserve"> </w:t>
      </w:r>
    </w:p>
    <w:p w:rsidR="00000000" w:rsidRDefault="00775A8F">
      <w:pPr>
        <w:jc w:val="center"/>
        <w:divId w:val="1512573197"/>
        <w:rPr>
          <w:rFonts w:eastAsia="Times New Roman"/>
        </w:rPr>
      </w:pPr>
      <w:r>
        <w:rPr>
          <w:rFonts w:eastAsia="Times New Roman"/>
          <w:color w:val="000000"/>
          <w:sz w:val="20"/>
          <w:szCs w:val="20"/>
        </w:rPr>
        <w:t>7</w:t>
      </w:r>
      <w:r>
        <w:rPr>
          <w:rFonts w:eastAsia="Times New Roman"/>
          <w:color w:val="000000"/>
          <w:sz w:val="20"/>
          <w:szCs w:val="20"/>
        </w:rPr>
        <w:t>2</w:t>
      </w:r>
    </w:p>
    <w:p w:rsidR="00000000" w:rsidRDefault="00775A8F">
      <w:pPr>
        <w:rPr>
          <w:rFonts w:eastAsia="Times New Roman"/>
        </w:rPr>
      </w:pPr>
      <w:r>
        <w:rPr>
          <w:rFonts w:eastAsia="Times New Roman"/>
        </w:rPr>
        <w:pict>
          <v:rect id="_x0000_i1098" style="width:0;height:1.5pt" o:hralign="center" o:hrstd="t" o:hr="t" fillcolor="#a0a0a0" stroked="f"/>
        </w:pict>
      </w:r>
    </w:p>
    <w:p w:rsidR="00000000" w:rsidRDefault="00775A8F">
      <w:pPr>
        <w:ind w:firstLine="360"/>
        <w:divId w:val="176778809"/>
        <w:rPr>
          <w:rFonts w:eastAsia="Times New Roman"/>
        </w:rPr>
      </w:pPr>
    </w:p>
    <w:p w:rsidR="00000000" w:rsidRDefault="00775A8F">
      <w:pPr>
        <w:divId w:val="1127745542"/>
        <w:rPr>
          <w:rFonts w:eastAsia="Times New Roman"/>
        </w:rPr>
      </w:pPr>
      <w:r>
        <w:rPr>
          <w:rFonts w:eastAsia="Times New Roman"/>
          <w:i/>
          <w:iCs/>
          <w:color w:val="000000"/>
          <w:sz w:val="20"/>
          <w:szCs w:val="20"/>
          <w:u w:val="single"/>
        </w:rPr>
        <w:t>Investment Management and Research Business</w:t>
      </w:r>
      <w:r>
        <w:rPr>
          <w:rFonts w:eastAsia="Times New Roman"/>
          <w:i/>
          <w:iCs/>
          <w:color w:val="000000"/>
          <w:sz w:val="20"/>
          <w:szCs w:val="20"/>
          <w:u w:val="single"/>
        </w:rPr>
        <w:t xml:space="preserve"> </w:t>
      </w:r>
    </w:p>
    <w:p w:rsidR="00000000" w:rsidRDefault="00775A8F">
      <w:pPr>
        <w:ind w:firstLine="360"/>
        <w:divId w:val="1750224569"/>
        <w:rPr>
          <w:rFonts w:eastAsia="Times New Roman"/>
        </w:rPr>
      </w:pPr>
      <w:r>
        <w:rPr>
          <w:rFonts w:eastAsia="Times New Roman"/>
          <w:color w:val="000000"/>
          <w:sz w:val="20"/>
          <w:szCs w:val="20"/>
        </w:rPr>
        <w:t>AB has announced that it will establish its corporate headquarters in and relocate approximately 1,250 jo</w:t>
      </w:r>
      <w:r>
        <w:rPr>
          <w:rFonts w:eastAsia="Times New Roman"/>
          <w:color w:val="000000"/>
          <w:sz w:val="20"/>
          <w:szCs w:val="20"/>
        </w:rPr>
        <w:t>bs located in the New York metro area to Nashville, Tennessee. Beginning in 2025, AB estimates ongoing annual expense savings of approximately $75 million to $80 million which will result from a combination of occupancy and compensation-related savings.</w:t>
      </w:r>
      <w:r>
        <w:rPr>
          <w:rFonts w:eastAsia="Times New Roman"/>
          <w:color w:val="000000"/>
          <w:sz w:val="20"/>
          <w:szCs w:val="20"/>
        </w:rPr>
        <w:t xml:space="preserve"> </w:t>
      </w:r>
    </w:p>
    <w:p w:rsidR="00000000" w:rsidRDefault="00775A8F">
      <w:pPr>
        <w:divId w:val="625543220"/>
        <w:rPr>
          <w:rFonts w:eastAsia="Times New Roman"/>
        </w:rPr>
      </w:pPr>
      <w:r>
        <w:rPr>
          <w:rFonts w:eastAsia="Times New Roman"/>
          <w:b/>
          <w:bCs/>
          <w:color w:val="000000"/>
          <w:sz w:val="20"/>
          <w:szCs w:val="20"/>
        </w:rPr>
        <w:t>K</w:t>
      </w:r>
      <w:r>
        <w:rPr>
          <w:rFonts w:eastAsia="Times New Roman"/>
          <w:b/>
          <w:bCs/>
          <w:color w:val="000000"/>
          <w:sz w:val="20"/>
          <w:szCs w:val="20"/>
        </w:rPr>
        <w:t>ey Operating Measures</w:t>
      </w:r>
      <w:r>
        <w:rPr>
          <w:rFonts w:eastAsia="Times New Roman"/>
          <w:b/>
          <w:bCs/>
          <w:color w:val="000000"/>
          <w:sz w:val="20"/>
          <w:szCs w:val="20"/>
        </w:rPr>
        <w:t xml:space="preserve"> </w:t>
      </w:r>
    </w:p>
    <w:p w:rsidR="00000000" w:rsidRDefault="00775A8F">
      <w:pPr>
        <w:ind w:firstLine="360"/>
        <w:divId w:val="1086608584"/>
        <w:rPr>
          <w:rFonts w:eastAsia="Times New Roman"/>
        </w:rPr>
      </w:pPr>
      <w:r>
        <w:rPr>
          <w:rFonts w:eastAsia="Times New Roman"/>
          <w:color w:val="000000"/>
          <w:sz w:val="20"/>
          <w:szCs w:val="20"/>
        </w:rPr>
        <w:t>In addition to our results presented in accordance with U.S. GAAP, we report Non-GAAP Operating Earnings, Non-GAAP Operating ROE, Non-GAAP Operating ROC by segment for our Individual Retirement, Group Retirement and Protection Soluti</w:t>
      </w:r>
      <w:r>
        <w:rPr>
          <w:rFonts w:eastAsia="Times New Roman"/>
          <w:color w:val="000000"/>
          <w:sz w:val="20"/>
          <w:szCs w:val="20"/>
        </w:rPr>
        <w:t xml:space="preserve">ons segments, and Non-GAAP Operating Earnings per share, each of which is a measure that is not determined in accordance with U.S. GAAP. Management principally uses these non-GAAP financial measures in evaluating performance because they present a clearer </w:t>
      </w:r>
      <w:r>
        <w:rPr>
          <w:rFonts w:eastAsia="Times New Roman"/>
          <w:color w:val="000000"/>
          <w:sz w:val="20"/>
          <w:szCs w:val="20"/>
        </w:rPr>
        <w:t>picture of our operating performance and they allow management to allocate resources. Similarly, management believes that the use of these Non-GAAP financial measures, together with relevant U.S. GAAP measures, provide investors with a better understanding</w:t>
      </w:r>
      <w:r>
        <w:rPr>
          <w:rFonts w:eastAsia="Times New Roman"/>
          <w:color w:val="000000"/>
          <w:sz w:val="20"/>
          <w:szCs w:val="20"/>
        </w:rPr>
        <w:t xml:space="preserve"> of our results of operations and the underlying profitability drivers and trends of our business. These non-GAAP financial measures are intended to remove from our results of operations the impact of market changes (where there is mismatch in the valuatio</w:t>
      </w:r>
      <w:r>
        <w:rPr>
          <w:rFonts w:eastAsia="Times New Roman"/>
          <w:color w:val="000000"/>
          <w:sz w:val="20"/>
          <w:szCs w:val="20"/>
        </w:rPr>
        <w:t>n of assets and liabilities) as well as certain other expenses which are not part of our underlying profitability drivers or likely to re-occur in the foreseeable future, as such items fluctuate from period-to-period in a manner inconsistent with these dri</w:t>
      </w:r>
      <w:r>
        <w:rPr>
          <w:rFonts w:eastAsia="Times New Roman"/>
          <w:color w:val="000000"/>
          <w:sz w:val="20"/>
          <w:szCs w:val="20"/>
        </w:rPr>
        <w:t>vers. These measures should be considered supplementary to our results that are presented in accordance with U.S. GAAP and should not be viewed as a substitute for the U.S. GAAP measures. Other companies may use similarly titled non-GAAP financial measures</w:t>
      </w:r>
      <w:r>
        <w:rPr>
          <w:rFonts w:eastAsia="Times New Roman"/>
          <w:color w:val="000000"/>
          <w:sz w:val="20"/>
          <w:szCs w:val="20"/>
        </w:rPr>
        <w:t xml:space="preserve"> that are calculated differently from the way we calculate such measures. Consequently, our non-GAAP financial measures may not be comparable to similar measures used by other companies.</w:t>
      </w:r>
      <w:r>
        <w:rPr>
          <w:rFonts w:eastAsia="Times New Roman"/>
          <w:color w:val="000000"/>
          <w:sz w:val="20"/>
          <w:szCs w:val="20"/>
        </w:rPr>
        <w:t xml:space="preserve"> </w:t>
      </w:r>
    </w:p>
    <w:p w:rsidR="00000000" w:rsidRDefault="00775A8F">
      <w:pPr>
        <w:ind w:firstLine="360"/>
        <w:divId w:val="607858520"/>
        <w:rPr>
          <w:rFonts w:eastAsia="Times New Roman"/>
        </w:rPr>
      </w:pPr>
      <w:r>
        <w:rPr>
          <w:rFonts w:eastAsia="Times New Roman"/>
          <w:color w:val="000000"/>
          <w:sz w:val="20"/>
          <w:szCs w:val="20"/>
        </w:rPr>
        <w:t xml:space="preserve">We also discuss certain operating measures, including AUM, AUA, AV, </w:t>
      </w:r>
      <w:r>
        <w:rPr>
          <w:rFonts w:eastAsia="Times New Roman"/>
          <w:color w:val="000000"/>
          <w:sz w:val="20"/>
          <w:szCs w:val="20"/>
        </w:rPr>
        <w:t>Protection Solutions Reserves and certain other operating measures, which management believes provide useful information about our businesses and the operational factors underlying our financial performance.</w:t>
      </w:r>
      <w:r>
        <w:rPr>
          <w:rFonts w:eastAsia="Times New Roman"/>
          <w:color w:val="000000"/>
          <w:sz w:val="20"/>
          <w:szCs w:val="20"/>
        </w:rPr>
        <w:t xml:space="preserve"> </w:t>
      </w:r>
    </w:p>
    <w:p w:rsidR="00000000" w:rsidRDefault="00775A8F">
      <w:pPr>
        <w:jc w:val="both"/>
        <w:divId w:val="1647203292"/>
        <w:rPr>
          <w:rFonts w:eastAsia="Times New Roman"/>
        </w:rPr>
      </w:pPr>
      <w:r>
        <w:rPr>
          <w:rFonts w:eastAsia="Times New Roman"/>
          <w:b/>
          <w:bCs/>
          <w:i/>
          <w:iCs/>
          <w:color w:val="000000"/>
          <w:sz w:val="20"/>
          <w:szCs w:val="20"/>
        </w:rPr>
        <w:t>Non-GAAP Operating Earnings</w:t>
      </w:r>
      <w:r>
        <w:rPr>
          <w:rFonts w:eastAsia="Times New Roman"/>
          <w:b/>
          <w:bCs/>
          <w:i/>
          <w:iCs/>
          <w:color w:val="000000"/>
          <w:sz w:val="20"/>
          <w:szCs w:val="20"/>
        </w:rPr>
        <w:t xml:space="preserve"> </w:t>
      </w:r>
    </w:p>
    <w:p w:rsidR="00000000" w:rsidRDefault="00775A8F">
      <w:pPr>
        <w:ind w:firstLine="360"/>
        <w:divId w:val="1255089125"/>
        <w:rPr>
          <w:rFonts w:eastAsia="Times New Roman"/>
        </w:rPr>
      </w:pPr>
      <w:r>
        <w:rPr>
          <w:rFonts w:eastAsia="Times New Roman"/>
          <w:color w:val="000000"/>
          <w:sz w:val="20"/>
          <w:szCs w:val="20"/>
        </w:rPr>
        <w:t>Non-GAAP Operating</w:t>
      </w:r>
      <w:r>
        <w:rPr>
          <w:rFonts w:eastAsia="Times New Roman"/>
          <w:color w:val="000000"/>
          <w:sz w:val="20"/>
          <w:szCs w:val="20"/>
        </w:rPr>
        <w:t xml:space="preserve"> Earnings is an after-tax non-GAAP financial measure used to evaluate our financial performance on a consolidated basis that is determined by making certain adjustments to our consolidated after-tax net income attributable to Holdings. The most significant</w:t>
      </w:r>
      <w:r>
        <w:rPr>
          <w:rFonts w:eastAsia="Times New Roman"/>
          <w:color w:val="000000"/>
          <w:sz w:val="20"/>
          <w:szCs w:val="20"/>
        </w:rPr>
        <w:t xml:space="preserve"> of such adjustments relates to our derivative positions, which protect economic value and statutory capital, and are more sensitive to changes in market conditions than the variable annuity product liabilities as valued under U.S. GAAP. This is a large so</w:t>
      </w:r>
      <w:r>
        <w:rPr>
          <w:rFonts w:eastAsia="Times New Roman"/>
          <w:color w:val="000000"/>
          <w:sz w:val="20"/>
          <w:szCs w:val="20"/>
        </w:rPr>
        <w:t>urce of volatility in net income.</w:t>
      </w:r>
      <w:r>
        <w:rPr>
          <w:rFonts w:eastAsia="Times New Roman"/>
          <w:color w:val="000000"/>
          <w:sz w:val="20"/>
          <w:szCs w:val="20"/>
        </w:rPr>
        <w:t xml:space="preserve"> </w:t>
      </w:r>
    </w:p>
    <w:p w:rsidR="00000000" w:rsidRDefault="00775A8F">
      <w:pPr>
        <w:ind w:firstLine="360"/>
        <w:divId w:val="227234410"/>
        <w:rPr>
          <w:rFonts w:eastAsia="Times New Roman"/>
        </w:rPr>
      </w:pPr>
      <w:r>
        <w:rPr>
          <w:rFonts w:eastAsia="Times New Roman"/>
          <w:color w:val="000000"/>
          <w:sz w:val="20"/>
          <w:szCs w:val="20"/>
        </w:rPr>
        <w:t>Non-GAAP Operating Earnings equals our consolidated after-tax net income attributable to Holdings adjusted to eliminate the impact of the following items:</w:t>
      </w:r>
      <w:r>
        <w:rPr>
          <w:rFonts w:eastAsia="Times New Roman"/>
          <w:color w:val="000000"/>
          <w:sz w:val="20"/>
          <w:szCs w:val="20"/>
        </w:rPr>
        <w:t xml:space="preserve"> </w:t>
      </w:r>
    </w:p>
    <w:p w:rsidR="00000000" w:rsidRDefault="00775A8F">
      <w:pPr>
        <w:ind w:hanging="360"/>
        <w:jc w:val="both"/>
        <w:divId w:val="1044911094"/>
        <w:rPr>
          <w:rFonts w:eastAsia="Times New Roman"/>
        </w:rPr>
      </w:pPr>
      <w:r>
        <w:rPr>
          <w:rFonts w:eastAsia="Times New Roman"/>
          <w:color w:val="000000"/>
          <w:sz w:val="20"/>
          <w:szCs w:val="20"/>
        </w:rPr>
        <w:t>•</w:t>
      </w:r>
      <w:r>
        <w:rPr>
          <w:rFonts w:eastAsia="Times New Roman"/>
          <w:color w:val="000000"/>
          <w:sz w:val="20"/>
          <w:szCs w:val="20"/>
        </w:rPr>
        <w:t>Items related to variable annuity product features, which includ</w:t>
      </w:r>
      <w:r>
        <w:rPr>
          <w:rFonts w:eastAsia="Times New Roman"/>
          <w:color w:val="000000"/>
          <w:sz w:val="20"/>
          <w:szCs w:val="20"/>
        </w:rPr>
        <w:t xml:space="preserve">e: (i) certain changes in the fair value of the derivatives and other securities we use to hedge these features; (ii) the effect of benefit ratio unlock adjustments related to extraordinary economic conditions or events such as COVID-19; and (iii) changes </w:t>
      </w:r>
      <w:r>
        <w:rPr>
          <w:rFonts w:eastAsia="Times New Roman"/>
          <w:color w:val="000000"/>
          <w:sz w:val="20"/>
          <w:szCs w:val="20"/>
        </w:rPr>
        <w:t>in the fair value of the embedded derivatives reflected within variable annuity products’ net derivative results and the impact of these items on DAC amortization on our SCS product.</w:t>
      </w:r>
      <w:r>
        <w:rPr>
          <w:rFonts w:eastAsia="Times New Roman"/>
          <w:color w:val="000000"/>
          <w:sz w:val="20"/>
          <w:szCs w:val="20"/>
        </w:rPr>
        <w:t xml:space="preserve"> </w:t>
      </w:r>
    </w:p>
    <w:p w:rsidR="00000000" w:rsidRDefault="00775A8F">
      <w:pPr>
        <w:ind w:hanging="360"/>
        <w:jc w:val="both"/>
        <w:divId w:val="1532036752"/>
        <w:rPr>
          <w:rFonts w:eastAsia="Times New Roman"/>
        </w:rPr>
      </w:pPr>
      <w:r>
        <w:rPr>
          <w:rFonts w:eastAsia="Times New Roman"/>
          <w:color w:val="000000"/>
          <w:sz w:val="20"/>
          <w:szCs w:val="20"/>
        </w:rPr>
        <w:t>•</w:t>
      </w:r>
      <w:r>
        <w:rPr>
          <w:rFonts w:eastAsia="Times New Roman"/>
          <w:color w:val="000000"/>
          <w:sz w:val="20"/>
          <w:szCs w:val="20"/>
        </w:rPr>
        <w:t>Investment (gains) losses, which includes credit loss impairments of se</w:t>
      </w:r>
      <w:r>
        <w:rPr>
          <w:rFonts w:eastAsia="Times New Roman"/>
          <w:color w:val="000000"/>
          <w:sz w:val="20"/>
          <w:szCs w:val="20"/>
        </w:rPr>
        <w:t>curities/investments, sales or disposals of securities/investments, realized capital gains/losses and valuation allowances;</w:t>
      </w:r>
      <w:r>
        <w:rPr>
          <w:rFonts w:eastAsia="Times New Roman"/>
          <w:color w:val="000000"/>
          <w:sz w:val="20"/>
          <w:szCs w:val="20"/>
        </w:rPr>
        <w:t xml:space="preserve"> </w:t>
      </w:r>
    </w:p>
    <w:p w:rsidR="00000000" w:rsidRDefault="00775A8F">
      <w:pPr>
        <w:ind w:hanging="360"/>
        <w:jc w:val="both"/>
        <w:divId w:val="1543588187"/>
        <w:rPr>
          <w:rFonts w:eastAsia="Times New Roman"/>
        </w:rPr>
      </w:pPr>
      <w:r>
        <w:rPr>
          <w:rFonts w:eastAsia="Times New Roman"/>
          <w:color w:val="000000"/>
          <w:sz w:val="20"/>
          <w:szCs w:val="20"/>
        </w:rPr>
        <w:t>•</w:t>
      </w:r>
      <w:r>
        <w:rPr>
          <w:rFonts w:eastAsia="Times New Roman"/>
          <w:color w:val="000000"/>
          <w:sz w:val="20"/>
          <w:szCs w:val="20"/>
        </w:rPr>
        <w:t>Net actuarial (gains) losses, which includes actuarial gains and losses as a result of differences between actual and expected exp</w:t>
      </w:r>
      <w:r>
        <w:rPr>
          <w:rFonts w:eastAsia="Times New Roman"/>
          <w:color w:val="000000"/>
          <w:sz w:val="20"/>
          <w:szCs w:val="20"/>
        </w:rPr>
        <w:t>erience on pension plan assets or projected benefit obligation during a given period related to pension, other postretirement benefit obligations, and the one-time impact of the settlement of the defined benefit obligation;</w:t>
      </w:r>
      <w:r>
        <w:rPr>
          <w:rFonts w:eastAsia="Times New Roman"/>
          <w:color w:val="000000"/>
          <w:sz w:val="20"/>
          <w:szCs w:val="20"/>
        </w:rPr>
        <w:t xml:space="preserve"> </w:t>
      </w:r>
    </w:p>
    <w:p w:rsidR="00000000" w:rsidRDefault="00775A8F">
      <w:pPr>
        <w:ind w:hanging="360"/>
        <w:jc w:val="both"/>
        <w:divId w:val="1368530809"/>
        <w:rPr>
          <w:rFonts w:eastAsia="Times New Roman"/>
        </w:rPr>
      </w:pPr>
      <w:r>
        <w:rPr>
          <w:rFonts w:eastAsia="Times New Roman"/>
          <w:color w:val="000000"/>
          <w:sz w:val="20"/>
          <w:szCs w:val="20"/>
        </w:rPr>
        <w:t>•</w:t>
      </w:r>
      <w:r>
        <w:rPr>
          <w:rFonts w:eastAsia="Times New Roman"/>
          <w:color w:val="000000"/>
          <w:sz w:val="20"/>
          <w:szCs w:val="20"/>
        </w:rPr>
        <w:t>Other adjustments, which inclu</w:t>
      </w:r>
      <w:r>
        <w:rPr>
          <w:rFonts w:eastAsia="Times New Roman"/>
          <w:color w:val="000000"/>
          <w:sz w:val="20"/>
          <w:szCs w:val="20"/>
        </w:rPr>
        <w:t>des restructuring costs related to severance, lease write-offs related to non-recurring restructuring activities, separation costs and impacts related to COVID-19; and</w:t>
      </w:r>
      <w:r>
        <w:rPr>
          <w:rFonts w:eastAsia="Times New Roman"/>
          <w:color w:val="000000"/>
          <w:sz w:val="20"/>
          <w:szCs w:val="20"/>
        </w:rPr>
        <w:t xml:space="preserve"> </w:t>
      </w:r>
    </w:p>
    <w:p w:rsidR="00000000" w:rsidRDefault="00775A8F">
      <w:pPr>
        <w:ind w:hanging="360"/>
        <w:jc w:val="both"/>
        <w:divId w:val="1926526500"/>
        <w:rPr>
          <w:rFonts w:eastAsia="Times New Roman"/>
        </w:rPr>
      </w:pPr>
      <w:r>
        <w:rPr>
          <w:rFonts w:eastAsia="Times New Roman"/>
          <w:color w:val="000000"/>
          <w:sz w:val="20"/>
          <w:szCs w:val="20"/>
        </w:rPr>
        <w:t>•</w:t>
      </w:r>
      <w:r>
        <w:rPr>
          <w:rFonts w:eastAsia="Times New Roman"/>
          <w:color w:val="000000"/>
          <w:sz w:val="20"/>
          <w:szCs w:val="20"/>
        </w:rPr>
        <w:t>Income tax expense (benefit) related to the above items and non-recurring tax items, w</w:t>
      </w:r>
      <w:r>
        <w:rPr>
          <w:rFonts w:eastAsia="Times New Roman"/>
          <w:color w:val="000000"/>
          <w:sz w:val="20"/>
          <w:szCs w:val="20"/>
        </w:rPr>
        <w:t>hich includes the effect of uncertain tax positions for a given audit period</w:t>
      </w:r>
      <w:r>
        <w:rPr>
          <w:rFonts w:eastAsia="Times New Roman"/>
          <w:color w:val="000000"/>
          <w:sz w:val="20"/>
          <w:szCs w:val="20"/>
        </w:rPr>
        <w:t>.</w:t>
      </w:r>
    </w:p>
    <w:p w:rsidR="00000000" w:rsidRDefault="00775A8F">
      <w:pPr>
        <w:ind w:firstLine="360"/>
        <w:divId w:val="1587613444"/>
        <w:rPr>
          <w:rFonts w:eastAsia="Times New Roman"/>
        </w:rPr>
      </w:pPr>
      <w:r>
        <w:rPr>
          <w:rFonts w:eastAsia="Times New Roman"/>
          <w:color w:val="000000"/>
          <w:sz w:val="20"/>
          <w:szCs w:val="20"/>
        </w:rPr>
        <w:t xml:space="preserve">Because Non-GAAP Operating Earnings excludes the foregoing items that can be distortive or unpredictable, management believes that this measure enhances the understanding of the </w:t>
      </w:r>
      <w:r>
        <w:rPr>
          <w:rFonts w:eastAsia="Times New Roman"/>
          <w:color w:val="000000"/>
          <w:sz w:val="20"/>
          <w:szCs w:val="20"/>
        </w:rPr>
        <w:t>Company’s underlying drivers of profitability and trends in our business, thereby allowing management to make decisions that will positively impact our business.</w:t>
      </w:r>
      <w:r>
        <w:rPr>
          <w:rFonts w:eastAsia="Times New Roman"/>
          <w:color w:val="000000"/>
          <w:sz w:val="20"/>
          <w:szCs w:val="20"/>
        </w:rPr>
        <w:t xml:space="preserve"> </w:t>
      </w:r>
    </w:p>
    <w:p w:rsidR="00000000" w:rsidRDefault="00775A8F">
      <w:pPr>
        <w:jc w:val="center"/>
        <w:divId w:val="109201044"/>
        <w:rPr>
          <w:rFonts w:eastAsia="Times New Roman"/>
        </w:rPr>
      </w:pPr>
      <w:r>
        <w:rPr>
          <w:rFonts w:eastAsia="Times New Roman"/>
          <w:color w:val="000000"/>
          <w:sz w:val="20"/>
          <w:szCs w:val="20"/>
        </w:rPr>
        <w:t>7</w:t>
      </w:r>
      <w:r>
        <w:rPr>
          <w:rFonts w:eastAsia="Times New Roman"/>
          <w:color w:val="000000"/>
          <w:sz w:val="20"/>
          <w:szCs w:val="20"/>
        </w:rPr>
        <w:t>3</w:t>
      </w:r>
    </w:p>
    <w:p w:rsidR="00000000" w:rsidRDefault="00775A8F">
      <w:pPr>
        <w:rPr>
          <w:rFonts w:eastAsia="Times New Roman"/>
        </w:rPr>
      </w:pPr>
      <w:r>
        <w:rPr>
          <w:rFonts w:eastAsia="Times New Roman"/>
        </w:rPr>
        <w:pict>
          <v:rect id="_x0000_i1099" style="width:0;height:1.5pt" o:hralign="center" o:hrstd="t" o:hr="t" fillcolor="#a0a0a0" stroked="f"/>
        </w:pict>
      </w:r>
    </w:p>
    <w:p w:rsidR="00000000" w:rsidRDefault="00775A8F">
      <w:pPr>
        <w:ind w:firstLine="360"/>
        <w:divId w:val="888107272"/>
        <w:rPr>
          <w:rFonts w:eastAsia="Times New Roman"/>
        </w:rPr>
      </w:pPr>
    </w:p>
    <w:p w:rsidR="00000000" w:rsidRDefault="00775A8F">
      <w:pPr>
        <w:ind w:firstLine="360"/>
        <w:divId w:val="1327318903"/>
        <w:rPr>
          <w:rFonts w:eastAsia="Times New Roman"/>
        </w:rPr>
      </w:pPr>
      <w:r>
        <w:rPr>
          <w:rFonts w:eastAsia="Times New Roman"/>
          <w:color w:val="000000"/>
          <w:sz w:val="20"/>
          <w:szCs w:val="20"/>
        </w:rPr>
        <w:t>We use the prevailing corporate federal income tax r</w:t>
      </w:r>
      <w:r>
        <w:rPr>
          <w:rFonts w:eastAsia="Times New Roman"/>
          <w:color w:val="000000"/>
          <w:sz w:val="20"/>
          <w:szCs w:val="20"/>
        </w:rPr>
        <w:t>ate of 21% while taking into account any non-recurring differences for events recognized differently in our financial statements and federal income tax returns as well as partnership income taxed at lower rates when reconciling Net income (loss) attributab</w:t>
      </w:r>
      <w:r>
        <w:rPr>
          <w:rFonts w:eastAsia="Times New Roman"/>
          <w:color w:val="000000"/>
          <w:sz w:val="20"/>
          <w:szCs w:val="20"/>
        </w:rPr>
        <w:t>le to Holdings to Non-GAAP Operating Earnings.</w:t>
      </w:r>
      <w:r>
        <w:rPr>
          <w:rFonts w:eastAsia="Times New Roman"/>
          <w:color w:val="000000"/>
          <w:sz w:val="20"/>
          <w:szCs w:val="20"/>
        </w:rPr>
        <w:t xml:space="preserve"> </w:t>
      </w:r>
    </w:p>
    <w:p w:rsidR="00000000" w:rsidRDefault="00775A8F">
      <w:pPr>
        <w:ind w:firstLine="360"/>
        <w:divId w:val="786436394"/>
        <w:rPr>
          <w:rFonts w:eastAsia="Times New Roman"/>
        </w:rPr>
      </w:pPr>
      <w:r>
        <w:rPr>
          <w:rFonts w:eastAsia="Times New Roman"/>
          <w:color w:val="000000"/>
          <w:sz w:val="20"/>
          <w:szCs w:val="20"/>
        </w:rPr>
        <w:t>The table below presents a reconciliation of Net income (loss) attributable to Holdings to Non-GAAP Operating Earnings for the six months ended June 30, 2020 and 2019</w:t>
      </w:r>
      <w:r>
        <w:rPr>
          <w:rFonts w:eastAsia="Times New Roman"/>
          <w:color w:val="000000"/>
          <w:sz w:val="20"/>
          <w:szCs w:val="20"/>
        </w:rPr>
        <w:t>:</w:t>
      </w:r>
    </w:p>
    <w:tbl>
      <w:tblPr>
        <w:tblW w:w="4802" w:type="pct"/>
        <w:tblCellMar>
          <w:top w:w="15" w:type="dxa"/>
          <w:left w:w="15" w:type="dxa"/>
          <w:bottom w:w="15" w:type="dxa"/>
          <w:right w:w="15" w:type="dxa"/>
        </w:tblCellMar>
        <w:tblLook w:val="04A0" w:firstRow="1" w:lastRow="0" w:firstColumn="1" w:lastColumn="0" w:noHBand="0" w:noVBand="1"/>
      </w:tblPr>
      <w:tblGrid>
        <w:gridCol w:w="40"/>
        <w:gridCol w:w="3753"/>
        <w:gridCol w:w="39"/>
        <w:gridCol w:w="135"/>
        <w:gridCol w:w="617"/>
        <w:gridCol w:w="85"/>
        <w:gridCol w:w="36"/>
        <w:gridCol w:w="36"/>
        <w:gridCol w:w="36"/>
        <w:gridCol w:w="135"/>
        <w:gridCol w:w="627"/>
        <w:gridCol w:w="85"/>
        <w:gridCol w:w="36"/>
        <w:gridCol w:w="36"/>
        <w:gridCol w:w="36"/>
        <w:gridCol w:w="135"/>
        <w:gridCol w:w="524"/>
        <w:gridCol w:w="85"/>
        <w:gridCol w:w="36"/>
        <w:gridCol w:w="36"/>
        <w:gridCol w:w="36"/>
        <w:gridCol w:w="135"/>
        <w:gridCol w:w="52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721901398"/>
        </w:trPr>
        <w:tc>
          <w:tcPr>
            <w:tcW w:w="50" w:type="pct"/>
            <w:vAlign w:val="center"/>
            <w:hideMark/>
          </w:tcPr>
          <w:p w:rsidR="00000000" w:rsidRDefault="00775A8F">
            <w:pPr>
              <w:ind w:firstLine="360"/>
              <w:rPr>
                <w:rFonts w:eastAsia="Times New Roman"/>
              </w:rPr>
            </w:pPr>
          </w:p>
        </w:tc>
        <w:tc>
          <w:tcPr>
            <w:tcW w:w="260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7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2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72190139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72190139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72190139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attributable to Holding</w:t>
            </w:r>
            <w:r>
              <w:rPr>
                <w:rFonts w:eastAsia="Times New Roman"/>
                <w:color w:val="000000"/>
                <w:sz w:val="20"/>
                <w:szCs w:val="20"/>
              </w:rPr>
              <w:t>s</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(4,028</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Adjustments related to</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Variable annuity product features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5,727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(1,134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actuarial (gains) losses related to pension and other postretirement benefit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adjustments (2)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FFFF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Income tax expense (benefit) related to above adjustments (4</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(1,192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CCEEFF"/>
            <w:tcMar>
              <w:top w:w="30" w:type="dxa"/>
              <w:left w:w="24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Non-recurring tax item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190139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Non-GAAP Operating Earning</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529996974"/>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775A8F">
      <w:pPr>
        <w:ind w:hanging="360"/>
        <w:divId w:val="113221134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Includes COVID-19 impact on Variabl</w:t>
      </w:r>
      <w:r>
        <w:rPr>
          <w:rFonts w:eastAsia="Times New Roman"/>
          <w:color w:val="000000"/>
          <w:sz w:val="18"/>
          <w:szCs w:val="18"/>
        </w:rPr>
        <w:t>e annuity product features due to a first quarter 2020 assumption update of $1.5 billion and other COVID-19 related impacts of $35 million for the six months ended June 30, 2020</w:t>
      </w:r>
      <w:r>
        <w:rPr>
          <w:rFonts w:eastAsia="Times New Roman"/>
          <w:color w:val="000000"/>
          <w:sz w:val="18"/>
          <w:szCs w:val="18"/>
        </w:rPr>
        <w:t>.</w:t>
      </w:r>
    </w:p>
    <w:p w:rsidR="00000000" w:rsidRDefault="00775A8F">
      <w:pPr>
        <w:ind w:hanging="360"/>
        <w:divId w:val="433479451"/>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COVID-19 impact on Other adjustments due to a first quarter 2020 assumption update of $1.0 billion for the six months ended June 30, 2020 and other COVID-19 related impacts of $52 million and $103 million for the three and six months ended June 30</w:t>
      </w:r>
      <w:r>
        <w:rPr>
          <w:rFonts w:eastAsia="Times New Roman"/>
          <w:color w:val="000000"/>
          <w:sz w:val="18"/>
          <w:szCs w:val="18"/>
        </w:rPr>
        <w:t>, 2020</w:t>
      </w:r>
      <w:r>
        <w:rPr>
          <w:rFonts w:eastAsia="Times New Roman"/>
          <w:color w:val="000000"/>
          <w:sz w:val="18"/>
          <w:szCs w:val="18"/>
        </w:rPr>
        <w:t>.</w:t>
      </w:r>
    </w:p>
    <w:p w:rsidR="00000000" w:rsidRDefault="00775A8F">
      <w:pPr>
        <w:ind w:hanging="360"/>
        <w:divId w:val="701981469"/>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Includes separation costs of $39 million, $58 million, $71 million and $82 million for the three and six months ended June 30, 2020 and 2019, respectively</w:t>
      </w:r>
      <w:r>
        <w:rPr>
          <w:rFonts w:eastAsia="Times New Roman"/>
          <w:color w:val="000000"/>
          <w:sz w:val="18"/>
          <w:szCs w:val="18"/>
        </w:rPr>
        <w:t>.</w:t>
      </w:r>
    </w:p>
    <w:p w:rsidR="00000000" w:rsidRDefault="00775A8F">
      <w:pPr>
        <w:ind w:hanging="360"/>
        <w:divId w:val="1666010548"/>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Includes income taxes of $(11) million and $(545) million for the above related COVID-19 items for the three and six months ended June 30, 2020</w:t>
      </w:r>
      <w:r>
        <w:rPr>
          <w:rFonts w:eastAsia="Times New Roman"/>
          <w:color w:val="000000"/>
          <w:sz w:val="18"/>
          <w:szCs w:val="18"/>
        </w:rPr>
        <w:t>.</w:t>
      </w:r>
    </w:p>
    <w:p w:rsidR="00000000" w:rsidRDefault="00775A8F">
      <w:pPr>
        <w:jc w:val="both"/>
        <w:divId w:val="2121299124"/>
        <w:rPr>
          <w:rFonts w:eastAsia="Times New Roman"/>
        </w:rPr>
      </w:pPr>
      <w:r>
        <w:rPr>
          <w:rFonts w:eastAsia="Times New Roman"/>
          <w:b/>
          <w:bCs/>
          <w:i/>
          <w:iCs/>
          <w:color w:val="000000"/>
          <w:sz w:val="20"/>
          <w:szCs w:val="20"/>
        </w:rPr>
        <w:t>Non-GAAP Operating ROE and Non-GAAP Operating ROC by Segment</w:t>
      </w:r>
      <w:r>
        <w:rPr>
          <w:rFonts w:eastAsia="Times New Roman"/>
          <w:b/>
          <w:bCs/>
          <w:i/>
          <w:iCs/>
          <w:color w:val="000000"/>
          <w:sz w:val="20"/>
          <w:szCs w:val="20"/>
        </w:rPr>
        <w:t xml:space="preserve"> </w:t>
      </w:r>
    </w:p>
    <w:p w:rsidR="00000000" w:rsidRDefault="00775A8F">
      <w:pPr>
        <w:ind w:firstLine="360"/>
        <w:divId w:val="1454058273"/>
        <w:rPr>
          <w:rFonts w:eastAsia="Times New Roman"/>
        </w:rPr>
      </w:pPr>
      <w:r>
        <w:rPr>
          <w:rFonts w:eastAsia="Times New Roman"/>
          <w:color w:val="000000"/>
          <w:sz w:val="20"/>
          <w:szCs w:val="20"/>
        </w:rPr>
        <w:t>We report Non-GAAP Operating ROE and Non-GAAP Ope</w:t>
      </w:r>
      <w:r>
        <w:rPr>
          <w:rFonts w:eastAsia="Times New Roman"/>
          <w:color w:val="000000"/>
          <w:sz w:val="20"/>
          <w:szCs w:val="20"/>
        </w:rPr>
        <w:t>rating ROC by segment for our Individual Retirement, Group Retirement and Protection Solutions segments, each of which is a Non-GAAP financial measure used to evaluate our profitability on a consolidated basis and by segment, respectively.</w:t>
      </w:r>
      <w:r>
        <w:rPr>
          <w:rFonts w:eastAsia="Times New Roman"/>
          <w:color w:val="000000"/>
          <w:sz w:val="20"/>
          <w:szCs w:val="20"/>
        </w:rPr>
        <w:t xml:space="preserve"> </w:t>
      </w:r>
    </w:p>
    <w:p w:rsidR="00000000" w:rsidRDefault="00775A8F">
      <w:pPr>
        <w:ind w:firstLine="360"/>
        <w:divId w:val="812061666"/>
        <w:rPr>
          <w:rFonts w:eastAsia="Times New Roman"/>
        </w:rPr>
      </w:pPr>
      <w:r>
        <w:rPr>
          <w:rFonts w:eastAsia="Times New Roman"/>
          <w:color w:val="000000"/>
          <w:sz w:val="20"/>
          <w:szCs w:val="20"/>
        </w:rPr>
        <w:t>We calculate No</w:t>
      </w:r>
      <w:r>
        <w:rPr>
          <w:rFonts w:eastAsia="Times New Roman"/>
          <w:color w:val="000000"/>
          <w:sz w:val="20"/>
          <w:szCs w:val="20"/>
        </w:rPr>
        <w:t>n-GAAP Operating ROE by dividing Non-GAAP Operating Earnings for the previous twelve calendar months by consolidated average equity attributable to Holdings’ common shareholders, excluding Accumulated Other Comprehensive Income (“AOCI”). We calculate Non-G</w:t>
      </w:r>
      <w:r>
        <w:rPr>
          <w:rFonts w:eastAsia="Times New Roman"/>
          <w:color w:val="000000"/>
          <w:sz w:val="20"/>
          <w:szCs w:val="20"/>
        </w:rPr>
        <w:t>AAP Operating ROC by segment by dividing Operating earnings (loss) on a segment basis for the previous twelve calendar months by average capital on a segment basis, excluding AOCI, as described below. AOCI fluctuates period-to-period in a manner inconsiste</w:t>
      </w:r>
      <w:r>
        <w:rPr>
          <w:rFonts w:eastAsia="Times New Roman"/>
          <w:color w:val="000000"/>
          <w:sz w:val="20"/>
          <w:szCs w:val="20"/>
        </w:rPr>
        <w:t>nt with our underlying profitability drivers as the majority of such fluctuation is related to the market volatility of the unrealized gains and losses associated with our available-for-sale (“AFS”) securities.</w:t>
      </w:r>
      <w:r>
        <w:rPr>
          <w:rFonts w:eastAsia="Times New Roman"/>
          <w:color w:val="000000"/>
          <w:sz w:val="20"/>
          <w:szCs w:val="20"/>
        </w:rPr>
        <w:t xml:space="preserve"> </w:t>
      </w:r>
    </w:p>
    <w:p w:rsidR="00000000" w:rsidRDefault="00775A8F">
      <w:pPr>
        <w:ind w:firstLine="360"/>
        <w:divId w:val="1071083353"/>
        <w:rPr>
          <w:rFonts w:eastAsia="Times New Roman"/>
        </w:rPr>
      </w:pPr>
      <w:r>
        <w:rPr>
          <w:rFonts w:eastAsia="Times New Roman"/>
          <w:color w:val="000000"/>
          <w:sz w:val="20"/>
          <w:szCs w:val="20"/>
        </w:rPr>
        <w:t>Therefore, we believe excluding AOCI is more</w:t>
      </w:r>
      <w:r>
        <w:rPr>
          <w:rFonts w:eastAsia="Times New Roman"/>
          <w:color w:val="000000"/>
          <w:sz w:val="20"/>
          <w:szCs w:val="20"/>
        </w:rPr>
        <w:t xml:space="preserve"> effective for analyzing the trends of our operations. We do not calculate Non-GAAP Operating ROC by segment for our Investment Management and Research segment because we do not manage that segment from a return of capital perspective. Instead, we use metr</w:t>
      </w:r>
      <w:r>
        <w:rPr>
          <w:rFonts w:eastAsia="Times New Roman"/>
          <w:color w:val="000000"/>
          <w:sz w:val="20"/>
          <w:szCs w:val="20"/>
        </w:rPr>
        <w:t>ics more directly applicable to an asset management business, such as AUM, to evaluate and manage that segment.</w:t>
      </w:r>
      <w:r>
        <w:rPr>
          <w:rFonts w:eastAsia="Times New Roman"/>
          <w:color w:val="000000"/>
          <w:sz w:val="20"/>
          <w:szCs w:val="20"/>
        </w:rPr>
        <w:t xml:space="preserve"> </w:t>
      </w:r>
    </w:p>
    <w:p w:rsidR="00000000" w:rsidRDefault="00775A8F">
      <w:pPr>
        <w:ind w:firstLine="360"/>
        <w:divId w:val="1692952370"/>
        <w:rPr>
          <w:rFonts w:eastAsia="Times New Roman"/>
        </w:rPr>
      </w:pPr>
      <w:r>
        <w:rPr>
          <w:rFonts w:eastAsia="Times New Roman"/>
          <w:color w:val="000000"/>
          <w:sz w:val="20"/>
          <w:szCs w:val="20"/>
        </w:rPr>
        <w:t xml:space="preserve">For Non-GAAP Operating ROC by segment, capital components pertaining directly to specific segments such as DAC along with targeted capital are </w:t>
      </w:r>
      <w:r>
        <w:rPr>
          <w:rFonts w:eastAsia="Times New Roman"/>
          <w:color w:val="000000"/>
          <w:sz w:val="20"/>
          <w:szCs w:val="20"/>
        </w:rPr>
        <w:t xml:space="preserve">directly attributed to these segments. Targeted capital for each segment is established using assumptions supporting statutory capital adequacy levels, reflecting the newly adopted NAIC RBC framework the company as of year end 2019. To enhance the ability </w:t>
      </w:r>
      <w:r>
        <w:rPr>
          <w:rFonts w:eastAsia="Times New Roman"/>
          <w:color w:val="000000"/>
          <w:sz w:val="20"/>
          <w:szCs w:val="20"/>
        </w:rPr>
        <w:t>to analyze these measures across periods, interim periods are annualized. Non-GAAP Operating ROE and Non-GAAP Operating ROC by segment should not be used as substitutes for ROE</w:t>
      </w:r>
      <w:r>
        <w:rPr>
          <w:rFonts w:eastAsia="Times New Roman"/>
          <w:color w:val="000000"/>
          <w:sz w:val="20"/>
          <w:szCs w:val="20"/>
        </w:rPr>
        <w:t>.</w:t>
      </w:r>
    </w:p>
    <w:p w:rsidR="00000000" w:rsidRDefault="00775A8F">
      <w:pPr>
        <w:ind w:firstLine="360"/>
        <w:divId w:val="564924006"/>
        <w:rPr>
          <w:rFonts w:eastAsia="Times New Roman"/>
        </w:rPr>
      </w:pPr>
      <w:r>
        <w:rPr>
          <w:rFonts w:eastAsia="Times New Roman"/>
          <w:color w:val="000000"/>
          <w:sz w:val="20"/>
          <w:szCs w:val="20"/>
        </w:rPr>
        <w:t>The following table presents Return on Average equity attributable to Holdings</w:t>
      </w:r>
      <w:r>
        <w:rPr>
          <w:rFonts w:eastAsia="Times New Roman"/>
          <w:color w:val="000000"/>
          <w:sz w:val="20"/>
          <w:szCs w:val="20"/>
        </w:rPr>
        <w:t>’ common shareholders, excluding AOCI and Non-GAAP Operating ROE for the trailing twelve months ended June 30, 2020</w:t>
      </w:r>
      <w:r>
        <w:rPr>
          <w:rFonts w:eastAsia="Times New Roman"/>
          <w:color w:val="000000"/>
          <w:sz w:val="20"/>
          <w:szCs w:val="20"/>
        </w:rPr>
        <w:t>.</w:t>
      </w:r>
    </w:p>
    <w:p w:rsidR="00000000" w:rsidRDefault="00775A8F">
      <w:pPr>
        <w:jc w:val="center"/>
        <w:divId w:val="1632705631"/>
        <w:rPr>
          <w:rFonts w:eastAsia="Times New Roman"/>
        </w:rPr>
      </w:pPr>
      <w:r>
        <w:rPr>
          <w:rFonts w:eastAsia="Times New Roman"/>
          <w:color w:val="000000"/>
          <w:sz w:val="20"/>
          <w:szCs w:val="20"/>
        </w:rPr>
        <w:t>7</w:t>
      </w:r>
      <w:r>
        <w:rPr>
          <w:rFonts w:eastAsia="Times New Roman"/>
          <w:color w:val="000000"/>
          <w:sz w:val="20"/>
          <w:szCs w:val="20"/>
        </w:rPr>
        <w:t>4</w:t>
      </w:r>
    </w:p>
    <w:p w:rsidR="00000000" w:rsidRDefault="00775A8F">
      <w:pPr>
        <w:rPr>
          <w:rFonts w:eastAsia="Times New Roman"/>
        </w:rPr>
      </w:pPr>
      <w:r>
        <w:rPr>
          <w:rFonts w:eastAsia="Times New Roman"/>
        </w:rPr>
        <w:pict>
          <v:rect id="_x0000_i1100" style="width:0;height:1.5pt" o:hralign="center" o:hrstd="t" o:hr="t" fillcolor="#a0a0a0" stroked="f"/>
        </w:pict>
      </w:r>
    </w:p>
    <w:p w:rsidR="00000000" w:rsidRDefault="00775A8F">
      <w:pPr>
        <w:ind w:firstLine="360"/>
        <w:divId w:val="1134522691"/>
        <w:rPr>
          <w:rFonts w:eastAsia="Times New Roman"/>
        </w:rPr>
      </w:pPr>
    </w:p>
    <w:tbl>
      <w:tblPr>
        <w:tblW w:w="4619" w:type="pct"/>
        <w:tblCellMar>
          <w:top w:w="15" w:type="dxa"/>
          <w:left w:w="15" w:type="dxa"/>
          <w:bottom w:w="15" w:type="dxa"/>
          <w:right w:w="15" w:type="dxa"/>
        </w:tblCellMar>
        <w:tblLook w:val="04A0" w:firstRow="1" w:lastRow="0" w:firstColumn="1" w:lastColumn="0" w:noHBand="0" w:noVBand="1"/>
      </w:tblPr>
      <w:tblGrid>
        <w:gridCol w:w="38"/>
        <w:gridCol w:w="5751"/>
        <w:gridCol w:w="37"/>
        <w:gridCol w:w="135"/>
        <w:gridCol w:w="1477"/>
        <w:gridCol w:w="235"/>
      </w:tblGrid>
      <w:tr w:rsidR="00000000">
        <w:trPr>
          <w:divId w:val="433328520"/>
        </w:trPr>
        <w:tc>
          <w:tcPr>
            <w:tcW w:w="50" w:type="pct"/>
            <w:vAlign w:val="center"/>
            <w:hideMark/>
          </w:tcPr>
          <w:p w:rsidR="00000000" w:rsidRDefault="00775A8F">
            <w:pPr>
              <w:ind w:firstLine="360"/>
              <w:rPr>
                <w:rFonts w:eastAsia="Times New Roman"/>
              </w:rPr>
            </w:pPr>
          </w:p>
        </w:tc>
        <w:tc>
          <w:tcPr>
            <w:tcW w:w="379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00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43332852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Trailing Twelve Months Ended June 30, 202</w:t>
            </w:r>
            <w:r>
              <w:rPr>
                <w:rFonts w:eastAsia="Times New Roman"/>
                <w:b/>
                <w:bCs/>
                <w:color w:val="000000"/>
                <w:sz w:val="16"/>
                <w:szCs w:val="16"/>
              </w:rPr>
              <w:t>0</w:t>
            </w:r>
          </w:p>
        </w:tc>
      </w:tr>
      <w:tr w:rsidR="00000000">
        <w:trPr>
          <w:divId w:val="433328520"/>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r>
      <w:tr w:rsidR="00000000">
        <w:trPr>
          <w:divId w:val="433328520"/>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available to Holdings’ common shareholder</w:t>
            </w:r>
            <w:r>
              <w:rPr>
                <w:rFonts w:eastAsia="Times New Roman"/>
                <w:color w:val="000000"/>
                <w:sz w:val="20"/>
                <w:szCs w:val="20"/>
              </w:rPr>
              <w:t>s</w:t>
            </w:r>
          </w:p>
        </w:tc>
        <w:tc>
          <w:tcPr>
            <w:tcW w:w="0" w:type="auto"/>
            <w:tcBorders>
              <w:top w:val="single" w:sz="8" w:space="0" w:color="000000"/>
            </w:tcBorders>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w:t>
            </w:r>
            <w:r>
              <w:rPr>
                <w:rFonts w:eastAsia="Times New Roman"/>
                <w:b/>
                <w:bCs/>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r>
      <w:tr w:rsidR="00000000">
        <w:trPr>
          <w:divId w:val="433328520"/>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Average equity attributable to Holdings’ common shareholders, excluding AOC</w:t>
            </w:r>
            <w:r>
              <w:rPr>
                <w:rFonts w:eastAsia="Times New Roman"/>
                <w:color w:val="000000"/>
                <w:sz w:val="20"/>
                <w:szCs w:val="20"/>
              </w:rPr>
              <w:t>I</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13,825</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r>
      <w:tr w:rsidR="00000000">
        <w:trPr>
          <w:divId w:val="433328520"/>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Return on average equity attributable to Holdings’ common shareholders, excluding AOC</w:t>
            </w:r>
            <w:r>
              <w:rPr>
                <w:rFonts w:eastAsia="Times New Roman"/>
                <w:color w:val="000000"/>
                <w:sz w:val="20"/>
                <w:szCs w:val="20"/>
              </w:rPr>
              <w:t>I</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0.3</w:t>
            </w:r>
            <w:r>
              <w:rPr>
                <w:rFonts w:eastAsia="Times New Roman"/>
                <w:b/>
                <w:bCs/>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r>
      <w:tr w:rsidR="00000000">
        <w:trPr>
          <w:divId w:val="433328520"/>
          <w:trHeight w:val="280"/>
        </w:trPr>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433328520"/>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Non-GAAP Operating Earnings available to Holdings’ common shareholder</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r>
      <w:tr w:rsidR="00000000">
        <w:trPr>
          <w:divId w:val="433328520"/>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Average equity attributable to Holdings’ common shareholders, excl</w:t>
            </w:r>
            <w:r>
              <w:rPr>
                <w:rFonts w:eastAsia="Times New Roman"/>
                <w:color w:val="000000"/>
                <w:sz w:val="20"/>
                <w:szCs w:val="20"/>
              </w:rPr>
              <w:t>uding AOC</w:t>
            </w:r>
            <w:r>
              <w:rPr>
                <w:rFonts w:eastAsia="Times New Roman"/>
                <w:color w:val="000000"/>
                <w:sz w:val="20"/>
                <w:szCs w:val="20"/>
              </w:rPr>
              <w:t>I</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13,825</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r>
      <w:tr w:rsidR="00000000">
        <w:trPr>
          <w:divId w:val="433328520"/>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Non-GAAP Operating RO</w:t>
            </w:r>
            <w:r>
              <w:rPr>
                <w:rFonts w:eastAsia="Times New Roman"/>
                <w:color w:val="000000"/>
                <w:sz w:val="20"/>
                <w:szCs w:val="20"/>
              </w:rPr>
              <w:t>E</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16.5</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r>
    </w:tbl>
    <w:p w:rsidR="00000000" w:rsidRDefault="00775A8F">
      <w:pPr>
        <w:divId w:val="765734120"/>
        <w:rPr>
          <w:rFonts w:eastAsia="Times New Roman"/>
        </w:rPr>
      </w:pPr>
    </w:p>
    <w:p w:rsidR="00000000" w:rsidRDefault="00775A8F">
      <w:pPr>
        <w:ind w:firstLine="360"/>
        <w:divId w:val="1142772258"/>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trailing twelve months ended June 30,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453"/>
        <w:gridCol w:w="36"/>
        <w:gridCol w:w="135"/>
        <w:gridCol w:w="696"/>
        <w:gridCol w:w="235"/>
        <w:gridCol w:w="36"/>
        <w:gridCol w:w="36"/>
        <w:gridCol w:w="36"/>
        <w:gridCol w:w="135"/>
        <w:gridCol w:w="662"/>
        <w:gridCol w:w="235"/>
        <w:gridCol w:w="36"/>
        <w:gridCol w:w="36"/>
        <w:gridCol w:w="36"/>
        <w:gridCol w:w="135"/>
        <w:gridCol w:w="664"/>
        <w:gridCol w:w="235"/>
        <w:gridCol w:w="36"/>
        <w:gridCol w:w="36"/>
        <w:gridCol w:w="36"/>
        <w:gridCol w:w="36"/>
        <w:gridCol w:w="36"/>
        <w:gridCol w:w="36"/>
        <w:gridCol w:w="36"/>
        <w:gridCol w:w="36"/>
        <w:gridCol w:w="36"/>
        <w:gridCol w:w="36"/>
        <w:gridCol w:w="36"/>
        <w:gridCol w:w="36"/>
      </w:tblGrid>
      <w:tr w:rsidR="00000000">
        <w:trPr>
          <w:gridAfter w:val="12"/>
          <w:divId w:val="1374965513"/>
        </w:trPr>
        <w:tc>
          <w:tcPr>
            <w:tcW w:w="50" w:type="pct"/>
            <w:vAlign w:val="center"/>
            <w:hideMark/>
          </w:tcPr>
          <w:p w:rsidR="00000000" w:rsidRDefault="00775A8F">
            <w:pPr>
              <w:ind w:firstLine="360"/>
              <w:rPr>
                <w:rFonts w:eastAsia="Times New Roman"/>
              </w:rPr>
            </w:pPr>
          </w:p>
        </w:tc>
        <w:tc>
          <w:tcPr>
            <w:tcW w:w="29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37496551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Trailing Twelve Months Ended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37496551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Individual Retiremen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Group Retiremen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Protection Solution</w:t>
            </w:r>
            <w:r>
              <w:rPr>
                <w:rFonts w:eastAsia="Times New Roman"/>
                <w:b/>
                <w:bCs/>
                <w:color w:val="000000"/>
                <w:sz w:val="16"/>
                <w:szCs w:val="16"/>
              </w:rPr>
              <w:t>s</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74965513"/>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374965513"/>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Operating earning</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1,570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7496551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Average capital (1</w:t>
            </w:r>
            <w:r>
              <w:rPr>
                <w:rFonts w:eastAsia="Times New Roman"/>
                <w:color w:val="000000"/>
                <w:sz w:val="20"/>
                <w:szCs w:val="20"/>
              </w:rPr>
              <w:t>)</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7,008</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1,204</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2,654</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7496551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Non-GAAP Operating RO</w:t>
            </w:r>
            <w:r>
              <w:rPr>
                <w:rFonts w:eastAsia="Times New Roman"/>
                <w:color w:val="000000"/>
                <w:sz w:val="20"/>
                <w:szCs w:val="20"/>
              </w:rPr>
              <w:t>C</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22.4</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34.1</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886377059"/>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29152438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For average capital amounts by segment, capital components pertaining directly to specific segments such as DAC along with targeted capital are directly attributed to these segments. Targ</w:t>
      </w:r>
      <w:r>
        <w:rPr>
          <w:rFonts w:eastAsia="Times New Roman"/>
          <w:color w:val="000000"/>
          <w:sz w:val="18"/>
          <w:szCs w:val="18"/>
        </w:rPr>
        <w:t>eted capital for each segment is established using assumptions supporting statutory capital adequacy levels, reflecting the newly adopted NAIC RBC framework the company as of year end 2019</w:t>
      </w:r>
      <w:r>
        <w:rPr>
          <w:rFonts w:eastAsia="Times New Roman"/>
          <w:color w:val="000000"/>
          <w:sz w:val="18"/>
          <w:szCs w:val="18"/>
        </w:rPr>
        <w:t>.</w:t>
      </w:r>
    </w:p>
    <w:p w:rsidR="00000000" w:rsidRDefault="00775A8F">
      <w:pPr>
        <w:jc w:val="both"/>
        <w:divId w:val="2137484114"/>
        <w:rPr>
          <w:rFonts w:eastAsia="Times New Roman"/>
        </w:rPr>
      </w:pPr>
      <w:r>
        <w:rPr>
          <w:rFonts w:eastAsia="Times New Roman"/>
          <w:b/>
          <w:bCs/>
          <w:i/>
          <w:iCs/>
          <w:color w:val="000000"/>
          <w:sz w:val="20"/>
          <w:szCs w:val="20"/>
        </w:rPr>
        <w:t>Non-GAAP Operating Earnings Per Common Shar</w:t>
      </w:r>
      <w:r>
        <w:rPr>
          <w:rFonts w:eastAsia="Times New Roman"/>
          <w:b/>
          <w:bCs/>
          <w:i/>
          <w:iCs/>
          <w:color w:val="000000"/>
          <w:sz w:val="20"/>
          <w:szCs w:val="20"/>
        </w:rPr>
        <w:t>e</w:t>
      </w:r>
    </w:p>
    <w:p w:rsidR="00000000" w:rsidRDefault="00775A8F">
      <w:pPr>
        <w:ind w:firstLine="360"/>
        <w:divId w:val="1112439551"/>
        <w:rPr>
          <w:rFonts w:eastAsia="Times New Roman"/>
        </w:rPr>
      </w:pPr>
      <w:r>
        <w:rPr>
          <w:rFonts w:eastAsia="Times New Roman"/>
          <w:color w:val="000000"/>
          <w:sz w:val="20"/>
          <w:szCs w:val="20"/>
        </w:rPr>
        <w:t>Non-GAAP Operating Ea</w:t>
      </w:r>
      <w:r>
        <w:rPr>
          <w:rFonts w:eastAsia="Times New Roman"/>
          <w:color w:val="000000"/>
          <w:sz w:val="20"/>
          <w:szCs w:val="20"/>
        </w:rPr>
        <w:t>rnings per common share (“Non-GAAP Operating EPS”) is calculated by dividing Non-GAAP Operating Earnings by diluted common shares outstanding. The following table sets forth Non-GAAP Operating EPS for the six months ended June 30, 2020 and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849"/>
        <w:gridCol w:w="38"/>
        <w:gridCol w:w="36"/>
        <w:gridCol w:w="36"/>
        <w:gridCol w:w="36"/>
        <w:gridCol w:w="36"/>
        <w:gridCol w:w="135"/>
        <w:gridCol w:w="609"/>
        <w:gridCol w:w="85"/>
        <w:gridCol w:w="36"/>
        <w:gridCol w:w="36"/>
        <w:gridCol w:w="36"/>
        <w:gridCol w:w="135"/>
        <w:gridCol w:w="576"/>
        <w:gridCol w:w="85"/>
        <w:gridCol w:w="36"/>
        <w:gridCol w:w="36"/>
        <w:gridCol w:w="36"/>
        <w:gridCol w:w="135"/>
        <w:gridCol w:w="623"/>
        <w:gridCol w:w="85"/>
        <w:gridCol w:w="36"/>
        <w:gridCol w:w="36"/>
        <w:gridCol w:w="36"/>
        <w:gridCol w:w="135"/>
        <w:gridCol w:w="576"/>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45780138"/>
        </w:trPr>
        <w:tc>
          <w:tcPr>
            <w:tcW w:w="50" w:type="pct"/>
            <w:vAlign w:val="center"/>
            <w:hideMark/>
          </w:tcPr>
          <w:p w:rsidR="00000000" w:rsidRDefault="00775A8F">
            <w:pPr>
              <w:ind w:firstLine="360"/>
              <w:rPr>
                <w:rFonts w:eastAsia="Times New Roman"/>
              </w:rPr>
            </w:pPr>
          </w:p>
        </w:tc>
        <w:tc>
          <w:tcPr>
            <w:tcW w:w="260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4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4578013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4578013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(per share amounts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4578013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attributable to Holdings (1</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(8.94</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(0.82</w:t>
            </w:r>
            <w:r>
              <w:rPr>
                <w:rFonts w:eastAsia="Times New Roman"/>
                <w:b/>
                <w:bCs/>
                <w:color w:val="000000"/>
                <w:sz w:val="20"/>
                <w:szCs w:val="20"/>
              </w:rPr>
              <w:t>)</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Less: Preferred stock dividend</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0.05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income (loss) available to Holdings’ common shareholder</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(0.82</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Adjustments related to</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Variable annuity product features (2</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(gains) losse</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(0.38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(0.38</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actuarial (gains) losses related to pension and other postretirement benefit obligation</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0.06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0.12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adjustments (3) (4</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Income tax expense (benefit) related to above adjustments (5</w:t>
            </w:r>
            <w:r>
              <w:rPr>
                <w:rFonts w:eastAsia="Times New Roman"/>
                <w:color w:val="000000"/>
                <w:sz w:val="20"/>
                <w:szCs w:val="20"/>
              </w:rPr>
              <w:t>)</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(2.65</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Non-recurring tax item</w:t>
            </w:r>
            <w:r>
              <w:rPr>
                <w:rFonts w:eastAsia="Times New Roman"/>
                <w:color w:val="000000"/>
                <w:sz w:val="20"/>
                <w:szCs w:val="20"/>
              </w:rPr>
              <w:t>s</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5780138"/>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Non-GAAP Operating Earnings per common shar</w:t>
            </w:r>
            <w:r>
              <w:rPr>
                <w:rFonts w:eastAsia="Times New Roman"/>
                <w:color w:val="000000"/>
                <w:sz w:val="20"/>
                <w:szCs w:val="20"/>
              </w:rPr>
              <w:t>e</w:t>
            </w:r>
          </w:p>
        </w:tc>
        <w:tc>
          <w:tcPr>
            <w:tcW w:w="0" w:type="auto"/>
            <w:vAlign w:val="center"/>
            <w:hideMark/>
          </w:tcPr>
          <w:p w:rsidR="00000000" w:rsidRDefault="00775A8F">
            <w:pP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969285537"/>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775A8F">
      <w:pPr>
        <w:ind w:hanging="360"/>
        <w:divId w:val="2065567560"/>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 xml:space="preserve">Due to reporting a net </w:t>
      </w:r>
      <w:r>
        <w:rPr>
          <w:rFonts w:eastAsia="Times New Roman"/>
          <w:color w:val="000000"/>
          <w:sz w:val="18"/>
          <w:szCs w:val="18"/>
        </w:rPr>
        <w:t>loss for the three months ended June 30, 2020 and six months ended June 30, 2019, basic shares was used in the diluted earnings per common share calculation as the use of diluted shares would have resulted in a lower loss per share.</w:t>
      </w:r>
      <w:r>
        <w:rPr>
          <w:rFonts w:eastAsia="Times New Roman"/>
          <w:color w:val="000000"/>
          <w:sz w:val="18"/>
          <w:szCs w:val="18"/>
        </w:rPr>
        <w:t xml:space="preserve"> </w:t>
      </w:r>
    </w:p>
    <w:p w:rsidR="00000000" w:rsidRDefault="00775A8F">
      <w:pPr>
        <w:ind w:hanging="360"/>
        <w:divId w:val="1187330275"/>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COVID-19 i</w:t>
      </w:r>
      <w:r>
        <w:rPr>
          <w:rFonts w:eastAsia="Times New Roman"/>
          <w:color w:val="000000"/>
          <w:sz w:val="18"/>
          <w:szCs w:val="18"/>
        </w:rPr>
        <w:t>mpact on Variable annuity product features due to a first quarter 2020 assumption update of $3.21 and other COVID-19 related impacts of $0.08 for the six months ended June 30, 2020</w:t>
      </w:r>
      <w:r>
        <w:rPr>
          <w:rFonts w:eastAsia="Times New Roman"/>
          <w:color w:val="000000"/>
          <w:sz w:val="18"/>
          <w:szCs w:val="18"/>
        </w:rPr>
        <w:t>.</w:t>
      </w:r>
    </w:p>
    <w:p w:rsidR="00000000" w:rsidRDefault="00775A8F">
      <w:pPr>
        <w:ind w:hanging="360"/>
        <w:divId w:val="53432080"/>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Includes COVID-19 impact on Other adjustments due to a first quarter 20</w:t>
      </w:r>
      <w:r>
        <w:rPr>
          <w:rFonts w:eastAsia="Times New Roman"/>
          <w:color w:val="000000"/>
          <w:sz w:val="18"/>
          <w:szCs w:val="18"/>
        </w:rPr>
        <w:t>20 assumption update of $2.16 for the six months ended June 30, 2020 and other COVID-19 related impacts of $0.12 and $0.23 for the three and six months ended June 30, 2020.</w:t>
      </w:r>
      <w:r>
        <w:rPr>
          <w:rFonts w:eastAsia="Times New Roman"/>
          <w:color w:val="000000"/>
          <w:sz w:val="18"/>
          <w:szCs w:val="18"/>
        </w:rPr>
        <w:t xml:space="preserve"> </w:t>
      </w:r>
    </w:p>
    <w:p w:rsidR="00000000" w:rsidRDefault="00775A8F">
      <w:pPr>
        <w:ind w:hanging="360"/>
        <w:divId w:val="714306363"/>
        <w:rPr>
          <w:rFonts w:eastAsia="Times New Roman"/>
        </w:rPr>
      </w:pPr>
      <w:r>
        <w:rPr>
          <w:rFonts w:eastAsia="Times New Roman"/>
          <w:color w:val="000000"/>
          <w:sz w:val="18"/>
          <w:szCs w:val="18"/>
        </w:rPr>
        <w:t>(4</w:t>
      </w:r>
      <w:r>
        <w:rPr>
          <w:rFonts w:eastAsia="Times New Roman"/>
          <w:color w:val="000000"/>
          <w:sz w:val="18"/>
          <w:szCs w:val="18"/>
        </w:rPr>
        <w:t>)</w:t>
      </w:r>
      <w:r>
        <w:rPr>
          <w:rFonts w:eastAsia="Times New Roman"/>
          <w:color w:val="000000"/>
          <w:sz w:val="18"/>
          <w:szCs w:val="18"/>
        </w:rPr>
        <w:t>Includes separation costs of $0.09, $0.12, $0.16 and $0.16 for the three and si</w:t>
      </w:r>
      <w:r>
        <w:rPr>
          <w:rFonts w:eastAsia="Times New Roman"/>
          <w:color w:val="000000"/>
          <w:sz w:val="18"/>
          <w:szCs w:val="18"/>
        </w:rPr>
        <w:t>x months ended June 30, 2020 and 2019, respectively</w:t>
      </w:r>
      <w:r>
        <w:rPr>
          <w:rFonts w:eastAsia="Times New Roman"/>
          <w:color w:val="000000"/>
          <w:sz w:val="18"/>
          <w:szCs w:val="18"/>
        </w:rPr>
        <w:t>.</w:t>
      </w:r>
    </w:p>
    <w:p w:rsidR="00000000" w:rsidRDefault="00775A8F">
      <w:pPr>
        <w:ind w:hanging="360"/>
        <w:divId w:val="1417902211"/>
        <w:rPr>
          <w:rFonts w:eastAsia="Times New Roman"/>
        </w:rPr>
      </w:pPr>
      <w:r>
        <w:rPr>
          <w:rFonts w:eastAsia="Times New Roman"/>
          <w:color w:val="000000"/>
          <w:sz w:val="18"/>
          <w:szCs w:val="18"/>
        </w:rPr>
        <w:t>(5</w:t>
      </w:r>
      <w:r>
        <w:rPr>
          <w:rFonts w:eastAsia="Times New Roman"/>
          <w:color w:val="000000"/>
          <w:sz w:val="18"/>
          <w:szCs w:val="18"/>
        </w:rPr>
        <w:t>)</w:t>
      </w:r>
      <w:r>
        <w:rPr>
          <w:rFonts w:eastAsia="Times New Roman"/>
          <w:color w:val="000000"/>
          <w:sz w:val="18"/>
          <w:szCs w:val="18"/>
        </w:rPr>
        <w:t>Includes income taxes of $(0.02) and $(1.19) for the above related COVID-19 items for the three and six months ended June 30, 2020.</w:t>
      </w:r>
      <w:r>
        <w:rPr>
          <w:rFonts w:eastAsia="Times New Roman"/>
          <w:color w:val="000000"/>
          <w:sz w:val="18"/>
          <w:szCs w:val="18"/>
        </w:rPr>
        <w:t xml:space="preserve"> </w:t>
      </w:r>
    </w:p>
    <w:p w:rsidR="00000000" w:rsidRDefault="00775A8F">
      <w:pPr>
        <w:jc w:val="center"/>
        <w:divId w:val="1460613787"/>
        <w:rPr>
          <w:rFonts w:eastAsia="Times New Roman"/>
        </w:rPr>
      </w:pPr>
      <w:r>
        <w:rPr>
          <w:rFonts w:eastAsia="Times New Roman"/>
          <w:color w:val="000000"/>
          <w:sz w:val="20"/>
          <w:szCs w:val="20"/>
        </w:rPr>
        <w:t>7</w:t>
      </w:r>
      <w:r>
        <w:rPr>
          <w:rFonts w:eastAsia="Times New Roman"/>
          <w:color w:val="000000"/>
          <w:sz w:val="20"/>
          <w:szCs w:val="20"/>
        </w:rPr>
        <w:t>5</w:t>
      </w:r>
    </w:p>
    <w:p w:rsidR="00000000" w:rsidRDefault="00775A8F">
      <w:pPr>
        <w:rPr>
          <w:rFonts w:eastAsia="Times New Roman"/>
        </w:rPr>
      </w:pPr>
      <w:r>
        <w:rPr>
          <w:rFonts w:eastAsia="Times New Roman"/>
        </w:rPr>
        <w:pict>
          <v:rect id="_x0000_i1101" style="width:0;height:1.5pt" o:hralign="center" o:hrstd="t" o:hr="t" fillcolor="#a0a0a0" stroked="f"/>
        </w:pict>
      </w:r>
    </w:p>
    <w:p w:rsidR="00000000" w:rsidRDefault="00775A8F">
      <w:pPr>
        <w:ind w:firstLine="360"/>
        <w:divId w:val="1681008538"/>
        <w:rPr>
          <w:rFonts w:eastAsia="Times New Roman"/>
        </w:rPr>
      </w:pPr>
    </w:p>
    <w:p w:rsidR="00000000" w:rsidRDefault="00775A8F">
      <w:pPr>
        <w:jc w:val="both"/>
        <w:divId w:val="255983822"/>
        <w:rPr>
          <w:rFonts w:eastAsia="Times New Roman"/>
        </w:rPr>
      </w:pPr>
      <w:r>
        <w:rPr>
          <w:rFonts w:eastAsia="Times New Roman"/>
          <w:b/>
          <w:bCs/>
          <w:i/>
          <w:iCs/>
          <w:color w:val="000000"/>
          <w:sz w:val="20"/>
          <w:szCs w:val="20"/>
        </w:rPr>
        <w:t>Assets Under Management</w:t>
      </w:r>
      <w:r>
        <w:rPr>
          <w:rFonts w:eastAsia="Times New Roman"/>
          <w:b/>
          <w:bCs/>
          <w:i/>
          <w:iCs/>
          <w:color w:val="000000"/>
          <w:sz w:val="20"/>
          <w:szCs w:val="20"/>
        </w:rPr>
        <w:t xml:space="preserve"> </w:t>
      </w:r>
    </w:p>
    <w:p w:rsidR="00000000" w:rsidRDefault="00775A8F">
      <w:pPr>
        <w:ind w:firstLine="360"/>
        <w:divId w:val="1559318218"/>
        <w:rPr>
          <w:rFonts w:eastAsia="Times New Roman"/>
        </w:rPr>
      </w:pPr>
      <w:r>
        <w:rPr>
          <w:rFonts w:eastAsia="Times New Roman"/>
          <w:color w:val="000000"/>
          <w:sz w:val="20"/>
          <w:szCs w:val="20"/>
        </w:rPr>
        <w:t>A</w:t>
      </w:r>
      <w:r>
        <w:rPr>
          <w:rFonts w:eastAsia="Times New Roman"/>
          <w:color w:val="000000"/>
          <w:sz w:val="20"/>
          <w:szCs w:val="20"/>
        </w:rPr>
        <w:t>UM means investment assets that are managed by one of our subsidiaries and includes: (i) assets managed by AB; (ii) the assets in our General Account investment portfolio; and (iii) the Separate Accounts assets of our Individual Retirement, Group Retiremen</w:t>
      </w:r>
      <w:r>
        <w:rPr>
          <w:rFonts w:eastAsia="Times New Roman"/>
          <w:color w:val="000000"/>
          <w:sz w:val="20"/>
          <w:szCs w:val="20"/>
        </w:rPr>
        <w:t>t and Protection Solutions businesses. Total AUM reflects exclusions between segments to avoid double counting.</w:t>
      </w:r>
      <w:r>
        <w:rPr>
          <w:rFonts w:eastAsia="Times New Roman"/>
          <w:color w:val="000000"/>
          <w:sz w:val="20"/>
          <w:szCs w:val="20"/>
        </w:rPr>
        <w:t xml:space="preserve"> </w:t>
      </w:r>
    </w:p>
    <w:p w:rsidR="00000000" w:rsidRDefault="00775A8F">
      <w:pPr>
        <w:jc w:val="both"/>
        <w:divId w:val="971210695"/>
        <w:rPr>
          <w:rFonts w:eastAsia="Times New Roman"/>
        </w:rPr>
      </w:pPr>
      <w:r>
        <w:rPr>
          <w:rFonts w:eastAsia="Times New Roman"/>
          <w:b/>
          <w:bCs/>
          <w:i/>
          <w:iCs/>
          <w:color w:val="000000"/>
          <w:sz w:val="20"/>
          <w:szCs w:val="20"/>
        </w:rPr>
        <w:t>Assets Under Administration</w:t>
      </w:r>
      <w:r>
        <w:rPr>
          <w:rFonts w:eastAsia="Times New Roman"/>
          <w:b/>
          <w:bCs/>
          <w:i/>
          <w:iCs/>
          <w:color w:val="000000"/>
          <w:sz w:val="20"/>
          <w:szCs w:val="20"/>
        </w:rPr>
        <w:t xml:space="preserve"> </w:t>
      </w:r>
    </w:p>
    <w:p w:rsidR="00000000" w:rsidRDefault="00775A8F">
      <w:pPr>
        <w:ind w:firstLine="360"/>
        <w:divId w:val="442572899"/>
        <w:rPr>
          <w:rFonts w:eastAsia="Times New Roman"/>
        </w:rPr>
      </w:pPr>
      <w:r>
        <w:rPr>
          <w:rFonts w:eastAsia="Times New Roman"/>
          <w:color w:val="000000"/>
          <w:sz w:val="20"/>
          <w:szCs w:val="20"/>
        </w:rPr>
        <w:t>AUA includes non-insurance client assets that are invested in our savings and investment products or serviced by o</w:t>
      </w:r>
      <w:r>
        <w:rPr>
          <w:rFonts w:eastAsia="Times New Roman"/>
          <w:color w:val="000000"/>
          <w:sz w:val="20"/>
          <w:szCs w:val="20"/>
        </w:rPr>
        <w:t>ur Equitable Advisors platform. We provide administrative services for these assets and generally record the revenues received as distribution fees.</w:t>
      </w:r>
      <w:r>
        <w:rPr>
          <w:rFonts w:eastAsia="Times New Roman"/>
          <w:color w:val="000000"/>
          <w:sz w:val="20"/>
          <w:szCs w:val="20"/>
        </w:rPr>
        <w:t xml:space="preserve"> </w:t>
      </w:r>
    </w:p>
    <w:p w:rsidR="00000000" w:rsidRDefault="00775A8F">
      <w:pPr>
        <w:jc w:val="both"/>
        <w:divId w:val="415592021"/>
        <w:rPr>
          <w:rFonts w:eastAsia="Times New Roman"/>
        </w:rPr>
      </w:pPr>
      <w:r>
        <w:rPr>
          <w:rFonts w:eastAsia="Times New Roman"/>
          <w:b/>
          <w:bCs/>
          <w:i/>
          <w:iCs/>
          <w:color w:val="000000"/>
          <w:sz w:val="20"/>
          <w:szCs w:val="20"/>
        </w:rPr>
        <w:t>Account Value</w:t>
      </w:r>
      <w:r>
        <w:rPr>
          <w:rFonts w:eastAsia="Times New Roman"/>
          <w:b/>
          <w:bCs/>
          <w:i/>
          <w:iCs/>
          <w:color w:val="000000"/>
          <w:sz w:val="20"/>
          <w:szCs w:val="20"/>
        </w:rPr>
        <w:t xml:space="preserve"> </w:t>
      </w:r>
    </w:p>
    <w:p w:rsidR="00000000" w:rsidRDefault="00775A8F">
      <w:pPr>
        <w:ind w:firstLine="360"/>
        <w:divId w:val="1410466467"/>
        <w:rPr>
          <w:rFonts w:eastAsia="Times New Roman"/>
        </w:rPr>
      </w:pPr>
      <w:r>
        <w:rPr>
          <w:rFonts w:eastAsia="Times New Roman"/>
          <w:color w:val="000000"/>
          <w:sz w:val="20"/>
          <w:szCs w:val="20"/>
        </w:rPr>
        <w:t xml:space="preserve">AV generally equals the aggregate policy account value of our retirement products. General </w:t>
      </w:r>
      <w:r>
        <w:rPr>
          <w:rFonts w:eastAsia="Times New Roman"/>
          <w:color w:val="000000"/>
          <w:sz w:val="20"/>
          <w:szCs w:val="20"/>
        </w:rPr>
        <w:t>Account AV refers to account balances in investment options that are backed by the General Account while Separate Accounts AV refers to Separate Accounts investment assets</w:t>
      </w:r>
      <w:r>
        <w:rPr>
          <w:rFonts w:eastAsia="Times New Roman"/>
          <w:color w:val="000000"/>
          <w:sz w:val="20"/>
          <w:szCs w:val="20"/>
        </w:rPr>
        <w:t>.</w:t>
      </w:r>
    </w:p>
    <w:p w:rsidR="00000000" w:rsidRDefault="00775A8F">
      <w:pPr>
        <w:jc w:val="both"/>
        <w:divId w:val="800617646"/>
        <w:rPr>
          <w:rFonts w:eastAsia="Times New Roman"/>
        </w:rPr>
      </w:pPr>
      <w:r>
        <w:rPr>
          <w:rFonts w:eastAsia="Times New Roman"/>
          <w:b/>
          <w:bCs/>
          <w:i/>
          <w:iCs/>
          <w:color w:val="000000"/>
          <w:sz w:val="20"/>
          <w:szCs w:val="20"/>
        </w:rPr>
        <w:t>Protection Solutions Reserves</w:t>
      </w:r>
      <w:r>
        <w:rPr>
          <w:rFonts w:eastAsia="Times New Roman"/>
          <w:b/>
          <w:bCs/>
          <w:i/>
          <w:iCs/>
          <w:color w:val="000000"/>
          <w:sz w:val="20"/>
          <w:szCs w:val="20"/>
        </w:rPr>
        <w:t xml:space="preserve"> </w:t>
      </w:r>
    </w:p>
    <w:p w:rsidR="00000000" w:rsidRDefault="00775A8F">
      <w:pPr>
        <w:ind w:firstLine="360"/>
        <w:divId w:val="1659193051"/>
        <w:rPr>
          <w:rFonts w:eastAsia="Times New Roman"/>
        </w:rPr>
      </w:pPr>
      <w:r>
        <w:rPr>
          <w:rFonts w:eastAsia="Times New Roman"/>
          <w:color w:val="000000"/>
          <w:sz w:val="20"/>
          <w:szCs w:val="20"/>
        </w:rPr>
        <w:t>Protection Solutions Reserves equals the aggregate v</w:t>
      </w:r>
      <w:r>
        <w:rPr>
          <w:rFonts w:eastAsia="Times New Roman"/>
          <w:color w:val="000000"/>
          <w:sz w:val="20"/>
          <w:szCs w:val="20"/>
        </w:rPr>
        <w:t>alue of Policyholders’ account balances and Future policy benefits for policies in our Protection Solutions segment.</w:t>
      </w:r>
      <w:r>
        <w:rPr>
          <w:rFonts w:eastAsia="Times New Roman"/>
          <w:color w:val="000000"/>
          <w:sz w:val="20"/>
          <w:szCs w:val="20"/>
        </w:rPr>
        <w:t xml:space="preserve"> </w:t>
      </w:r>
    </w:p>
    <w:p w:rsidR="00000000" w:rsidRDefault="00775A8F">
      <w:pPr>
        <w:divId w:val="1467429930"/>
        <w:rPr>
          <w:rFonts w:eastAsia="Times New Roman"/>
        </w:rPr>
      </w:pPr>
      <w:r>
        <w:rPr>
          <w:rFonts w:eastAsia="Times New Roman"/>
          <w:b/>
          <w:bCs/>
          <w:color w:val="000000"/>
          <w:sz w:val="20"/>
          <w:szCs w:val="20"/>
        </w:rPr>
        <w:t>Consolidated Results of Operations</w:t>
      </w:r>
      <w:r>
        <w:rPr>
          <w:rFonts w:eastAsia="Times New Roman"/>
          <w:b/>
          <w:bCs/>
          <w:color w:val="000000"/>
          <w:sz w:val="20"/>
          <w:szCs w:val="20"/>
        </w:rPr>
        <w:t xml:space="preserve"> </w:t>
      </w:r>
    </w:p>
    <w:p w:rsidR="00000000" w:rsidRDefault="00775A8F">
      <w:pPr>
        <w:ind w:firstLine="360"/>
        <w:divId w:val="1133870034"/>
        <w:rPr>
          <w:rFonts w:eastAsia="Times New Roman"/>
        </w:rPr>
      </w:pPr>
      <w:r>
        <w:rPr>
          <w:rFonts w:eastAsia="Times New Roman"/>
          <w:color w:val="000000"/>
          <w:sz w:val="20"/>
          <w:szCs w:val="20"/>
        </w:rPr>
        <w:t>Our consolidated results of operations are significantly affected by conditions in the capital markets</w:t>
      </w:r>
      <w:r>
        <w:rPr>
          <w:rFonts w:eastAsia="Times New Roman"/>
          <w:color w:val="000000"/>
          <w:sz w:val="20"/>
          <w:szCs w:val="20"/>
        </w:rPr>
        <w:t xml:space="preserve"> and the economy because we offer market sensitive products. These products have been a significant driver of our results of operations. Because the future claims exposure on these products is sensitive to movements in the equity markets and interest rates</w:t>
      </w:r>
      <w:r>
        <w:rPr>
          <w:rFonts w:eastAsia="Times New Roman"/>
          <w:color w:val="000000"/>
          <w:sz w:val="20"/>
          <w:szCs w:val="20"/>
        </w:rPr>
        <w:t>, we have in place various hedging and reinsurance programs that are designed to mitigate the economic risks of movements in the equity markets and interest rates. The volatility in Net income attributable to Holdings for the periods presented below result</w:t>
      </w:r>
      <w:r>
        <w:rPr>
          <w:rFonts w:eastAsia="Times New Roman"/>
          <w:color w:val="000000"/>
          <w:sz w:val="20"/>
          <w:szCs w:val="20"/>
        </w:rPr>
        <w:t xml:space="preserve">s from the mismatch between: (i) the change in carrying value of the reserves for GMDB and certain GMIB features that do not fully and immediately reflect the impact of equity and interest market fluctuations; and (ii) the change in fair value of products </w:t>
      </w:r>
      <w:r>
        <w:rPr>
          <w:rFonts w:eastAsia="Times New Roman"/>
          <w:color w:val="000000"/>
          <w:sz w:val="20"/>
          <w:szCs w:val="20"/>
        </w:rPr>
        <w:t>with the GMIB feature that has a no-lapse guarantee, and our hedging and reinsurance programs.</w:t>
      </w:r>
      <w:r>
        <w:rPr>
          <w:rFonts w:eastAsia="Times New Roman"/>
          <w:color w:val="000000"/>
          <w:sz w:val="20"/>
          <w:szCs w:val="20"/>
        </w:rPr>
        <w:t xml:space="preserve"> </w:t>
      </w:r>
    </w:p>
    <w:p w:rsidR="00000000" w:rsidRDefault="00775A8F">
      <w:pPr>
        <w:jc w:val="both"/>
        <w:divId w:val="1588153567"/>
        <w:rPr>
          <w:rFonts w:eastAsia="Times New Roman"/>
        </w:rPr>
      </w:pPr>
      <w:r>
        <w:rPr>
          <w:rFonts w:eastAsia="Times New Roman"/>
          <w:b/>
          <w:bCs/>
          <w:i/>
          <w:iCs/>
          <w:color w:val="000000"/>
          <w:sz w:val="20"/>
          <w:szCs w:val="20"/>
        </w:rPr>
        <w:t>Ownership and Consolidation of AllianceBernstein</w:t>
      </w:r>
      <w:r>
        <w:rPr>
          <w:rFonts w:eastAsia="Times New Roman"/>
          <w:b/>
          <w:bCs/>
          <w:i/>
          <w:iCs/>
          <w:color w:val="000000"/>
          <w:sz w:val="20"/>
          <w:szCs w:val="20"/>
        </w:rPr>
        <w:t xml:space="preserve"> </w:t>
      </w:r>
    </w:p>
    <w:p w:rsidR="00000000" w:rsidRDefault="00775A8F">
      <w:pPr>
        <w:ind w:firstLine="360"/>
        <w:divId w:val="400106478"/>
        <w:rPr>
          <w:rFonts w:eastAsia="Times New Roman"/>
        </w:rPr>
      </w:pPr>
      <w:r>
        <w:rPr>
          <w:rFonts w:eastAsia="Times New Roman"/>
          <w:color w:val="000000"/>
          <w:sz w:val="20"/>
          <w:szCs w:val="20"/>
        </w:rPr>
        <w:t>Our indirect, wholly-owned subsidiary, AllianceBernstein Corporation, is the General Partner of AB. Accordingl</w:t>
      </w:r>
      <w:r>
        <w:rPr>
          <w:rFonts w:eastAsia="Times New Roman"/>
          <w:color w:val="000000"/>
          <w:sz w:val="20"/>
          <w:szCs w:val="20"/>
        </w:rPr>
        <w:t>y, AB’s results are fully reflected in our consolidated financial statements.</w:t>
      </w:r>
      <w:r>
        <w:rPr>
          <w:rFonts w:eastAsia="Times New Roman"/>
          <w:color w:val="000000"/>
          <w:sz w:val="20"/>
          <w:szCs w:val="20"/>
        </w:rPr>
        <w:t xml:space="preserve"> </w:t>
      </w:r>
    </w:p>
    <w:p w:rsidR="00000000" w:rsidRDefault="00775A8F">
      <w:pPr>
        <w:ind w:firstLine="360"/>
        <w:divId w:val="2004509846"/>
        <w:rPr>
          <w:rFonts w:eastAsia="Times New Roman"/>
        </w:rPr>
      </w:pPr>
      <w:r>
        <w:rPr>
          <w:rFonts w:eastAsia="Times New Roman"/>
          <w:color w:val="000000"/>
          <w:sz w:val="20"/>
          <w:szCs w:val="20"/>
        </w:rPr>
        <w:t>Our blended economic interest in AB was approximately 65% and 65% for the three months ended June 30, 2020 and 2019, respectively</w:t>
      </w:r>
      <w:r>
        <w:rPr>
          <w:rFonts w:eastAsia="Times New Roman"/>
          <w:color w:val="000000"/>
          <w:sz w:val="20"/>
          <w:szCs w:val="20"/>
        </w:rPr>
        <w:t>.</w:t>
      </w:r>
    </w:p>
    <w:p w:rsidR="00000000" w:rsidRDefault="00775A8F">
      <w:pPr>
        <w:jc w:val="both"/>
        <w:divId w:val="33041325"/>
        <w:rPr>
          <w:rFonts w:eastAsia="Times New Roman"/>
        </w:rPr>
      </w:pPr>
      <w:r>
        <w:rPr>
          <w:rFonts w:eastAsia="Times New Roman"/>
          <w:b/>
          <w:bCs/>
          <w:i/>
          <w:iCs/>
          <w:color w:val="000000"/>
          <w:sz w:val="20"/>
          <w:szCs w:val="20"/>
        </w:rPr>
        <w:t>Effective Tax Rate</w:t>
      </w:r>
      <w:r>
        <w:rPr>
          <w:rFonts w:eastAsia="Times New Roman"/>
          <w:b/>
          <w:bCs/>
          <w:i/>
          <w:iCs/>
          <w:color w:val="000000"/>
          <w:sz w:val="20"/>
          <w:szCs w:val="20"/>
        </w:rPr>
        <w:t>s</w:t>
      </w:r>
    </w:p>
    <w:p w:rsidR="00000000" w:rsidRDefault="00775A8F">
      <w:pPr>
        <w:ind w:firstLine="360"/>
        <w:divId w:val="353578086"/>
        <w:rPr>
          <w:rFonts w:eastAsia="Times New Roman"/>
        </w:rPr>
      </w:pPr>
      <w:r>
        <w:rPr>
          <w:rFonts w:eastAsia="Times New Roman"/>
          <w:color w:val="000000"/>
          <w:sz w:val="20"/>
          <w:szCs w:val="20"/>
        </w:rPr>
        <w:t>For interim reporting peri</w:t>
      </w:r>
      <w:r>
        <w:rPr>
          <w:rFonts w:eastAsia="Times New Roman"/>
          <w:color w:val="000000"/>
          <w:sz w:val="20"/>
          <w:szCs w:val="20"/>
        </w:rPr>
        <w:t>ods, we calculate income tax expense using an estimated annual effective tax rate (“ETR”), with discrete items recognized in the period in which they occur.</w:t>
      </w:r>
      <w:r>
        <w:rPr>
          <w:rFonts w:eastAsia="Times New Roman"/>
          <w:color w:val="000000"/>
          <w:sz w:val="20"/>
          <w:szCs w:val="20"/>
        </w:rPr>
        <w:t xml:space="preserve"> </w:t>
      </w:r>
    </w:p>
    <w:p w:rsidR="00000000" w:rsidRDefault="00775A8F">
      <w:pPr>
        <w:jc w:val="center"/>
        <w:divId w:val="1686052152"/>
        <w:rPr>
          <w:rFonts w:eastAsia="Times New Roman"/>
        </w:rPr>
      </w:pPr>
      <w:r>
        <w:rPr>
          <w:rFonts w:eastAsia="Times New Roman"/>
          <w:color w:val="000000"/>
          <w:sz w:val="20"/>
          <w:szCs w:val="20"/>
        </w:rPr>
        <w:t>7</w:t>
      </w:r>
      <w:r>
        <w:rPr>
          <w:rFonts w:eastAsia="Times New Roman"/>
          <w:color w:val="000000"/>
          <w:sz w:val="20"/>
          <w:szCs w:val="20"/>
        </w:rPr>
        <w:t>6</w:t>
      </w:r>
    </w:p>
    <w:p w:rsidR="00000000" w:rsidRDefault="00775A8F">
      <w:pPr>
        <w:rPr>
          <w:rFonts w:eastAsia="Times New Roman"/>
        </w:rPr>
      </w:pPr>
      <w:r>
        <w:rPr>
          <w:rFonts w:eastAsia="Times New Roman"/>
        </w:rPr>
        <w:pict>
          <v:rect id="_x0000_i1102" style="width:0;height:1.5pt" o:hralign="center" o:hrstd="t" o:hr="t" fillcolor="#a0a0a0" stroked="f"/>
        </w:pict>
      </w:r>
    </w:p>
    <w:p w:rsidR="00000000" w:rsidRDefault="00775A8F">
      <w:pPr>
        <w:ind w:firstLine="360"/>
        <w:divId w:val="303245667"/>
        <w:rPr>
          <w:rFonts w:eastAsia="Times New Roman"/>
        </w:rPr>
      </w:pPr>
    </w:p>
    <w:p w:rsidR="00000000" w:rsidRDefault="00775A8F">
      <w:pPr>
        <w:jc w:val="both"/>
        <w:divId w:val="1989625568"/>
        <w:rPr>
          <w:rFonts w:eastAsia="Times New Roman"/>
        </w:rPr>
      </w:pPr>
    </w:p>
    <w:p w:rsidR="00000000" w:rsidRDefault="00775A8F">
      <w:pPr>
        <w:jc w:val="both"/>
        <w:divId w:val="767777618"/>
        <w:rPr>
          <w:rFonts w:eastAsia="Times New Roman"/>
        </w:rPr>
      </w:pPr>
      <w:r>
        <w:rPr>
          <w:rFonts w:eastAsia="Times New Roman"/>
          <w:b/>
          <w:bCs/>
          <w:i/>
          <w:iCs/>
          <w:color w:val="000000"/>
          <w:sz w:val="20"/>
          <w:szCs w:val="20"/>
        </w:rPr>
        <w:t>Consolidated Results of Operation</w:t>
      </w:r>
      <w:r>
        <w:rPr>
          <w:rFonts w:eastAsia="Times New Roman"/>
          <w:b/>
          <w:bCs/>
          <w:i/>
          <w:iCs/>
          <w:color w:val="000000"/>
          <w:sz w:val="20"/>
          <w:szCs w:val="20"/>
        </w:rPr>
        <w:t>s</w:t>
      </w:r>
    </w:p>
    <w:p w:rsidR="00000000" w:rsidRDefault="00775A8F">
      <w:pPr>
        <w:ind w:firstLine="360"/>
        <w:divId w:val="1845049139"/>
        <w:rPr>
          <w:rFonts w:eastAsia="Times New Roman"/>
        </w:rPr>
      </w:pPr>
      <w:r>
        <w:rPr>
          <w:rFonts w:eastAsia="Times New Roman"/>
          <w:color w:val="000000"/>
          <w:sz w:val="20"/>
          <w:szCs w:val="20"/>
        </w:rPr>
        <w:t>The following table summarizes our consolidated statements of income (loss) for the three and six months ended June 30, 2020 and 2019</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Consolidated Statement of Income (Loss</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3563"/>
        <w:gridCol w:w="39"/>
        <w:gridCol w:w="135"/>
        <w:gridCol w:w="740"/>
        <w:gridCol w:w="85"/>
        <w:gridCol w:w="36"/>
        <w:gridCol w:w="36"/>
        <w:gridCol w:w="36"/>
        <w:gridCol w:w="135"/>
        <w:gridCol w:w="762"/>
        <w:gridCol w:w="85"/>
        <w:gridCol w:w="36"/>
        <w:gridCol w:w="36"/>
        <w:gridCol w:w="36"/>
        <w:gridCol w:w="135"/>
        <w:gridCol w:w="717"/>
        <w:gridCol w:w="85"/>
        <w:gridCol w:w="36"/>
        <w:gridCol w:w="36"/>
        <w:gridCol w:w="36"/>
        <w:gridCol w:w="135"/>
        <w:gridCol w:w="521"/>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459229149"/>
        </w:trPr>
        <w:tc>
          <w:tcPr>
            <w:tcW w:w="50" w:type="pct"/>
            <w:vAlign w:val="center"/>
            <w:hideMark/>
          </w:tcPr>
          <w:p w:rsidR="00000000" w:rsidRDefault="00775A8F">
            <w:pPr>
              <w:jc w:val="center"/>
              <w:rPr>
                <w:rFonts w:eastAsia="Times New Roman"/>
              </w:rPr>
            </w:pPr>
          </w:p>
        </w:tc>
        <w:tc>
          <w:tcPr>
            <w:tcW w:w="240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45922914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45922914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 except per share data</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 charges and fee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Premium</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(6,033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3,368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(1,866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gains (losses), net</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Credit losses on AFS debt securities and loan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Other investment gains (losses),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investment gains (losses), ne</w:t>
            </w:r>
            <w:r>
              <w:rPr>
                <w:rFonts w:eastAsia="Times New Roman"/>
                <w:color w:val="000000"/>
                <w:sz w:val="20"/>
                <w:szCs w:val="20"/>
              </w:rPr>
              <w:t>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and service fee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1,052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2,188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Other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revenue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(2,530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10,063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Height w:val="24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BENEFITS AND OTHER DEDUCTION</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Policyholders’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credited to policyholders’ account balance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Compensation and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995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Commissions and distribution-related payment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Amortization of 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1,431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Total benefits and other deduction</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8,195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5,357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Income (loss) from continuing operations, before income taxe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(5,019</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1,868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(483</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Income tax (expense) benefi</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w:t>
            </w:r>
            <w:r>
              <w:rPr>
                <w:rFonts w:eastAsia="Times New Roman"/>
                <w:color w:val="00000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(3,942</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Less: Net income (loss) attributable to the noncontrolling interes</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 attributable to Holding</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(4,028</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Less: Preferred stock dividend</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 available to Holdings’ common shareholder</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(4,038</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1,359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(412</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Height w:val="24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EARNINGS PER COMMON SHARE</w:t>
            </w:r>
            <w:r>
              <w:rPr>
                <w:rFonts w:eastAsia="Times New Roman"/>
                <w:b/>
                <w:bCs/>
                <w:color w:val="000000"/>
                <w:sz w:val="20"/>
                <w:szCs w:val="20"/>
              </w:rPr>
              <w:t xml:space="preserve"> </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income (loss) applicable to Holdings’ common shareholders per common share</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(8.96</w:t>
            </w: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0.74</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2.97</w:t>
            </w:r>
            <w:r>
              <w:rPr>
                <w:rFonts w:eastAsia="Times New Roman"/>
                <w:b/>
                <w:bCs/>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(0.82</w:t>
            </w: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Weighted average common shares outstanding (in millions)</w:t>
            </w:r>
            <w:r>
              <w:rPr>
                <w:rFonts w:eastAsia="Times New Roman"/>
                <w:color w:val="000000"/>
                <w:sz w:val="20"/>
                <w:szCs w:val="20"/>
              </w:rPr>
              <w: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450.4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455.8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504.5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45922914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450.4</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491.9</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457.1</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504.5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94356558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693"/>
        <w:gridCol w:w="36"/>
        <w:gridCol w:w="135"/>
        <w:gridCol w:w="713"/>
        <w:gridCol w:w="85"/>
        <w:gridCol w:w="36"/>
        <w:gridCol w:w="36"/>
        <w:gridCol w:w="36"/>
        <w:gridCol w:w="135"/>
        <w:gridCol w:w="721"/>
        <w:gridCol w:w="85"/>
        <w:gridCol w:w="135"/>
        <w:gridCol w:w="721"/>
        <w:gridCol w:w="85"/>
        <w:gridCol w:w="36"/>
        <w:gridCol w:w="36"/>
        <w:gridCol w:w="36"/>
        <w:gridCol w:w="135"/>
        <w:gridCol w:w="677"/>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705523958"/>
        </w:trPr>
        <w:tc>
          <w:tcPr>
            <w:tcW w:w="50" w:type="pct"/>
            <w:vAlign w:val="center"/>
            <w:hideMark/>
          </w:tcPr>
          <w:p w:rsidR="00000000" w:rsidRDefault="00775A8F">
            <w:pPr>
              <w:rPr>
                <w:rFonts w:eastAsia="Times New Roman"/>
              </w:rPr>
            </w:pPr>
          </w:p>
        </w:tc>
        <w:tc>
          <w:tcPr>
            <w:tcW w:w="243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7055239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705523958"/>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5523958"/>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705523958"/>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Non-GAAP Operating Earning</w:t>
            </w:r>
            <w:r>
              <w:rPr>
                <w:rFonts w:eastAsia="Times New Roman"/>
                <w:color w:val="000000"/>
                <w:sz w:val="20"/>
                <w:szCs w:val="20"/>
              </w:rPr>
              <w:t>s</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459</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559</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974</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1,068</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232550231"/>
        <w:rPr>
          <w:rFonts w:eastAsia="Times New Roman"/>
        </w:rPr>
      </w:pPr>
    </w:p>
    <w:p w:rsidR="00000000" w:rsidRDefault="00775A8F">
      <w:pPr>
        <w:jc w:val="center"/>
        <w:divId w:val="1955792956"/>
        <w:rPr>
          <w:rFonts w:eastAsia="Times New Roman"/>
        </w:rPr>
      </w:pPr>
      <w:r>
        <w:rPr>
          <w:rFonts w:eastAsia="Times New Roman"/>
          <w:color w:val="000000"/>
          <w:sz w:val="20"/>
          <w:szCs w:val="20"/>
        </w:rPr>
        <w:t>7</w:t>
      </w:r>
      <w:r>
        <w:rPr>
          <w:rFonts w:eastAsia="Times New Roman"/>
          <w:color w:val="000000"/>
          <w:sz w:val="20"/>
          <w:szCs w:val="20"/>
        </w:rPr>
        <w:t>7</w:t>
      </w:r>
    </w:p>
    <w:p w:rsidR="00000000" w:rsidRDefault="00775A8F">
      <w:pPr>
        <w:rPr>
          <w:rFonts w:eastAsia="Times New Roman"/>
        </w:rPr>
      </w:pPr>
      <w:r>
        <w:rPr>
          <w:rFonts w:eastAsia="Times New Roman"/>
        </w:rPr>
        <w:pict>
          <v:rect id="_x0000_i1103" style="width:0;height:1.5pt" o:hralign="center" o:hrstd="t" o:hr="t" fillcolor="#a0a0a0" stroked="f"/>
        </w:pict>
      </w:r>
    </w:p>
    <w:p w:rsidR="00000000" w:rsidRDefault="00775A8F">
      <w:pPr>
        <w:ind w:firstLine="360"/>
        <w:divId w:val="668411213"/>
        <w:rPr>
          <w:rFonts w:eastAsia="Times New Roman"/>
        </w:rPr>
      </w:pPr>
    </w:p>
    <w:p w:rsidR="00000000" w:rsidRDefault="00775A8F">
      <w:pPr>
        <w:ind w:firstLine="360"/>
        <w:divId w:val="89934265"/>
        <w:rPr>
          <w:rFonts w:eastAsia="Times New Roman"/>
        </w:rPr>
      </w:pPr>
      <w:r>
        <w:rPr>
          <w:rFonts w:eastAsia="Times New Roman"/>
          <w:color w:val="000000"/>
          <w:sz w:val="20"/>
          <w:szCs w:val="20"/>
        </w:rPr>
        <w:t xml:space="preserve">The following table summarizes our Non-GAAP Operating Earnings per common share for </w:t>
      </w:r>
      <w:r>
        <w:rPr>
          <w:rFonts w:eastAsia="Times New Roman"/>
          <w:color w:val="000000"/>
          <w:sz w:val="20"/>
          <w:szCs w:val="20"/>
        </w:rPr>
        <w:t>the three and six months ended June 30, 2020 and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423"/>
        <w:gridCol w:w="36"/>
        <w:gridCol w:w="135"/>
        <w:gridCol w:w="780"/>
        <w:gridCol w:w="85"/>
        <w:gridCol w:w="36"/>
        <w:gridCol w:w="36"/>
        <w:gridCol w:w="36"/>
        <w:gridCol w:w="135"/>
        <w:gridCol w:w="788"/>
        <w:gridCol w:w="85"/>
        <w:gridCol w:w="135"/>
        <w:gridCol w:w="788"/>
        <w:gridCol w:w="85"/>
        <w:gridCol w:w="36"/>
        <w:gridCol w:w="36"/>
        <w:gridCol w:w="36"/>
        <w:gridCol w:w="135"/>
        <w:gridCol w:w="746"/>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230189991"/>
        </w:trPr>
        <w:tc>
          <w:tcPr>
            <w:tcW w:w="50" w:type="pct"/>
            <w:vAlign w:val="center"/>
            <w:hideMark/>
          </w:tcPr>
          <w:p w:rsidR="00000000" w:rsidRDefault="00775A8F">
            <w:pPr>
              <w:ind w:firstLine="360"/>
              <w:rPr>
                <w:rFonts w:eastAsia="Times New Roman"/>
              </w:rPr>
            </w:pPr>
          </w:p>
        </w:tc>
        <w:tc>
          <w:tcPr>
            <w:tcW w:w="226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2301899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2301899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3018999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230189991"/>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Non-GAAP Operating Earnings per common share</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3018999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230189991"/>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2.08</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2.11</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379821725"/>
        <w:rPr>
          <w:rFonts w:eastAsia="Times New Roman"/>
        </w:rPr>
      </w:pPr>
    </w:p>
    <w:p w:rsidR="00000000" w:rsidRDefault="00775A8F">
      <w:pPr>
        <w:ind w:firstLine="360"/>
        <w:divId w:val="1889102819"/>
        <w:rPr>
          <w:rFonts w:eastAsia="Times New Roman"/>
        </w:rPr>
      </w:pPr>
      <w:r>
        <w:rPr>
          <w:rFonts w:eastAsia="Times New Roman"/>
          <w:color w:val="000000"/>
          <w:sz w:val="20"/>
          <w:szCs w:val="20"/>
        </w:rPr>
        <w:t>The following disc</w:t>
      </w:r>
      <w:r>
        <w:rPr>
          <w:rFonts w:eastAsia="Times New Roman"/>
          <w:color w:val="000000"/>
          <w:sz w:val="20"/>
          <w:szCs w:val="20"/>
        </w:rPr>
        <w:t>ussion compares the results for the three and six months ended June 30, 2020 to the three and six months ended June 30, 2019</w:t>
      </w:r>
      <w:r>
        <w:rPr>
          <w:rFonts w:eastAsia="Times New Roman"/>
          <w:color w:val="000000"/>
          <w:sz w:val="20"/>
          <w:szCs w:val="20"/>
        </w:rPr>
        <w:t>.</w:t>
      </w:r>
    </w:p>
    <w:p w:rsidR="00000000" w:rsidRDefault="00775A8F">
      <w:pPr>
        <w:divId w:val="424108598"/>
        <w:rPr>
          <w:rFonts w:eastAsia="Times New Roman"/>
        </w:rPr>
      </w:pPr>
      <w:r>
        <w:rPr>
          <w:rFonts w:eastAsia="Times New Roman"/>
          <w:b/>
          <w:bCs/>
          <w:color w:val="000000"/>
          <w:sz w:val="20"/>
          <w:szCs w:val="20"/>
        </w:rPr>
        <w:t>Three Months Ended June 30, 2020 Compared to the Three Months Ended June 30, 201</w:t>
      </w:r>
      <w:r>
        <w:rPr>
          <w:rFonts w:eastAsia="Times New Roman"/>
          <w:b/>
          <w:bCs/>
          <w:color w:val="000000"/>
          <w:sz w:val="20"/>
          <w:szCs w:val="20"/>
        </w:rPr>
        <w:t>9</w:t>
      </w:r>
    </w:p>
    <w:p w:rsidR="00000000" w:rsidRDefault="00775A8F">
      <w:pPr>
        <w:jc w:val="both"/>
        <w:divId w:val="1558322104"/>
        <w:rPr>
          <w:rFonts w:eastAsia="Times New Roman"/>
        </w:rPr>
      </w:pPr>
      <w:r>
        <w:rPr>
          <w:rFonts w:eastAsia="Times New Roman"/>
          <w:b/>
          <w:bCs/>
          <w:i/>
          <w:iCs/>
          <w:color w:val="000000"/>
          <w:sz w:val="20"/>
          <w:szCs w:val="20"/>
        </w:rPr>
        <w:t>Net Income Attributable to Holding</w:t>
      </w:r>
      <w:r>
        <w:rPr>
          <w:rFonts w:eastAsia="Times New Roman"/>
          <w:b/>
          <w:bCs/>
          <w:i/>
          <w:iCs/>
          <w:color w:val="000000"/>
          <w:sz w:val="20"/>
          <w:szCs w:val="20"/>
        </w:rPr>
        <w:t>s</w:t>
      </w:r>
    </w:p>
    <w:p w:rsidR="00000000" w:rsidRDefault="00775A8F">
      <w:pPr>
        <w:ind w:firstLine="360"/>
        <w:divId w:val="2047875163"/>
        <w:rPr>
          <w:rFonts w:eastAsia="Times New Roman"/>
        </w:rPr>
      </w:pPr>
      <w:r>
        <w:rPr>
          <w:rFonts w:eastAsia="Times New Roman"/>
          <w:color w:val="000000"/>
          <w:sz w:val="20"/>
          <w:szCs w:val="20"/>
          <w:shd w:val="clear" w:color="auto" w:fill="FFFFFF"/>
        </w:rPr>
        <w:t>Net income attributable to Holdings decreased by $4.4 billion, to a net loss of $4.0 billion for the three months ended June 30, 2020 from</w:t>
      </w:r>
      <w:r>
        <w:rPr>
          <w:rFonts w:eastAsia="Times New Roman"/>
          <w:color w:val="000000"/>
          <w:sz w:val="20"/>
          <w:szCs w:val="20"/>
          <w:shd w:val="clear" w:color="auto" w:fill="FFFFFF"/>
        </w:rPr>
        <w:t xml:space="preserve"> net income of $363 million in the three months ended June 30, 2019 primarily driven by the following notable</w:t>
      </w:r>
      <w:r>
        <w:rPr>
          <w:rFonts w:eastAsia="Times New Roman"/>
          <w:color w:val="000000"/>
          <w:sz w:val="20"/>
          <w:szCs w:val="20"/>
          <w:shd w:val="clear" w:color="auto" w:fill="FFFFFF"/>
        </w:rPr>
        <w:t xml:space="preserve"> </w:t>
      </w:r>
      <w:r>
        <w:rPr>
          <w:rFonts w:eastAsia="Times New Roman"/>
          <w:color w:val="000000"/>
          <w:sz w:val="20"/>
          <w:szCs w:val="20"/>
        </w:rPr>
        <w:t>items</w:t>
      </w:r>
      <w:r>
        <w:rPr>
          <w:rFonts w:eastAsia="Times New Roman"/>
          <w:color w:val="000000"/>
          <w:sz w:val="20"/>
          <w:szCs w:val="20"/>
        </w:rPr>
        <w:t>:</w:t>
      </w:r>
    </w:p>
    <w:p w:rsidR="00000000" w:rsidRDefault="00775A8F">
      <w:pPr>
        <w:ind w:hanging="360"/>
        <w:jc w:val="both"/>
        <w:divId w:val="1954437520"/>
        <w:rPr>
          <w:rFonts w:eastAsia="Times New Roman"/>
        </w:rPr>
      </w:pPr>
      <w:r>
        <w:rPr>
          <w:rFonts w:eastAsia="Times New Roman"/>
          <w:color w:val="000000"/>
          <w:sz w:val="20"/>
          <w:szCs w:val="20"/>
        </w:rPr>
        <w:t>•</w:t>
      </w:r>
      <w:r>
        <w:rPr>
          <w:rFonts w:eastAsia="Times New Roman"/>
          <w:color w:val="000000"/>
          <w:sz w:val="20"/>
          <w:szCs w:val="20"/>
        </w:rPr>
        <w:t xml:space="preserve">Decrease in Net derivative gains of $5.8 billion driven by losses from freestanding derivatives resulting from the equity market recovery </w:t>
      </w:r>
      <w:r>
        <w:rPr>
          <w:rFonts w:eastAsia="Times New Roman"/>
          <w:color w:val="000000"/>
          <w:sz w:val="20"/>
          <w:szCs w:val="20"/>
        </w:rPr>
        <w:t>in the second quarter of 2020, as well as the negative impacts from non-performance risk and credit spreads due to spread tightening</w:t>
      </w:r>
      <w:r>
        <w:rPr>
          <w:rFonts w:eastAsia="Times New Roman"/>
          <w:color w:val="000000"/>
          <w:sz w:val="20"/>
          <w:szCs w:val="20"/>
        </w:rPr>
        <w:t>.</w:t>
      </w:r>
    </w:p>
    <w:p w:rsidR="00000000" w:rsidRDefault="00775A8F">
      <w:pPr>
        <w:ind w:hanging="360"/>
        <w:jc w:val="both"/>
        <w:divId w:val="312754877"/>
        <w:rPr>
          <w:rFonts w:eastAsia="Times New Roman"/>
        </w:rPr>
      </w:pPr>
      <w:r>
        <w:rPr>
          <w:rFonts w:eastAsia="Times New Roman"/>
          <w:color w:val="000000"/>
          <w:sz w:val="20"/>
          <w:szCs w:val="20"/>
        </w:rPr>
        <w:t>•</w:t>
      </w:r>
      <w:r>
        <w:rPr>
          <w:rFonts w:eastAsia="Times New Roman"/>
          <w:color w:val="000000"/>
          <w:sz w:val="20"/>
          <w:szCs w:val="20"/>
        </w:rPr>
        <w:t>Decrease in Fee-type revenue of $133 million mainly driven by lower fees from lower average Separate Account AV reflectin</w:t>
      </w:r>
      <w:r>
        <w:rPr>
          <w:rFonts w:eastAsia="Times New Roman"/>
          <w:color w:val="000000"/>
          <w:sz w:val="20"/>
          <w:szCs w:val="20"/>
        </w:rPr>
        <w:t>g the March equity markets decline, and a decrease in our Protection Solutions segment primarily due to the premium impact of the USFL and MLICA sale, lower premiums on traditional products (offset in Policyholders’ benefits), as well as higher ceded premi</w:t>
      </w:r>
      <w:r>
        <w:rPr>
          <w:rFonts w:eastAsia="Times New Roman"/>
          <w:color w:val="000000"/>
          <w:sz w:val="20"/>
          <w:szCs w:val="20"/>
        </w:rPr>
        <w:t>ums and the unfavorable impact on amortization of the initial fee liability from reactivity to adverse mortality experience</w:t>
      </w:r>
      <w:r>
        <w:rPr>
          <w:rFonts w:eastAsia="Times New Roman"/>
          <w:color w:val="000000"/>
          <w:sz w:val="20"/>
          <w:szCs w:val="20"/>
        </w:rPr>
        <w:t>.</w:t>
      </w:r>
    </w:p>
    <w:p w:rsidR="00000000" w:rsidRDefault="00775A8F">
      <w:pPr>
        <w:ind w:hanging="360"/>
        <w:jc w:val="both"/>
        <w:divId w:val="1833332557"/>
        <w:rPr>
          <w:rFonts w:eastAsia="Times New Roman"/>
        </w:rPr>
      </w:pPr>
      <w:r>
        <w:rPr>
          <w:rFonts w:eastAsia="Times New Roman"/>
          <w:color w:val="000000"/>
          <w:sz w:val="20"/>
          <w:szCs w:val="20"/>
        </w:rPr>
        <w:t>•</w:t>
      </w:r>
      <w:r>
        <w:rPr>
          <w:rFonts w:eastAsia="Times New Roman"/>
          <w:color w:val="000000"/>
          <w:sz w:val="20"/>
          <w:szCs w:val="20"/>
        </w:rPr>
        <w:t>Increase in Net income attributable to noncontrolling interest of $19 million mainly due to higher consolidated VIE income and higher AB pre-tax income</w:t>
      </w:r>
      <w:r>
        <w:rPr>
          <w:rFonts w:eastAsia="Times New Roman"/>
          <w:color w:val="000000"/>
          <w:sz w:val="20"/>
          <w:szCs w:val="20"/>
        </w:rPr>
        <w:t>.</w:t>
      </w:r>
    </w:p>
    <w:p w:rsidR="00000000" w:rsidRDefault="00775A8F">
      <w:pPr>
        <w:ind w:hanging="360"/>
        <w:divId w:val="36201492"/>
        <w:rPr>
          <w:rFonts w:eastAsia="Times New Roman"/>
        </w:rPr>
      </w:pPr>
      <w:r>
        <w:rPr>
          <w:rFonts w:eastAsia="Times New Roman"/>
          <w:color w:val="000000"/>
          <w:sz w:val="20"/>
          <w:szCs w:val="20"/>
        </w:rPr>
        <w:t>•</w:t>
      </w:r>
      <w:r>
        <w:rPr>
          <w:rFonts w:eastAsia="Times New Roman"/>
          <w:color w:val="000000"/>
          <w:sz w:val="20"/>
          <w:szCs w:val="20"/>
        </w:rPr>
        <w:t>Increase in Amortization of DAC of $6 million mainly driven by our Protection Solutions segment, partl</w:t>
      </w:r>
      <w:r>
        <w:rPr>
          <w:rFonts w:eastAsia="Times New Roman"/>
          <w:color w:val="000000"/>
          <w:sz w:val="20"/>
          <w:szCs w:val="20"/>
        </w:rPr>
        <w:t>y offset by a decrease in our Individual Retirement segment. The increase in our Protection Solutions segment was driven by the impact of the assumption update in the first quarter of 2020 related to COVID-19 (as a result of the lower interest rate assumpt</w:t>
      </w:r>
      <w:r>
        <w:rPr>
          <w:rFonts w:eastAsia="Times New Roman"/>
          <w:color w:val="000000"/>
          <w:sz w:val="20"/>
          <w:szCs w:val="20"/>
        </w:rPr>
        <w:t xml:space="preserve">ion, Protection Solutions entered into loss recognition resulting in an acceleration of DAC amortization), partly offset by the favorable impact of reactivity to adverse mortality experience. The decrease in our Individual Retirement segment reflected the </w:t>
      </w:r>
      <w:r>
        <w:rPr>
          <w:rFonts w:eastAsia="Times New Roman"/>
          <w:color w:val="000000"/>
          <w:sz w:val="20"/>
          <w:szCs w:val="20"/>
        </w:rPr>
        <w:t>favorable impact of the equity markets recovery on SCS assets</w:t>
      </w:r>
      <w:r>
        <w:rPr>
          <w:rFonts w:eastAsia="Times New Roman"/>
          <w:color w:val="000000"/>
          <w:sz w:val="20"/>
          <w:szCs w:val="20"/>
        </w:rPr>
        <w:t>.</w:t>
      </w:r>
    </w:p>
    <w:p w:rsidR="00000000" w:rsidRDefault="00775A8F">
      <w:pPr>
        <w:ind w:firstLine="360"/>
        <w:divId w:val="114637179"/>
        <w:rPr>
          <w:rFonts w:eastAsia="Times New Roman"/>
        </w:rPr>
      </w:pPr>
      <w:r>
        <w:rPr>
          <w:rFonts w:eastAsia="Times New Roman"/>
          <w:color w:val="000000"/>
          <w:sz w:val="20"/>
          <w:szCs w:val="20"/>
          <w:shd w:val="clear" w:color="auto" w:fill="FFFFFF"/>
        </w:rPr>
        <w:t>Partially offsetting this decrease were the following notable items:</w:t>
      </w:r>
    </w:p>
    <w:p w:rsidR="00000000" w:rsidRDefault="00775A8F">
      <w:pPr>
        <w:ind w:hanging="360"/>
        <w:jc w:val="both"/>
        <w:divId w:val="1215853047"/>
        <w:rPr>
          <w:rFonts w:eastAsia="Times New Roman"/>
        </w:rPr>
      </w:pPr>
      <w:r>
        <w:rPr>
          <w:rFonts w:eastAsia="Times New Roman"/>
          <w:color w:val="000000"/>
          <w:sz w:val="20"/>
          <w:szCs w:val="20"/>
        </w:rPr>
        <w:t>•</w:t>
      </w:r>
      <w:r>
        <w:rPr>
          <w:rFonts w:eastAsia="Times New Roman"/>
          <w:color w:val="000000"/>
          <w:sz w:val="20"/>
          <w:szCs w:val="20"/>
        </w:rPr>
        <w:t>Increase in Net investment gains of $181 million primarily due to the rebalancing of our U.S. Treasury portfolio</w:t>
      </w:r>
      <w:r>
        <w:rPr>
          <w:rFonts w:eastAsia="Times New Roman"/>
          <w:color w:val="000000"/>
          <w:sz w:val="20"/>
          <w:szCs w:val="20"/>
        </w:rPr>
        <w:t>.</w:t>
      </w:r>
    </w:p>
    <w:p w:rsidR="00000000" w:rsidRDefault="00775A8F">
      <w:pPr>
        <w:ind w:hanging="360"/>
        <w:jc w:val="both"/>
        <w:divId w:val="814029778"/>
        <w:rPr>
          <w:rFonts w:eastAsia="Times New Roman"/>
        </w:rPr>
      </w:pPr>
      <w:r>
        <w:rPr>
          <w:rFonts w:eastAsia="Times New Roman"/>
          <w:color w:val="000000"/>
          <w:sz w:val="20"/>
          <w:szCs w:val="20"/>
        </w:rPr>
        <w:t>•</w:t>
      </w:r>
      <w:r>
        <w:rPr>
          <w:rFonts w:eastAsia="Times New Roman"/>
          <w:color w:val="000000"/>
          <w:sz w:val="20"/>
          <w:szCs w:val="20"/>
        </w:rPr>
        <w:t>Decrease</w:t>
      </w:r>
      <w:r>
        <w:rPr>
          <w:rFonts w:eastAsia="Times New Roman"/>
          <w:color w:val="000000"/>
          <w:sz w:val="20"/>
          <w:szCs w:val="20"/>
        </w:rPr>
        <w:t xml:space="preserve"> in Policyholders’ benefits of $150 million mainly due to our Individual Retirement segment benefiting from the favorable impact of the recovery of the equity markets in the second quarter of 2020, offset by lower Net Derivatives gains</w:t>
      </w:r>
      <w:r>
        <w:rPr>
          <w:rFonts w:eastAsia="Times New Roman"/>
          <w:color w:val="000000"/>
          <w:sz w:val="20"/>
          <w:szCs w:val="20"/>
        </w:rPr>
        <w:t>.</w:t>
      </w:r>
    </w:p>
    <w:p w:rsidR="00000000" w:rsidRDefault="00775A8F">
      <w:pPr>
        <w:ind w:hanging="360"/>
        <w:jc w:val="both"/>
        <w:divId w:val="1766148076"/>
        <w:rPr>
          <w:rFonts w:eastAsia="Times New Roman"/>
        </w:rPr>
      </w:pPr>
      <w:r>
        <w:rPr>
          <w:rFonts w:eastAsia="Times New Roman"/>
          <w:color w:val="000000"/>
          <w:sz w:val="20"/>
          <w:szCs w:val="20"/>
        </w:rPr>
        <w:t>•</w:t>
      </w:r>
      <w:r>
        <w:rPr>
          <w:rFonts w:eastAsia="Times New Roman"/>
          <w:color w:val="000000"/>
          <w:sz w:val="20"/>
          <w:szCs w:val="20"/>
        </w:rPr>
        <w:t>Decrease in Compen</w:t>
      </w:r>
      <w:r>
        <w:rPr>
          <w:rFonts w:eastAsia="Times New Roman"/>
          <w:color w:val="000000"/>
          <w:sz w:val="20"/>
          <w:szCs w:val="20"/>
        </w:rPr>
        <w:t>sation, benefits and other operating expenses of $65 million mainly driven by productivity initiatives and COVID-19 related expense saves</w:t>
      </w:r>
      <w:r>
        <w:rPr>
          <w:rFonts w:eastAsia="Times New Roman"/>
          <w:color w:val="000000"/>
          <w:sz w:val="20"/>
          <w:szCs w:val="20"/>
        </w:rPr>
        <w:t>.</w:t>
      </w:r>
    </w:p>
    <w:p w:rsidR="00000000" w:rsidRDefault="00775A8F">
      <w:pPr>
        <w:ind w:hanging="360"/>
        <w:jc w:val="both"/>
        <w:divId w:val="1379434048"/>
        <w:rPr>
          <w:rFonts w:eastAsia="Times New Roman"/>
        </w:rPr>
      </w:pPr>
      <w:r>
        <w:rPr>
          <w:rFonts w:eastAsia="Times New Roman"/>
          <w:color w:val="000000"/>
          <w:sz w:val="20"/>
          <w:szCs w:val="20"/>
        </w:rPr>
        <w:t>•</w:t>
      </w:r>
      <w:r>
        <w:rPr>
          <w:rFonts w:eastAsia="Times New Roman"/>
          <w:color w:val="000000"/>
          <w:sz w:val="20"/>
          <w:szCs w:val="20"/>
        </w:rPr>
        <w:t>Increase in Net investment income of $59 million mainly due to change in the market value of trading securities supp</w:t>
      </w:r>
      <w:r>
        <w:rPr>
          <w:rFonts w:eastAsia="Times New Roman"/>
          <w:color w:val="000000"/>
          <w:sz w:val="20"/>
          <w:szCs w:val="20"/>
        </w:rPr>
        <w:t>orting our variable annuity products due to credit spreads tightening in 2020 compared to 2019 and gains on seed capital investments, partially offset by losses on our alternative investment portfolio</w:t>
      </w:r>
      <w:r>
        <w:rPr>
          <w:rFonts w:eastAsia="Times New Roman"/>
          <w:color w:val="000000"/>
          <w:sz w:val="20"/>
          <w:szCs w:val="20"/>
        </w:rPr>
        <w:t>.</w:t>
      </w:r>
    </w:p>
    <w:p w:rsidR="00000000" w:rsidRDefault="00775A8F">
      <w:pPr>
        <w:ind w:hanging="360"/>
        <w:divId w:val="68502438"/>
        <w:rPr>
          <w:rFonts w:eastAsia="Times New Roman"/>
        </w:rPr>
      </w:pPr>
      <w:r>
        <w:rPr>
          <w:rFonts w:eastAsia="Times New Roman"/>
          <w:color w:val="000000"/>
          <w:sz w:val="20"/>
          <w:szCs w:val="20"/>
        </w:rPr>
        <w:t>•</w:t>
      </w:r>
      <w:r>
        <w:rPr>
          <w:rFonts w:eastAsia="Times New Roman"/>
          <w:color w:val="000000"/>
          <w:sz w:val="20"/>
          <w:szCs w:val="20"/>
        </w:rPr>
        <w:t>Increase in Income tax benefit of $1.1 billion primar</w:t>
      </w:r>
      <w:r>
        <w:rPr>
          <w:rFonts w:eastAsia="Times New Roman"/>
          <w:color w:val="000000"/>
          <w:sz w:val="20"/>
          <w:szCs w:val="20"/>
        </w:rPr>
        <w:t>ily driven by a pre-tax loss in 2020 compared to pre-tax income in 2019, partially offset by the effect of uncertain tax positions for a given audit period in the three months ended June 30, 2019</w:t>
      </w:r>
      <w:r>
        <w:rPr>
          <w:rFonts w:eastAsia="Times New Roman"/>
          <w:color w:val="000000"/>
          <w:sz w:val="20"/>
          <w:szCs w:val="20"/>
        </w:rPr>
        <w:t>.</w:t>
      </w:r>
    </w:p>
    <w:p w:rsidR="00000000" w:rsidRDefault="00775A8F">
      <w:pPr>
        <w:ind w:firstLine="360"/>
        <w:divId w:val="1196692324"/>
        <w:rPr>
          <w:rFonts w:eastAsia="Times New Roman"/>
        </w:rPr>
      </w:pPr>
      <w:r>
        <w:rPr>
          <w:rFonts w:eastAsia="Times New Roman"/>
          <w:color w:val="000000"/>
          <w:sz w:val="20"/>
          <w:szCs w:val="20"/>
        </w:rPr>
        <w:t xml:space="preserve">See “—Significant Factors Impacting Our Results—Assumption </w:t>
      </w:r>
      <w:r>
        <w:rPr>
          <w:rFonts w:eastAsia="Times New Roman"/>
          <w:color w:val="000000"/>
          <w:sz w:val="20"/>
          <w:szCs w:val="20"/>
        </w:rPr>
        <w:t>Updates and Model Changes” for more information regarding the COVID-19-related assumption update and other COVID-19 related impacts.</w:t>
      </w:r>
      <w:r>
        <w:rPr>
          <w:rFonts w:eastAsia="Times New Roman"/>
          <w:color w:val="000000"/>
          <w:sz w:val="20"/>
          <w:szCs w:val="20"/>
        </w:rPr>
        <w:t xml:space="preserve"> </w:t>
      </w:r>
    </w:p>
    <w:p w:rsidR="00000000" w:rsidRDefault="00775A8F">
      <w:pPr>
        <w:jc w:val="center"/>
        <w:divId w:val="1602685296"/>
        <w:rPr>
          <w:rFonts w:eastAsia="Times New Roman"/>
        </w:rPr>
      </w:pPr>
      <w:r>
        <w:rPr>
          <w:rFonts w:eastAsia="Times New Roman"/>
          <w:color w:val="000000"/>
          <w:sz w:val="20"/>
          <w:szCs w:val="20"/>
        </w:rPr>
        <w:t>7</w:t>
      </w:r>
      <w:r>
        <w:rPr>
          <w:rFonts w:eastAsia="Times New Roman"/>
          <w:color w:val="000000"/>
          <w:sz w:val="20"/>
          <w:szCs w:val="20"/>
        </w:rPr>
        <w:t>8</w:t>
      </w:r>
    </w:p>
    <w:p w:rsidR="00000000" w:rsidRDefault="00775A8F">
      <w:pPr>
        <w:rPr>
          <w:rFonts w:eastAsia="Times New Roman"/>
        </w:rPr>
      </w:pPr>
      <w:r>
        <w:rPr>
          <w:rFonts w:eastAsia="Times New Roman"/>
        </w:rPr>
        <w:pict>
          <v:rect id="_x0000_i1104" style="width:0;height:1.5pt" o:hralign="center" o:hrstd="t" o:hr="t" fillcolor="#a0a0a0" stroked="f"/>
        </w:pict>
      </w:r>
    </w:p>
    <w:p w:rsidR="00000000" w:rsidRDefault="00775A8F">
      <w:pPr>
        <w:ind w:firstLine="360"/>
        <w:divId w:val="1797409260"/>
        <w:rPr>
          <w:rFonts w:eastAsia="Times New Roman"/>
        </w:rPr>
      </w:pPr>
    </w:p>
    <w:p w:rsidR="00000000" w:rsidRDefault="00775A8F">
      <w:pPr>
        <w:jc w:val="both"/>
        <w:divId w:val="366881639"/>
        <w:rPr>
          <w:rFonts w:eastAsia="Times New Roman"/>
        </w:rPr>
      </w:pPr>
      <w:r>
        <w:rPr>
          <w:rFonts w:eastAsia="Times New Roman"/>
          <w:b/>
          <w:bCs/>
          <w:i/>
          <w:iCs/>
          <w:color w:val="000000"/>
          <w:sz w:val="20"/>
          <w:szCs w:val="20"/>
        </w:rPr>
        <w:t>Non-GAAP Operating Earning</w:t>
      </w:r>
      <w:r>
        <w:rPr>
          <w:rFonts w:eastAsia="Times New Roman"/>
          <w:b/>
          <w:bCs/>
          <w:i/>
          <w:iCs/>
          <w:color w:val="000000"/>
          <w:sz w:val="20"/>
          <w:szCs w:val="20"/>
        </w:rPr>
        <w:t>s</w:t>
      </w:r>
    </w:p>
    <w:p w:rsidR="00000000" w:rsidRDefault="00775A8F">
      <w:pPr>
        <w:ind w:firstLine="360"/>
        <w:divId w:val="354817779"/>
        <w:rPr>
          <w:rFonts w:eastAsia="Times New Roman"/>
        </w:rPr>
      </w:pPr>
      <w:r>
        <w:rPr>
          <w:rFonts w:eastAsia="Times New Roman"/>
          <w:color w:val="000000"/>
          <w:sz w:val="20"/>
          <w:szCs w:val="20"/>
          <w:shd w:val="clear" w:color="auto" w:fill="FFFFFF"/>
        </w:rPr>
        <w:t>Non-GAAP Operating Earnings decreased by $100 millio</w:t>
      </w:r>
      <w:r>
        <w:rPr>
          <w:rFonts w:eastAsia="Times New Roman"/>
          <w:color w:val="000000"/>
          <w:sz w:val="20"/>
          <w:szCs w:val="20"/>
          <w:shd w:val="clear" w:color="auto" w:fill="FFFFFF"/>
        </w:rPr>
        <w:t>n to $459 million for the three months ended June 30, 2020 from $559 million in the three months ended June 30, 2019. The following notable items were the primary drivers for the decrease in Non-GAAP Operating Earnings.</w:t>
      </w:r>
    </w:p>
    <w:p w:rsidR="00000000" w:rsidRDefault="00775A8F">
      <w:pPr>
        <w:ind w:hanging="360"/>
        <w:jc w:val="both"/>
        <w:divId w:val="1972635792"/>
        <w:rPr>
          <w:rFonts w:eastAsia="Times New Roman"/>
        </w:rPr>
      </w:pPr>
      <w:r>
        <w:rPr>
          <w:rFonts w:eastAsia="Times New Roman"/>
          <w:color w:val="000000"/>
          <w:sz w:val="20"/>
          <w:szCs w:val="20"/>
        </w:rPr>
        <w:t>•</w:t>
      </w:r>
      <w:r>
        <w:rPr>
          <w:rFonts w:eastAsia="Times New Roman"/>
          <w:color w:val="000000"/>
          <w:sz w:val="20"/>
          <w:szCs w:val="20"/>
        </w:rPr>
        <w:t>Decrease in Net derivative gains of</w:t>
      </w:r>
      <w:r>
        <w:rPr>
          <w:rFonts w:eastAsia="Times New Roman"/>
          <w:color w:val="000000"/>
          <w:sz w:val="20"/>
          <w:szCs w:val="20"/>
        </w:rPr>
        <w:t xml:space="preserve"> $207 million mainly due to our Individual Retirement segment largely offset in Policyholders’ benefits</w:t>
      </w:r>
      <w:r>
        <w:rPr>
          <w:rFonts w:eastAsia="Times New Roman"/>
          <w:color w:val="000000"/>
          <w:sz w:val="20"/>
          <w:szCs w:val="20"/>
        </w:rPr>
        <w:t>.</w:t>
      </w:r>
    </w:p>
    <w:p w:rsidR="00000000" w:rsidRDefault="00775A8F">
      <w:pPr>
        <w:ind w:hanging="360"/>
        <w:jc w:val="both"/>
        <w:divId w:val="2084645256"/>
        <w:rPr>
          <w:rFonts w:eastAsia="Times New Roman"/>
        </w:rPr>
      </w:pPr>
      <w:r>
        <w:rPr>
          <w:rFonts w:eastAsia="Times New Roman"/>
          <w:color w:val="000000"/>
          <w:sz w:val="20"/>
          <w:szCs w:val="20"/>
        </w:rPr>
        <w:t>•</w:t>
      </w:r>
      <w:r>
        <w:rPr>
          <w:rFonts w:eastAsia="Times New Roman"/>
          <w:color w:val="000000"/>
          <w:sz w:val="20"/>
          <w:szCs w:val="20"/>
        </w:rPr>
        <w:t>Decrease in Fee-type revenue of $130 million mainly driven by lower fees from lower average Separate Accounts AV reflecting the March equity markets d</w:t>
      </w:r>
      <w:r>
        <w:rPr>
          <w:rFonts w:eastAsia="Times New Roman"/>
          <w:color w:val="000000"/>
          <w:sz w:val="20"/>
          <w:szCs w:val="20"/>
        </w:rPr>
        <w:t>ecline, and a decrease in our Protection Solutions segment primarily due to the premium impact of the USFL and MLICA sale, lower premiums on traditional products (offset in Policyholders’ benefits), as well as higher ceded premiums and the unfavorable impa</w:t>
      </w:r>
      <w:r>
        <w:rPr>
          <w:rFonts w:eastAsia="Times New Roman"/>
          <w:color w:val="000000"/>
          <w:sz w:val="20"/>
          <w:szCs w:val="20"/>
        </w:rPr>
        <w:t>ct on amortization of the initial fee liability from reactivity to adverse mortality experience</w:t>
      </w:r>
      <w:r>
        <w:rPr>
          <w:rFonts w:eastAsia="Times New Roman"/>
          <w:color w:val="000000"/>
          <w:sz w:val="20"/>
          <w:szCs w:val="20"/>
        </w:rPr>
        <w:t>.</w:t>
      </w:r>
    </w:p>
    <w:p w:rsidR="00000000" w:rsidRDefault="00775A8F">
      <w:pPr>
        <w:ind w:hanging="360"/>
        <w:divId w:val="1263033188"/>
        <w:rPr>
          <w:rFonts w:eastAsia="Times New Roman"/>
        </w:rPr>
      </w:pPr>
      <w:r>
        <w:rPr>
          <w:rFonts w:eastAsia="Times New Roman"/>
          <w:color w:val="000000"/>
          <w:sz w:val="20"/>
          <w:szCs w:val="20"/>
        </w:rPr>
        <w:t>•</w:t>
      </w:r>
      <w:r>
        <w:rPr>
          <w:rFonts w:eastAsia="Times New Roman"/>
          <w:color w:val="000000"/>
          <w:sz w:val="20"/>
          <w:szCs w:val="20"/>
        </w:rPr>
        <w:t xml:space="preserve">Decrease in Net investment income of $82 million mainly driven by losses on our alternative investment portfolio, partially offset by the positive impacts of </w:t>
      </w:r>
      <w:r>
        <w:rPr>
          <w:rFonts w:eastAsia="Times New Roman"/>
          <w:color w:val="000000"/>
          <w:sz w:val="20"/>
          <w:szCs w:val="20"/>
        </w:rPr>
        <w:t>higher asset balances and the General Account investment portfolio optimization</w:t>
      </w:r>
      <w:r>
        <w:rPr>
          <w:rFonts w:eastAsia="Times New Roman"/>
          <w:color w:val="000000"/>
          <w:sz w:val="20"/>
          <w:szCs w:val="20"/>
        </w:rPr>
        <w:t>.</w:t>
      </w:r>
    </w:p>
    <w:p w:rsidR="00000000" w:rsidRDefault="00775A8F">
      <w:pPr>
        <w:ind w:firstLine="360"/>
        <w:divId w:val="1033502861"/>
        <w:rPr>
          <w:rFonts w:eastAsia="Times New Roman"/>
        </w:rPr>
      </w:pPr>
      <w:r>
        <w:rPr>
          <w:rFonts w:eastAsia="Times New Roman"/>
          <w:color w:val="000000"/>
          <w:sz w:val="20"/>
          <w:szCs w:val="20"/>
          <w:shd w:val="clear" w:color="auto" w:fill="FFFFFF"/>
        </w:rPr>
        <w:t>Partially offsetting this decrease were the following notable items:</w:t>
      </w:r>
    </w:p>
    <w:p w:rsidR="00000000" w:rsidRDefault="00775A8F">
      <w:pPr>
        <w:ind w:hanging="360"/>
        <w:jc w:val="both"/>
        <w:divId w:val="686980348"/>
        <w:rPr>
          <w:rFonts w:eastAsia="Times New Roman"/>
        </w:rPr>
      </w:pPr>
      <w:r>
        <w:rPr>
          <w:rFonts w:eastAsia="Times New Roman"/>
          <w:color w:val="000000"/>
          <w:sz w:val="20"/>
          <w:szCs w:val="20"/>
        </w:rPr>
        <w:t>•</w:t>
      </w:r>
      <w:r>
        <w:rPr>
          <w:rFonts w:eastAsia="Times New Roman"/>
          <w:color w:val="000000"/>
          <w:sz w:val="20"/>
          <w:szCs w:val="20"/>
        </w:rPr>
        <w:t>Decrease in Policyholders’ benefits of $188 million mainly due to our Individual Retirement segment (offs</w:t>
      </w:r>
      <w:r>
        <w:rPr>
          <w:rFonts w:eastAsia="Times New Roman"/>
          <w:color w:val="000000"/>
          <w:sz w:val="20"/>
          <w:szCs w:val="20"/>
        </w:rPr>
        <w:t>et by an increase in Net derivatives gains), partly offset by an increase in our Protection Solutions segment. The increase in our Protection Solutions segment was mainly driven by adverse mortality experience related to COVID-19, partly offset by lower cl</w:t>
      </w:r>
      <w:r>
        <w:rPr>
          <w:rFonts w:eastAsia="Times New Roman"/>
          <w:color w:val="000000"/>
          <w:sz w:val="20"/>
          <w:szCs w:val="20"/>
        </w:rPr>
        <w:t>aims due to the USFL and MLICA sale and lower reserve accruals on our traditional products (offset in Fee-type revenue)</w:t>
      </w:r>
      <w:r>
        <w:rPr>
          <w:rFonts w:eastAsia="Times New Roman"/>
          <w:color w:val="000000"/>
          <w:sz w:val="20"/>
          <w:szCs w:val="20"/>
        </w:rPr>
        <w:t>.</w:t>
      </w:r>
    </w:p>
    <w:p w:rsidR="00000000" w:rsidRDefault="00775A8F">
      <w:pPr>
        <w:ind w:hanging="360"/>
        <w:jc w:val="both"/>
        <w:divId w:val="2011641610"/>
        <w:rPr>
          <w:rFonts w:eastAsia="Times New Roman"/>
        </w:rPr>
      </w:pPr>
      <w:r>
        <w:rPr>
          <w:rFonts w:eastAsia="Times New Roman"/>
          <w:color w:val="000000"/>
          <w:sz w:val="20"/>
          <w:szCs w:val="20"/>
        </w:rPr>
        <w:t>•</w:t>
      </w:r>
      <w:r>
        <w:rPr>
          <w:rFonts w:eastAsia="Times New Roman"/>
          <w:color w:val="000000"/>
          <w:sz w:val="20"/>
          <w:szCs w:val="20"/>
        </w:rPr>
        <w:t>Decrease in Compensation, benefits and other operating costs and expenses of $52 million mainly driven by productivity initiatives and</w:t>
      </w:r>
      <w:r>
        <w:rPr>
          <w:rFonts w:eastAsia="Times New Roman"/>
          <w:color w:val="000000"/>
          <w:sz w:val="20"/>
          <w:szCs w:val="20"/>
        </w:rPr>
        <w:t xml:space="preserve"> COVID-19 related expense saves</w:t>
      </w:r>
      <w:r>
        <w:rPr>
          <w:rFonts w:eastAsia="Times New Roman"/>
          <w:color w:val="000000"/>
          <w:sz w:val="20"/>
          <w:szCs w:val="20"/>
        </w:rPr>
        <w:t>.</w:t>
      </w:r>
    </w:p>
    <w:p w:rsidR="00000000" w:rsidRDefault="00775A8F">
      <w:pPr>
        <w:ind w:hanging="360"/>
        <w:jc w:val="both"/>
        <w:divId w:val="632906757"/>
        <w:rPr>
          <w:rFonts w:eastAsia="Times New Roman"/>
        </w:rPr>
      </w:pPr>
      <w:r>
        <w:rPr>
          <w:rFonts w:eastAsia="Times New Roman"/>
          <w:color w:val="000000"/>
          <w:sz w:val="20"/>
          <w:szCs w:val="20"/>
        </w:rPr>
        <w:t>•</w:t>
      </w:r>
      <w:r>
        <w:rPr>
          <w:rFonts w:eastAsia="Times New Roman"/>
          <w:color w:val="000000"/>
          <w:sz w:val="20"/>
          <w:szCs w:val="20"/>
        </w:rPr>
        <w:t>Decrease in Amortization of DAC of $34 million mainly due to the favorable impact of reactivity to adverse mortality experience in our Protection Solutions segment, and the positive impact of lower crediting rates in our Group Retirement segment</w:t>
      </w:r>
      <w:r>
        <w:rPr>
          <w:rFonts w:eastAsia="Times New Roman"/>
          <w:color w:val="000000"/>
          <w:sz w:val="20"/>
          <w:szCs w:val="20"/>
        </w:rPr>
        <w:t>.</w:t>
      </w:r>
    </w:p>
    <w:p w:rsidR="00000000" w:rsidRDefault="00775A8F">
      <w:pPr>
        <w:ind w:hanging="360"/>
        <w:jc w:val="both"/>
        <w:divId w:val="813372587"/>
        <w:rPr>
          <w:rFonts w:eastAsia="Times New Roman"/>
        </w:rPr>
      </w:pPr>
      <w:r>
        <w:rPr>
          <w:rFonts w:eastAsia="Times New Roman"/>
          <w:color w:val="000000"/>
          <w:sz w:val="20"/>
          <w:szCs w:val="20"/>
        </w:rPr>
        <w:t>•</w:t>
      </w:r>
      <w:r>
        <w:rPr>
          <w:rFonts w:eastAsia="Times New Roman"/>
          <w:color w:val="000000"/>
          <w:sz w:val="20"/>
          <w:szCs w:val="20"/>
        </w:rPr>
        <w:t>Decrease</w:t>
      </w:r>
      <w:r>
        <w:rPr>
          <w:rFonts w:eastAsia="Times New Roman"/>
          <w:color w:val="000000"/>
          <w:sz w:val="20"/>
          <w:szCs w:val="20"/>
        </w:rPr>
        <w:t xml:space="preserve"> in Interest credited to policyholders’ account balances of $8 million mainly driven by lower funding agreements costs due to lower interest rates</w:t>
      </w:r>
      <w:r>
        <w:rPr>
          <w:rFonts w:eastAsia="Times New Roman"/>
          <w:color w:val="000000"/>
          <w:sz w:val="20"/>
          <w:szCs w:val="20"/>
        </w:rPr>
        <w:t>.</w:t>
      </w:r>
    </w:p>
    <w:p w:rsidR="00000000" w:rsidRDefault="00775A8F">
      <w:pPr>
        <w:ind w:hanging="360"/>
        <w:jc w:val="both"/>
        <w:divId w:val="27923423"/>
        <w:rPr>
          <w:rFonts w:eastAsia="Times New Roman"/>
        </w:rPr>
      </w:pPr>
      <w:r>
        <w:rPr>
          <w:rFonts w:eastAsia="Times New Roman"/>
          <w:color w:val="000000"/>
          <w:sz w:val="20"/>
          <w:szCs w:val="20"/>
        </w:rPr>
        <w:t>•</w:t>
      </w:r>
      <w:r>
        <w:rPr>
          <w:rFonts w:eastAsia="Times New Roman"/>
          <w:color w:val="000000"/>
          <w:sz w:val="20"/>
          <w:szCs w:val="20"/>
        </w:rPr>
        <w:t>Decrease in Commissions and distribution-related payments of $5 million mainly driven by our Individual Ret</w:t>
      </w:r>
      <w:r>
        <w:rPr>
          <w:rFonts w:eastAsia="Times New Roman"/>
          <w:color w:val="000000"/>
          <w:sz w:val="20"/>
          <w:szCs w:val="20"/>
        </w:rPr>
        <w:t>irement segment due to lower asset balances resulting from the March equity markets decline.</w:t>
      </w:r>
      <w:r>
        <w:rPr>
          <w:rFonts w:eastAsia="Times New Roman"/>
          <w:color w:val="000000"/>
          <w:sz w:val="20"/>
          <w:szCs w:val="20"/>
        </w:rPr>
        <w:t xml:space="preserve"> </w:t>
      </w:r>
    </w:p>
    <w:p w:rsidR="00000000" w:rsidRDefault="00775A8F">
      <w:pPr>
        <w:ind w:hanging="360"/>
        <w:divId w:val="1923221419"/>
        <w:rPr>
          <w:rFonts w:eastAsia="Times New Roman"/>
        </w:rPr>
      </w:pPr>
      <w:r>
        <w:rPr>
          <w:rFonts w:eastAsia="Times New Roman"/>
          <w:color w:val="000000"/>
          <w:sz w:val="20"/>
          <w:szCs w:val="20"/>
        </w:rPr>
        <w:t>•</w:t>
      </w:r>
      <w:r>
        <w:rPr>
          <w:rFonts w:eastAsia="Times New Roman"/>
          <w:color w:val="000000"/>
          <w:sz w:val="20"/>
          <w:szCs w:val="20"/>
        </w:rPr>
        <w:t>Decrease in Income tax expense of $27 million mainly driven by lower pre-tax earnings</w:t>
      </w:r>
      <w:r>
        <w:rPr>
          <w:rFonts w:eastAsia="Times New Roman"/>
          <w:color w:val="000000"/>
          <w:sz w:val="20"/>
          <w:szCs w:val="20"/>
        </w:rPr>
        <w:t>.</w:t>
      </w:r>
    </w:p>
    <w:p w:rsidR="00000000" w:rsidRDefault="00775A8F">
      <w:pPr>
        <w:divId w:val="1012873638"/>
        <w:rPr>
          <w:rFonts w:eastAsia="Times New Roman"/>
        </w:rPr>
      </w:pPr>
      <w:r>
        <w:rPr>
          <w:rFonts w:eastAsia="Times New Roman"/>
          <w:b/>
          <w:bCs/>
          <w:color w:val="000000"/>
          <w:sz w:val="20"/>
          <w:szCs w:val="20"/>
        </w:rPr>
        <w:t>Six Months Ended June 30, 2020 Compared to the Six Months Ended June 30, 2</w:t>
      </w:r>
      <w:r>
        <w:rPr>
          <w:rFonts w:eastAsia="Times New Roman"/>
          <w:b/>
          <w:bCs/>
          <w:color w:val="000000"/>
          <w:sz w:val="20"/>
          <w:szCs w:val="20"/>
        </w:rPr>
        <w:t>01</w:t>
      </w:r>
      <w:r>
        <w:rPr>
          <w:rFonts w:eastAsia="Times New Roman"/>
          <w:b/>
          <w:bCs/>
          <w:color w:val="000000"/>
          <w:sz w:val="20"/>
          <w:szCs w:val="20"/>
        </w:rPr>
        <w:t>9</w:t>
      </w:r>
    </w:p>
    <w:p w:rsidR="00000000" w:rsidRDefault="00775A8F">
      <w:pPr>
        <w:jc w:val="both"/>
        <w:divId w:val="741441051"/>
        <w:rPr>
          <w:rFonts w:eastAsia="Times New Roman"/>
        </w:rPr>
      </w:pPr>
      <w:r>
        <w:rPr>
          <w:rFonts w:eastAsia="Times New Roman"/>
          <w:b/>
          <w:bCs/>
          <w:i/>
          <w:iCs/>
          <w:color w:val="000000"/>
          <w:sz w:val="20"/>
          <w:szCs w:val="20"/>
        </w:rPr>
        <w:t>Net Income Attributable to Holding</w:t>
      </w:r>
      <w:r>
        <w:rPr>
          <w:rFonts w:eastAsia="Times New Roman"/>
          <w:b/>
          <w:bCs/>
          <w:i/>
          <w:iCs/>
          <w:color w:val="000000"/>
          <w:sz w:val="20"/>
          <w:szCs w:val="20"/>
        </w:rPr>
        <w:t>s</w:t>
      </w:r>
    </w:p>
    <w:p w:rsidR="00000000" w:rsidRDefault="00775A8F">
      <w:pPr>
        <w:ind w:firstLine="360"/>
        <w:divId w:val="2043550402"/>
        <w:rPr>
          <w:rFonts w:eastAsia="Times New Roman"/>
        </w:rPr>
      </w:pPr>
      <w:r>
        <w:rPr>
          <w:rFonts w:eastAsia="Times New Roman"/>
          <w:color w:val="000000"/>
          <w:sz w:val="20"/>
          <w:szCs w:val="20"/>
          <w:shd w:val="clear" w:color="auto" w:fill="FFFFFF"/>
        </w:rPr>
        <w:t>Net income (loss) attributable to Holdings increased by $1.8 billion, to a net income of $1.4 billion for the six months ended June 30, 2020 from a net loss of $412 million in the six months ended June 30, 2019 prima</w:t>
      </w:r>
      <w:r>
        <w:rPr>
          <w:rFonts w:eastAsia="Times New Roman"/>
          <w:color w:val="000000"/>
          <w:sz w:val="20"/>
          <w:szCs w:val="20"/>
          <w:shd w:val="clear" w:color="auto" w:fill="FFFFFF"/>
        </w:rPr>
        <w:t>rily driven by the following notable items:</w:t>
      </w:r>
    </w:p>
    <w:p w:rsidR="00000000" w:rsidRDefault="00775A8F">
      <w:pPr>
        <w:ind w:hanging="360"/>
        <w:jc w:val="both"/>
        <w:divId w:val="490874667"/>
        <w:rPr>
          <w:rFonts w:eastAsia="Times New Roman"/>
        </w:rPr>
      </w:pPr>
      <w:r>
        <w:rPr>
          <w:rFonts w:eastAsia="Times New Roman"/>
          <w:color w:val="000000"/>
          <w:sz w:val="20"/>
          <w:szCs w:val="20"/>
        </w:rPr>
        <w:t>•</w:t>
      </w:r>
      <w:r>
        <w:rPr>
          <w:rFonts w:eastAsia="Times New Roman"/>
          <w:color w:val="000000"/>
          <w:sz w:val="20"/>
          <w:szCs w:val="20"/>
        </w:rPr>
        <w:t>Increase in Net derivative gains of $5.2 billion driven by gains from freestanding derivatives mainly reflecting the decrease in interest rates in the first half of 2020 compared to increases in both equity mark</w:t>
      </w:r>
      <w:r>
        <w:rPr>
          <w:rFonts w:eastAsia="Times New Roman"/>
          <w:color w:val="000000"/>
          <w:sz w:val="20"/>
          <w:szCs w:val="20"/>
        </w:rPr>
        <w:t>ets and interest rates in the first half of 2019, as well as the positive impacts from non-performance risk and credit spreads reflecting spread widening</w:t>
      </w:r>
      <w:r>
        <w:rPr>
          <w:rFonts w:eastAsia="Times New Roman"/>
          <w:color w:val="000000"/>
          <w:sz w:val="20"/>
          <w:szCs w:val="20"/>
        </w:rPr>
        <w:t>.</w:t>
      </w:r>
    </w:p>
    <w:p w:rsidR="00000000" w:rsidRDefault="00775A8F">
      <w:pPr>
        <w:ind w:hanging="360"/>
        <w:jc w:val="both"/>
        <w:divId w:val="1104576342"/>
        <w:rPr>
          <w:rFonts w:eastAsia="Times New Roman"/>
        </w:rPr>
      </w:pPr>
      <w:r>
        <w:rPr>
          <w:rFonts w:eastAsia="Times New Roman"/>
          <w:color w:val="000000"/>
          <w:sz w:val="20"/>
          <w:szCs w:val="20"/>
        </w:rPr>
        <w:t>•</w:t>
      </w:r>
      <w:r>
        <w:rPr>
          <w:rFonts w:eastAsia="Times New Roman"/>
          <w:color w:val="000000"/>
          <w:sz w:val="20"/>
          <w:szCs w:val="20"/>
        </w:rPr>
        <w:t>Increase in Fee-type revenue of $99 million mainly driven by an increase in our Investment Managemen</w:t>
      </w:r>
      <w:r>
        <w:rPr>
          <w:rFonts w:eastAsia="Times New Roman"/>
          <w:color w:val="000000"/>
          <w:sz w:val="20"/>
          <w:szCs w:val="20"/>
        </w:rPr>
        <w:t>t and Research segment, partly offset by lower fees from lower average Separate Account AV reflecting the March equity markets decline, and a decrease in our Protection Solutions segment. The increase in our Investment Management and Research segment was m</w:t>
      </w:r>
      <w:r>
        <w:rPr>
          <w:rFonts w:eastAsia="Times New Roman"/>
          <w:color w:val="000000"/>
          <w:sz w:val="20"/>
          <w:szCs w:val="20"/>
        </w:rPr>
        <w:t>ainly attributable to higher base fees resulting from higher average AUM and higher Bernstein Research Services revenues. The decrease in our Protection Solutions segment was mainly due to the premium impact of the USFL and MLICA sale, lower premiums on tr</w:t>
      </w:r>
      <w:r>
        <w:rPr>
          <w:rFonts w:eastAsia="Times New Roman"/>
          <w:color w:val="000000"/>
          <w:sz w:val="20"/>
          <w:szCs w:val="20"/>
        </w:rPr>
        <w:t>aditional products (offset in Policyholders’ benefits), as well as higher ceded premiums and the unfavorable impact on amortization of the initial fee liability from reactivity to adverse mortality experience</w:t>
      </w:r>
      <w:r>
        <w:rPr>
          <w:rFonts w:eastAsia="Times New Roman"/>
          <w:color w:val="000000"/>
          <w:sz w:val="20"/>
          <w:szCs w:val="20"/>
        </w:rPr>
        <w:t>.</w:t>
      </w:r>
    </w:p>
    <w:p w:rsidR="00000000" w:rsidRDefault="00775A8F">
      <w:pPr>
        <w:jc w:val="center"/>
        <w:divId w:val="664165583"/>
        <w:rPr>
          <w:rFonts w:eastAsia="Times New Roman"/>
        </w:rPr>
      </w:pPr>
      <w:r>
        <w:rPr>
          <w:rFonts w:eastAsia="Times New Roman"/>
          <w:color w:val="000000"/>
          <w:sz w:val="20"/>
          <w:szCs w:val="20"/>
        </w:rPr>
        <w:t>7</w:t>
      </w:r>
      <w:r>
        <w:rPr>
          <w:rFonts w:eastAsia="Times New Roman"/>
          <w:color w:val="000000"/>
          <w:sz w:val="20"/>
          <w:szCs w:val="20"/>
        </w:rPr>
        <w:t>9</w:t>
      </w:r>
    </w:p>
    <w:p w:rsidR="00000000" w:rsidRDefault="00775A8F">
      <w:pPr>
        <w:rPr>
          <w:rFonts w:eastAsia="Times New Roman"/>
        </w:rPr>
      </w:pPr>
      <w:r>
        <w:rPr>
          <w:rFonts w:eastAsia="Times New Roman"/>
        </w:rPr>
        <w:pict>
          <v:rect id="_x0000_i1105" style="width:0;height:1.5pt" o:hralign="center" o:hrstd="t" o:hr="t" fillcolor="#a0a0a0" stroked="f"/>
        </w:pict>
      </w:r>
    </w:p>
    <w:p w:rsidR="00000000" w:rsidRDefault="00775A8F">
      <w:pPr>
        <w:ind w:firstLine="360"/>
        <w:divId w:val="2030908101"/>
        <w:rPr>
          <w:rFonts w:eastAsia="Times New Roman"/>
        </w:rPr>
      </w:pPr>
    </w:p>
    <w:p w:rsidR="00000000" w:rsidRDefault="00775A8F">
      <w:pPr>
        <w:ind w:hanging="360"/>
        <w:jc w:val="both"/>
        <w:divId w:val="744183521"/>
        <w:rPr>
          <w:rFonts w:eastAsia="Times New Roman"/>
        </w:rPr>
      </w:pPr>
      <w:r>
        <w:rPr>
          <w:rFonts w:eastAsia="Times New Roman"/>
          <w:color w:val="000000"/>
          <w:sz w:val="20"/>
          <w:szCs w:val="20"/>
        </w:rPr>
        <w:t>•</w:t>
      </w:r>
      <w:r>
        <w:rPr>
          <w:rFonts w:eastAsia="Times New Roman"/>
          <w:color w:val="000000"/>
          <w:sz w:val="20"/>
          <w:szCs w:val="20"/>
        </w:rPr>
        <w:t>Inc</w:t>
      </w:r>
      <w:r>
        <w:rPr>
          <w:rFonts w:eastAsia="Times New Roman"/>
          <w:color w:val="000000"/>
          <w:sz w:val="20"/>
          <w:szCs w:val="20"/>
        </w:rPr>
        <w:t>rease in Net investment gains of $196 million primarily due to the rebalancing of our U.S. Treasury portfolio, partially offset by a $50 million impairment on assets related to the USFL and MLICA sale</w:t>
      </w:r>
      <w:r>
        <w:rPr>
          <w:rFonts w:eastAsia="Times New Roman"/>
          <w:color w:val="000000"/>
          <w:sz w:val="20"/>
          <w:szCs w:val="20"/>
        </w:rPr>
        <w:t>.</w:t>
      </w:r>
    </w:p>
    <w:p w:rsidR="00000000" w:rsidRDefault="00775A8F">
      <w:pPr>
        <w:ind w:hanging="360"/>
        <w:divId w:val="637689629"/>
        <w:rPr>
          <w:rFonts w:eastAsia="Times New Roman"/>
        </w:rPr>
      </w:pPr>
      <w:r>
        <w:rPr>
          <w:rFonts w:eastAsia="Times New Roman"/>
          <w:color w:val="000000"/>
          <w:sz w:val="20"/>
          <w:szCs w:val="20"/>
        </w:rPr>
        <w:t>•</w:t>
      </w:r>
      <w:r>
        <w:rPr>
          <w:rFonts w:eastAsia="Times New Roman"/>
          <w:color w:val="000000"/>
          <w:sz w:val="20"/>
          <w:szCs w:val="20"/>
        </w:rPr>
        <w:t>Decrease in Net income attributable to noncontrolling</w:t>
      </w:r>
      <w:r>
        <w:rPr>
          <w:rFonts w:eastAsia="Times New Roman"/>
          <w:color w:val="000000"/>
          <w:sz w:val="20"/>
          <w:szCs w:val="20"/>
        </w:rPr>
        <w:t xml:space="preserve"> interest of $10 million mainly due to lower consolidated VIE income, partly offset by higher AB pre-tax income</w:t>
      </w:r>
      <w:r>
        <w:rPr>
          <w:rFonts w:eastAsia="Times New Roman"/>
          <w:color w:val="000000"/>
          <w:sz w:val="20"/>
          <w:szCs w:val="20"/>
        </w:rPr>
        <w:t>.</w:t>
      </w:r>
    </w:p>
    <w:p w:rsidR="00000000" w:rsidRDefault="00775A8F">
      <w:pPr>
        <w:ind w:firstLine="720"/>
        <w:divId w:val="258173279"/>
        <w:rPr>
          <w:rFonts w:eastAsia="Times New Roman"/>
        </w:rPr>
      </w:pPr>
      <w:r>
        <w:rPr>
          <w:rFonts w:eastAsia="Times New Roman"/>
          <w:color w:val="000000"/>
          <w:sz w:val="20"/>
          <w:szCs w:val="20"/>
          <w:shd w:val="clear" w:color="auto" w:fill="FFFFFF"/>
        </w:rPr>
        <w:t>Partially offsetting this increase were the following notable items:</w:t>
      </w:r>
    </w:p>
    <w:p w:rsidR="00000000" w:rsidRDefault="00775A8F">
      <w:pPr>
        <w:ind w:hanging="360"/>
        <w:jc w:val="both"/>
        <w:divId w:val="121001814"/>
        <w:rPr>
          <w:rFonts w:eastAsia="Times New Roman"/>
        </w:rPr>
      </w:pPr>
      <w:r>
        <w:rPr>
          <w:rFonts w:eastAsia="Times New Roman"/>
          <w:color w:val="000000"/>
          <w:sz w:val="20"/>
          <w:szCs w:val="20"/>
        </w:rPr>
        <w:t>•</w:t>
      </w:r>
      <w:r>
        <w:rPr>
          <w:rFonts w:eastAsia="Times New Roman"/>
          <w:color w:val="000000"/>
          <w:sz w:val="20"/>
          <w:szCs w:val="20"/>
        </w:rPr>
        <w:t>Increase in Policyholders’ benefits of $1.8 billion mainly due to our Ind</w:t>
      </w:r>
      <w:r>
        <w:rPr>
          <w:rFonts w:eastAsia="Times New Roman"/>
          <w:color w:val="000000"/>
          <w:sz w:val="20"/>
          <w:szCs w:val="20"/>
        </w:rPr>
        <w:t>ividual Retirement segment driven by the impact of the assumption update in the first quarter of 2020 related to COVID-19 and the unfavorable impact of equity markets, offset by higher Net derivatives gains</w:t>
      </w:r>
      <w:r>
        <w:rPr>
          <w:rFonts w:eastAsia="Times New Roman"/>
          <w:color w:val="000000"/>
          <w:sz w:val="20"/>
          <w:szCs w:val="20"/>
        </w:rPr>
        <w:t>.</w:t>
      </w:r>
    </w:p>
    <w:p w:rsidR="00000000" w:rsidRDefault="00775A8F">
      <w:pPr>
        <w:ind w:hanging="360"/>
        <w:jc w:val="both"/>
        <w:divId w:val="678391122"/>
        <w:rPr>
          <w:rFonts w:eastAsia="Times New Roman"/>
        </w:rPr>
      </w:pPr>
      <w:r>
        <w:rPr>
          <w:rFonts w:eastAsia="Times New Roman"/>
          <w:color w:val="000000"/>
          <w:sz w:val="20"/>
          <w:szCs w:val="20"/>
        </w:rPr>
        <w:t>•</w:t>
      </w:r>
      <w:r>
        <w:rPr>
          <w:rFonts w:eastAsia="Times New Roman"/>
          <w:color w:val="000000"/>
          <w:sz w:val="20"/>
          <w:szCs w:val="20"/>
        </w:rPr>
        <w:t>Increase in Amortization of DAC of $1.1 billion</w:t>
      </w:r>
      <w:r>
        <w:rPr>
          <w:rFonts w:eastAsia="Times New Roman"/>
          <w:color w:val="000000"/>
          <w:sz w:val="20"/>
          <w:szCs w:val="20"/>
        </w:rPr>
        <w:t xml:space="preserve"> mainly in our Protection Solutions segment driven by the impact of the assumption update in the first quarter of 2020 related to COVID-19. As a result of the lower interest rate assumption, Protection Solutions entered into loss recognition resulting in a</w:t>
      </w:r>
      <w:r>
        <w:rPr>
          <w:rFonts w:eastAsia="Times New Roman"/>
          <w:color w:val="000000"/>
          <w:sz w:val="20"/>
          <w:szCs w:val="20"/>
        </w:rPr>
        <w:t>n acceleration of DAC amortization.</w:t>
      </w:r>
      <w:r>
        <w:rPr>
          <w:rFonts w:eastAsia="Times New Roman"/>
          <w:color w:val="000000"/>
          <w:sz w:val="20"/>
          <w:szCs w:val="20"/>
        </w:rPr>
        <w:t xml:space="preserve"> </w:t>
      </w:r>
    </w:p>
    <w:p w:rsidR="00000000" w:rsidRDefault="00775A8F">
      <w:pPr>
        <w:ind w:hanging="360"/>
        <w:jc w:val="both"/>
        <w:divId w:val="354891561"/>
        <w:rPr>
          <w:rFonts w:eastAsia="Times New Roman"/>
        </w:rPr>
      </w:pPr>
      <w:r>
        <w:rPr>
          <w:rFonts w:eastAsia="Times New Roman"/>
          <w:color w:val="000000"/>
          <w:sz w:val="20"/>
          <w:szCs w:val="20"/>
        </w:rPr>
        <w:t>•</w:t>
      </w:r>
      <w:r>
        <w:rPr>
          <w:rFonts w:eastAsia="Times New Roman"/>
          <w:color w:val="000000"/>
          <w:sz w:val="20"/>
          <w:szCs w:val="20"/>
        </w:rPr>
        <w:t>Decrease in Net investment income of $340 million mainly driven by a change in the market value of trading securities supporting our variable annuity products due to credit spreads widening in 2020 compared to credit spreads tightening in 2019 and losses o</w:t>
      </w:r>
      <w:r>
        <w:rPr>
          <w:rFonts w:eastAsia="Times New Roman"/>
          <w:color w:val="000000"/>
          <w:sz w:val="20"/>
          <w:szCs w:val="20"/>
        </w:rPr>
        <w:t>n our alternative investment portfolio</w:t>
      </w:r>
      <w:r>
        <w:rPr>
          <w:rFonts w:eastAsia="Times New Roman"/>
          <w:color w:val="000000"/>
          <w:sz w:val="20"/>
          <w:szCs w:val="20"/>
        </w:rPr>
        <w:t>.</w:t>
      </w:r>
    </w:p>
    <w:p w:rsidR="00000000" w:rsidRDefault="00775A8F">
      <w:pPr>
        <w:ind w:hanging="360"/>
        <w:jc w:val="both"/>
        <w:divId w:val="860897975"/>
        <w:rPr>
          <w:rFonts w:eastAsia="Times New Roman"/>
        </w:rPr>
      </w:pPr>
      <w:r>
        <w:rPr>
          <w:rFonts w:eastAsia="Times New Roman"/>
          <w:color w:val="000000"/>
          <w:sz w:val="20"/>
          <w:szCs w:val="20"/>
        </w:rPr>
        <w:t>•</w:t>
      </w:r>
      <w:r>
        <w:rPr>
          <w:rFonts w:eastAsia="Times New Roman"/>
          <w:color w:val="000000"/>
          <w:sz w:val="20"/>
          <w:szCs w:val="20"/>
        </w:rPr>
        <w:t>Decrease in Compensation, benefits and other operating expenses of $21 million, mainly driven by productivity initiatives and COVID-19 related expense saves</w:t>
      </w:r>
      <w:r>
        <w:rPr>
          <w:rFonts w:eastAsia="Times New Roman"/>
          <w:color w:val="000000"/>
          <w:sz w:val="20"/>
          <w:szCs w:val="20"/>
        </w:rPr>
        <w:t>.</w:t>
      </w:r>
    </w:p>
    <w:p w:rsidR="00000000" w:rsidRDefault="00775A8F">
      <w:pPr>
        <w:ind w:hanging="360"/>
        <w:jc w:val="both"/>
        <w:divId w:val="174342835"/>
        <w:rPr>
          <w:rFonts w:eastAsia="Times New Roman"/>
        </w:rPr>
      </w:pPr>
      <w:r>
        <w:rPr>
          <w:rFonts w:eastAsia="Times New Roman"/>
          <w:color w:val="000000"/>
          <w:sz w:val="20"/>
          <w:szCs w:val="20"/>
        </w:rPr>
        <w:t>•</w:t>
      </w:r>
      <w:r>
        <w:rPr>
          <w:rFonts w:eastAsia="Times New Roman"/>
          <w:color w:val="000000"/>
          <w:sz w:val="20"/>
          <w:szCs w:val="20"/>
        </w:rPr>
        <w:t>Increase in Commissions and distribution-related payment</w:t>
      </w:r>
      <w:r>
        <w:rPr>
          <w:rFonts w:eastAsia="Times New Roman"/>
          <w:color w:val="000000"/>
          <w:sz w:val="20"/>
          <w:szCs w:val="20"/>
        </w:rPr>
        <w:t>s of $52 million mainly driven by our Investment Management and Research segment, as well as the growth in broker dealers sales</w:t>
      </w:r>
      <w:r>
        <w:rPr>
          <w:rFonts w:eastAsia="Times New Roman"/>
          <w:color w:val="000000"/>
          <w:sz w:val="20"/>
          <w:szCs w:val="20"/>
        </w:rPr>
        <w:t>.</w:t>
      </w:r>
    </w:p>
    <w:p w:rsidR="00000000" w:rsidRDefault="00775A8F">
      <w:pPr>
        <w:ind w:hanging="360"/>
        <w:divId w:val="1753307454"/>
        <w:rPr>
          <w:rFonts w:eastAsia="Times New Roman"/>
        </w:rPr>
      </w:pPr>
      <w:r>
        <w:rPr>
          <w:rFonts w:eastAsia="Times New Roman"/>
          <w:color w:val="000000"/>
          <w:sz w:val="20"/>
          <w:szCs w:val="20"/>
        </w:rPr>
        <w:t>•</w:t>
      </w:r>
      <w:r>
        <w:rPr>
          <w:rFonts w:eastAsia="Times New Roman"/>
          <w:color w:val="000000"/>
          <w:sz w:val="20"/>
          <w:szCs w:val="20"/>
        </w:rPr>
        <w:t>Increase in Income tax expense of $567 million primarily driven by pre-tax income in the six months ended June 30, 2020 compar</w:t>
      </w:r>
      <w:r>
        <w:rPr>
          <w:rFonts w:eastAsia="Times New Roman"/>
          <w:color w:val="000000"/>
          <w:sz w:val="20"/>
          <w:szCs w:val="20"/>
        </w:rPr>
        <w:t>ed to a pre-tax loss in the six months ended June 30, 2019, and the effect of uncertain tax positions for a given audit period in the six months ended June 30, 2019</w:t>
      </w:r>
      <w:r>
        <w:rPr>
          <w:rFonts w:eastAsia="Times New Roman"/>
          <w:color w:val="000000"/>
          <w:sz w:val="20"/>
          <w:szCs w:val="20"/>
        </w:rPr>
        <w:t>.</w:t>
      </w:r>
    </w:p>
    <w:p w:rsidR="00000000" w:rsidRDefault="00775A8F">
      <w:pPr>
        <w:ind w:firstLine="360"/>
        <w:divId w:val="1050222956"/>
        <w:rPr>
          <w:rFonts w:eastAsia="Times New Roman"/>
        </w:rPr>
      </w:pPr>
      <w:r>
        <w:rPr>
          <w:rFonts w:eastAsia="Times New Roman"/>
          <w:color w:val="000000"/>
          <w:sz w:val="20"/>
          <w:szCs w:val="20"/>
        </w:rPr>
        <w:t xml:space="preserve">See “—Significant Factors Impacting Our Results—Assumption Updates and Model Changes” for </w:t>
      </w:r>
      <w:r>
        <w:rPr>
          <w:rFonts w:eastAsia="Times New Roman"/>
          <w:color w:val="000000"/>
          <w:sz w:val="20"/>
          <w:szCs w:val="20"/>
        </w:rPr>
        <w:t>more information regarding the COVID-19-related assumption update and other COVID-19 related impacts.</w:t>
      </w:r>
      <w:r>
        <w:rPr>
          <w:rFonts w:eastAsia="Times New Roman"/>
          <w:color w:val="000000"/>
          <w:sz w:val="20"/>
          <w:szCs w:val="20"/>
        </w:rPr>
        <w:t xml:space="preserve"> </w:t>
      </w:r>
    </w:p>
    <w:p w:rsidR="00000000" w:rsidRDefault="00775A8F">
      <w:pPr>
        <w:jc w:val="both"/>
        <w:divId w:val="1110585874"/>
        <w:rPr>
          <w:rFonts w:eastAsia="Times New Roman"/>
        </w:rPr>
      </w:pPr>
      <w:r>
        <w:rPr>
          <w:rFonts w:eastAsia="Times New Roman"/>
          <w:b/>
          <w:bCs/>
          <w:i/>
          <w:iCs/>
          <w:color w:val="000000"/>
          <w:sz w:val="20"/>
          <w:szCs w:val="20"/>
        </w:rPr>
        <w:t>Non-GAAP Operating Earning</w:t>
      </w:r>
      <w:r>
        <w:rPr>
          <w:rFonts w:eastAsia="Times New Roman"/>
          <w:b/>
          <w:bCs/>
          <w:i/>
          <w:iCs/>
          <w:color w:val="000000"/>
          <w:sz w:val="20"/>
          <w:szCs w:val="20"/>
        </w:rPr>
        <w:t>s</w:t>
      </w:r>
    </w:p>
    <w:p w:rsidR="00000000" w:rsidRDefault="00775A8F">
      <w:pPr>
        <w:ind w:firstLine="360"/>
        <w:divId w:val="1891527612"/>
        <w:rPr>
          <w:rFonts w:eastAsia="Times New Roman"/>
        </w:rPr>
      </w:pPr>
      <w:r>
        <w:rPr>
          <w:rFonts w:eastAsia="Times New Roman"/>
          <w:color w:val="000000"/>
          <w:sz w:val="20"/>
          <w:szCs w:val="20"/>
        </w:rPr>
        <w:t>Non-GAAP Operating Earnings decreased by $94 million to $1.0 billion for the six months ended June 30, 2020 from $1.1 billion</w:t>
      </w:r>
      <w:r>
        <w:rPr>
          <w:rFonts w:eastAsia="Times New Roman"/>
          <w:color w:val="000000"/>
          <w:sz w:val="20"/>
          <w:szCs w:val="20"/>
        </w:rPr>
        <w:t xml:space="preserve"> in the six months ended June 30, 2019. The following notable items were the primary drivers for the decrease in Non-GAAP Operating Earnings</w:t>
      </w:r>
      <w:r>
        <w:rPr>
          <w:rFonts w:eastAsia="Times New Roman"/>
          <w:color w:val="000000"/>
          <w:sz w:val="20"/>
          <w:szCs w:val="20"/>
        </w:rPr>
        <w:t>.</w:t>
      </w:r>
    </w:p>
    <w:p w:rsidR="00000000" w:rsidRDefault="00775A8F">
      <w:pPr>
        <w:ind w:hanging="360"/>
        <w:jc w:val="both"/>
        <w:divId w:val="561864453"/>
        <w:rPr>
          <w:rFonts w:eastAsia="Times New Roman"/>
        </w:rPr>
      </w:pPr>
      <w:r>
        <w:rPr>
          <w:rFonts w:eastAsia="Times New Roman"/>
          <w:color w:val="000000"/>
          <w:sz w:val="20"/>
          <w:szCs w:val="20"/>
        </w:rPr>
        <w:t>•</w:t>
      </w:r>
      <w:r>
        <w:rPr>
          <w:rFonts w:eastAsia="Times New Roman"/>
          <w:color w:val="000000"/>
          <w:sz w:val="20"/>
          <w:szCs w:val="20"/>
        </w:rPr>
        <w:t>Increase in Policyholders’ benefits of $292 million mainly in our Individual Retirement segment (offset by an inc</w:t>
      </w:r>
      <w:r>
        <w:rPr>
          <w:rFonts w:eastAsia="Times New Roman"/>
          <w:color w:val="000000"/>
          <w:sz w:val="20"/>
          <w:szCs w:val="20"/>
        </w:rPr>
        <w:t>rease in Net derivatives gains) reflecting the impact of the March equity markets decline</w:t>
      </w:r>
      <w:r>
        <w:rPr>
          <w:rFonts w:eastAsia="Times New Roman"/>
          <w:color w:val="000000"/>
          <w:sz w:val="20"/>
          <w:szCs w:val="20"/>
        </w:rPr>
        <w:t>.</w:t>
      </w:r>
    </w:p>
    <w:p w:rsidR="00000000" w:rsidRDefault="00775A8F">
      <w:pPr>
        <w:ind w:hanging="360"/>
        <w:jc w:val="both"/>
        <w:divId w:val="1723600550"/>
        <w:rPr>
          <w:rFonts w:eastAsia="Times New Roman"/>
        </w:rPr>
      </w:pPr>
      <w:r>
        <w:rPr>
          <w:rFonts w:eastAsia="Times New Roman"/>
          <w:color w:val="000000"/>
          <w:sz w:val="20"/>
          <w:szCs w:val="20"/>
        </w:rPr>
        <w:t>•</w:t>
      </w:r>
      <w:r>
        <w:rPr>
          <w:rFonts w:eastAsia="Times New Roman"/>
          <w:color w:val="000000"/>
          <w:sz w:val="20"/>
          <w:szCs w:val="20"/>
        </w:rPr>
        <w:t>Decrease in Net investment income of $79 million mainly driven by losses on our alternative investment portfolio, partially offset by the positive impacts of higher asset balances and the General Account investment portfolio optimization</w:t>
      </w:r>
      <w:r>
        <w:rPr>
          <w:rFonts w:eastAsia="Times New Roman"/>
          <w:color w:val="000000"/>
          <w:sz w:val="20"/>
          <w:szCs w:val="20"/>
        </w:rPr>
        <w:t>.</w:t>
      </w:r>
    </w:p>
    <w:p w:rsidR="00000000" w:rsidRDefault="00775A8F">
      <w:pPr>
        <w:ind w:hanging="360"/>
        <w:jc w:val="both"/>
        <w:divId w:val="1891920795"/>
        <w:rPr>
          <w:rFonts w:eastAsia="Times New Roman"/>
        </w:rPr>
      </w:pPr>
      <w:r>
        <w:rPr>
          <w:rFonts w:eastAsia="Times New Roman"/>
          <w:color w:val="000000"/>
          <w:sz w:val="20"/>
          <w:szCs w:val="20"/>
          <w:shd w:val="clear" w:color="auto" w:fill="FFFFFF"/>
        </w:rPr>
        <w:t>•</w:t>
      </w:r>
      <w:r>
        <w:rPr>
          <w:rFonts w:eastAsia="Times New Roman"/>
          <w:color w:val="000000"/>
          <w:sz w:val="20"/>
          <w:szCs w:val="20"/>
        </w:rPr>
        <w:t>Increase in Comm</w:t>
      </w:r>
      <w:r>
        <w:rPr>
          <w:rFonts w:eastAsia="Times New Roman"/>
          <w:color w:val="000000"/>
          <w:sz w:val="20"/>
          <w:szCs w:val="20"/>
        </w:rPr>
        <w:t>issions and distribution-related payments of $52 million mainly driven by our Investment Management and Research segment,</w:t>
      </w:r>
      <w:r>
        <w:rPr>
          <w:rFonts w:eastAsia="Times New Roman"/>
          <w:color w:val="000000"/>
          <w:sz w:val="20"/>
          <w:szCs w:val="20"/>
        </w:rPr>
        <w:t xml:space="preserve"> </w:t>
      </w:r>
      <w:r>
        <w:rPr>
          <w:rFonts w:eastAsia="Times New Roman"/>
          <w:color w:val="000000"/>
          <w:sz w:val="20"/>
          <w:szCs w:val="20"/>
          <w:shd w:val="clear" w:color="auto" w:fill="FFFFFF"/>
        </w:rPr>
        <w:t>as well as the growth in broker dealers sales.</w:t>
      </w:r>
    </w:p>
    <w:p w:rsidR="00000000" w:rsidRDefault="00775A8F">
      <w:pPr>
        <w:ind w:hanging="360"/>
        <w:jc w:val="both"/>
        <w:divId w:val="1217276272"/>
        <w:rPr>
          <w:rFonts w:eastAsia="Times New Roman"/>
        </w:rPr>
      </w:pPr>
      <w:r>
        <w:rPr>
          <w:rFonts w:eastAsia="Times New Roman"/>
          <w:color w:val="000000"/>
          <w:sz w:val="20"/>
          <w:szCs w:val="20"/>
        </w:rPr>
        <w:t>•</w:t>
      </w:r>
      <w:r>
        <w:rPr>
          <w:rFonts w:eastAsia="Times New Roman"/>
          <w:color w:val="000000"/>
          <w:sz w:val="20"/>
          <w:szCs w:val="20"/>
        </w:rPr>
        <w:t>Increase in Interest credited to policyholders’ account balances of $12 million mainly</w:t>
      </w:r>
      <w:r>
        <w:rPr>
          <w:rFonts w:eastAsia="Times New Roman"/>
          <w:color w:val="000000"/>
          <w:sz w:val="20"/>
          <w:szCs w:val="20"/>
        </w:rPr>
        <w:t xml:space="preserve"> driven by higher SCS AV due to new business growth, partially offset by lower funding agreements costs due to lower interest rates</w:t>
      </w:r>
      <w:r>
        <w:rPr>
          <w:rFonts w:eastAsia="Times New Roman"/>
          <w:color w:val="000000"/>
          <w:sz w:val="20"/>
          <w:szCs w:val="20"/>
        </w:rPr>
        <w:t>.</w:t>
      </w:r>
    </w:p>
    <w:p w:rsidR="00000000" w:rsidRDefault="00775A8F">
      <w:pPr>
        <w:ind w:hanging="360"/>
        <w:divId w:val="790175423"/>
        <w:rPr>
          <w:rFonts w:eastAsia="Times New Roman"/>
        </w:rPr>
      </w:pPr>
      <w:r>
        <w:rPr>
          <w:rFonts w:eastAsia="Times New Roman"/>
          <w:color w:val="000000"/>
          <w:sz w:val="20"/>
          <w:szCs w:val="20"/>
        </w:rPr>
        <w:t>•</w:t>
      </w:r>
      <w:r>
        <w:rPr>
          <w:rFonts w:eastAsia="Times New Roman"/>
          <w:color w:val="000000"/>
          <w:sz w:val="20"/>
          <w:szCs w:val="20"/>
        </w:rPr>
        <w:t>Increase in Earnings attributable to the noncontrolling interest of $13 million mainly in our Investment Management and Re</w:t>
      </w:r>
      <w:r>
        <w:rPr>
          <w:rFonts w:eastAsia="Times New Roman"/>
          <w:color w:val="000000"/>
          <w:sz w:val="20"/>
          <w:szCs w:val="20"/>
        </w:rPr>
        <w:t>search segment due to higher AB Operating earnings.</w:t>
      </w:r>
      <w:r>
        <w:rPr>
          <w:rFonts w:eastAsia="Times New Roman"/>
          <w:color w:val="000000"/>
          <w:sz w:val="20"/>
          <w:szCs w:val="20"/>
        </w:rPr>
        <w:t xml:space="preserve"> </w:t>
      </w:r>
    </w:p>
    <w:p w:rsidR="00000000" w:rsidRDefault="00775A8F">
      <w:pPr>
        <w:ind w:firstLine="360"/>
        <w:divId w:val="183174718"/>
        <w:rPr>
          <w:rFonts w:eastAsia="Times New Roman"/>
        </w:rPr>
      </w:pPr>
      <w:r>
        <w:rPr>
          <w:rFonts w:eastAsia="Times New Roman"/>
          <w:color w:val="000000"/>
          <w:sz w:val="20"/>
          <w:szCs w:val="20"/>
        </w:rPr>
        <w:t>Partially offsetting this decrease were the following notable items</w:t>
      </w:r>
      <w:r>
        <w:rPr>
          <w:rFonts w:eastAsia="Times New Roman"/>
          <w:color w:val="000000"/>
          <w:sz w:val="20"/>
          <w:szCs w:val="20"/>
        </w:rPr>
        <w:t>:</w:t>
      </w:r>
    </w:p>
    <w:p w:rsidR="00000000" w:rsidRDefault="00775A8F">
      <w:pPr>
        <w:ind w:hanging="360"/>
        <w:jc w:val="both"/>
        <w:divId w:val="131679183"/>
        <w:rPr>
          <w:rFonts w:eastAsia="Times New Roman"/>
        </w:rPr>
      </w:pPr>
      <w:r>
        <w:rPr>
          <w:rFonts w:eastAsia="Times New Roman"/>
          <w:color w:val="000000"/>
          <w:sz w:val="20"/>
          <w:szCs w:val="20"/>
        </w:rPr>
        <w:t>•</w:t>
      </w:r>
      <w:r>
        <w:rPr>
          <w:rFonts w:eastAsia="Times New Roman"/>
          <w:color w:val="000000"/>
          <w:sz w:val="20"/>
          <w:szCs w:val="20"/>
        </w:rPr>
        <w:t>Increase in Net derivative gains of $251 million mainly due to our Individual Retirement segment largely offset in Policyholders’ ben</w:t>
      </w:r>
      <w:r>
        <w:rPr>
          <w:rFonts w:eastAsia="Times New Roman"/>
          <w:color w:val="000000"/>
          <w:sz w:val="20"/>
          <w:szCs w:val="20"/>
        </w:rPr>
        <w:t>efits</w:t>
      </w:r>
      <w:r>
        <w:rPr>
          <w:rFonts w:eastAsia="Times New Roman"/>
          <w:color w:val="000000"/>
          <w:sz w:val="20"/>
          <w:szCs w:val="20"/>
        </w:rPr>
        <w:t>.</w:t>
      </w:r>
    </w:p>
    <w:p w:rsidR="00000000" w:rsidRDefault="00775A8F">
      <w:pPr>
        <w:ind w:hanging="360"/>
        <w:jc w:val="both"/>
        <w:divId w:val="2035645105"/>
        <w:rPr>
          <w:rFonts w:eastAsia="Times New Roman"/>
        </w:rPr>
      </w:pPr>
      <w:r>
        <w:rPr>
          <w:rFonts w:eastAsia="Times New Roman"/>
          <w:color w:val="000000"/>
          <w:sz w:val="20"/>
          <w:szCs w:val="20"/>
        </w:rPr>
        <w:t>•</w:t>
      </w:r>
      <w:r>
        <w:rPr>
          <w:rFonts w:eastAsia="Times New Roman"/>
          <w:color w:val="000000"/>
          <w:sz w:val="20"/>
          <w:szCs w:val="20"/>
        </w:rPr>
        <w:t>Increase in Fee-type revenue of $56 million mainly driven by an increase in our Investment Management and Research segment, partly offset by lower fees from lower average Separate Account AV reflecting the March equity markets decline, and a decrea</w:t>
      </w:r>
      <w:r>
        <w:rPr>
          <w:rFonts w:eastAsia="Times New Roman"/>
          <w:color w:val="000000"/>
          <w:sz w:val="20"/>
          <w:szCs w:val="20"/>
        </w:rPr>
        <w:t>se in our Protection Solutions segment. The increase in our Investment Management and Research segment was mainly attributable to higher base fees resulting from higher average AUM and higher Bernstein Research Services revenues. The decrease in our Protec</w:t>
      </w:r>
      <w:r>
        <w:rPr>
          <w:rFonts w:eastAsia="Times New Roman"/>
          <w:color w:val="000000"/>
          <w:sz w:val="20"/>
          <w:szCs w:val="20"/>
        </w:rPr>
        <w:t>tion Solutions segment was mainly due to the</w:t>
      </w:r>
      <w:r>
        <w:rPr>
          <w:rFonts w:eastAsia="Times New Roman"/>
          <w:color w:val="000000"/>
          <w:sz w:val="20"/>
          <w:szCs w:val="20"/>
        </w:rPr>
        <w:t xml:space="preserve"> </w:t>
      </w:r>
    </w:p>
    <w:p w:rsidR="00000000" w:rsidRDefault="00775A8F">
      <w:pPr>
        <w:jc w:val="center"/>
        <w:divId w:val="92482261"/>
        <w:rPr>
          <w:rFonts w:eastAsia="Times New Roman"/>
        </w:rPr>
      </w:pPr>
      <w:r>
        <w:rPr>
          <w:rFonts w:eastAsia="Times New Roman"/>
          <w:color w:val="000000"/>
          <w:sz w:val="20"/>
          <w:szCs w:val="20"/>
        </w:rPr>
        <w:t>8</w:t>
      </w:r>
      <w:r>
        <w:rPr>
          <w:rFonts w:eastAsia="Times New Roman"/>
          <w:color w:val="000000"/>
          <w:sz w:val="20"/>
          <w:szCs w:val="20"/>
        </w:rPr>
        <w:t>0</w:t>
      </w:r>
    </w:p>
    <w:p w:rsidR="00000000" w:rsidRDefault="00775A8F">
      <w:pPr>
        <w:rPr>
          <w:rFonts w:eastAsia="Times New Roman"/>
        </w:rPr>
      </w:pPr>
      <w:r>
        <w:rPr>
          <w:rFonts w:eastAsia="Times New Roman"/>
        </w:rPr>
        <w:pict>
          <v:rect id="_x0000_i1106" style="width:0;height:1.5pt" o:hralign="center" o:hrstd="t" o:hr="t" fillcolor="#a0a0a0" stroked="f"/>
        </w:pict>
      </w:r>
    </w:p>
    <w:p w:rsidR="00000000" w:rsidRDefault="00775A8F">
      <w:pPr>
        <w:ind w:firstLine="360"/>
        <w:divId w:val="1679234745"/>
        <w:rPr>
          <w:rFonts w:eastAsia="Times New Roman"/>
        </w:rPr>
      </w:pPr>
    </w:p>
    <w:p w:rsidR="00000000" w:rsidRDefault="00775A8F">
      <w:pPr>
        <w:jc w:val="both"/>
        <w:divId w:val="2020698063"/>
        <w:rPr>
          <w:rFonts w:eastAsia="Times New Roman"/>
        </w:rPr>
      </w:pPr>
      <w:r>
        <w:rPr>
          <w:rFonts w:eastAsia="Times New Roman"/>
          <w:color w:val="000000"/>
          <w:sz w:val="20"/>
          <w:szCs w:val="20"/>
        </w:rPr>
        <w:t>premium impact of the USFL and MLICA sale, lower premiums on traditional products (offset in Policyholders’ benefits), as well as higher ceded premiums and the unfavora</w:t>
      </w:r>
      <w:r>
        <w:rPr>
          <w:rFonts w:eastAsia="Times New Roman"/>
          <w:color w:val="000000"/>
          <w:sz w:val="20"/>
          <w:szCs w:val="20"/>
        </w:rPr>
        <w:t>ble impact on amortization of the initial fee liability from reactivity to adverse mortality experience</w:t>
      </w:r>
      <w:r>
        <w:rPr>
          <w:rFonts w:eastAsia="Times New Roman"/>
          <w:color w:val="000000"/>
          <w:sz w:val="20"/>
          <w:szCs w:val="20"/>
        </w:rPr>
        <w:t>.</w:t>
      </w:r>
    </w:p>
    <w:p w:rsidR="00000000" w:rsidRDefault="00775A8F">
      <w:pPr>
        <w:ind w:hanging="360"/>
        <w:jc w:val="both"/>
        <w:divId w:val="207105493"/>
        <w:rPr>
          <w:rFonts w:eastAsia="Times New Roman"/>
        </w:rPr>
      </w:pPr>
      <w:r>
        <w:rPr>
          <w:rFonts w:eastAsia="Times New Roman"/>
          <w:color w:val="000000"/>
          <w:sz w:val="20"/>
          <w:szCs w:val="20"/>
        </w:rPr>
        <w:t>•</w:t>
      </w:r>
      <w:r>
        <w:rPr>
          <w:rFonts w:eastAsia="Times New Roman"/>
          <w:color w:val="000000"/>
          <w:sz w:val="20"/>
          <w:szCs w:val="20"/>
        </w:rPr>
        <w:t>Decrease in Compensation, benefits and other operating costs and expenses of $15 million mainly driven by productivity initiatives and COVID-19 relate</w:t>
      </w:r>
      <w:r>
        <w:rPr>
          <w:rFonts w:eastAsia="Times New Roman"/>
          <w:color w:val="000000"/>
          <w:sz w:val="20"/>
          <w:szCs w:val="20"/>
        </w:rPr>
        <w:t>d expense saves, partially offset by an increase in our Investment Management and Research segment due to higher employee compensation attributed to higher revenues</w:t>
      </w:r>
      <w:r>
        <w:rPr>
          <w:rFonts w:eastAsia="Times New Roman"/>
          <w:color w:val="000000"/>
          <w:sz w:val="20"/>
          <w:szCs w:val="20"/>
        </w:rPr>
        <w:t>.</w:t>
      </w:r>
    </w:p>
    <w:p w:rsidR="00000000" w:rsidRDefault="00775A8F">
      <w:pPr>
        <w:ind w:hanging="360"/>
        <w:jc w:val="both"/>
        <w:divId w:val="1297031454"/>
        <w:rPr>
          <w:rFonts w:eastAsia="Times New Roman"/>
        </w:rPr>
      </w:pPr>
      <w:r>
        <w:rPr>
          <w:rFonts w:eastAsia="Times New Roman"/>
          <w:color w:val="000000"/>
          <w:sz w:val="20"/>
          <w:szCs w:val="20"/>
        </w:rPr>
        <w:t>•</w:t>
      </w:r>
      <w:r>
        <w:rPr>
          <w:rFonts w:eastAsia="Times New Roman"/>
          <w:color w:val="000000"/>
          <w:sz w:val="20"/>
          <w:szCs w:val="20"/>
        </w:rPr>
        <w:t>Decrease in Amortization of DAC of $14 million mainly due to the favorable impact of reac</w:t>
      </w:r>
      <w:r>
        <w:rPr>
          <w:rFonts w:eastAsia="Times New Roman"/>
          <w:color w:val="000000"/>
          <w:sz w:val="20"/>
          <w:szCs w:val="20"/>
        </w:rPr>
        <w:t>tivity to adverse mortality experience in our Protection Solutions segment, and the positive impact of lower crediting rates in our Group Retirement segment</w:t>
      </w:r>
      <w:r>
        <w:rPr>
          <w:rFonts w:eastAsia="Times New Roman"/>
          <w:color w:val="000000"/>
          <w:sz w:val="20"/>
          <w:szCs w:val="20"/>
        </w:rPr>
        <w:t>.</w:t>
      </w:r>
    </w:p>
    <w:p w:rsidR="00000000" w:rsidRDefault="00775A8F">
      <w:pPr>
        <w:ind w:hanging="360"/>
        <w:divId w:val="2087873911"/>
        <w:rPr>
          <w:rFonts w:eastAsia="Times New Roman"/>
        </w:rPr>
      </w:pPr>
      <w:r>
        <w:rPr>
          <w:rFonts w:eastAsia="Times New Roman"/>
          <w:color w:val="000000"/>
          <w:sz w:val="20"/>
          <w:szCs w:val="20"/>
        </w:rPr>
        <w:t>•</w:t>
      </w:r>
      <w:r>
        <w:rPr>
          <w:rFonts w:eastAsia="Times New Roman"/>
          <w:color w:val="000000"/>
          <w:sz w:val="20"/>
          <w:szCs w:val="20"/>
        </w:rPr>
        <w:t xml:space="preserve">Decrease in Income tax expense of $12 million mainly driven by lower pre-tax earnings, partially </w:t>
      </w:r>
      <w:r>
        <w:rPr>
          <w:rFonts w:eastAsia="Times New Roman"/>
          <w:color w:val="000000"/>
          <w:sz w:val="20"/>
          <w:szCs w:val="20"/>
        </w:rPr>
        <w:t>offset by a lower effective tax rate in the six months ended June 30, 2019</w:t>
      </w:r>
      <w:r>
        <w:rPr>
          <w:rFonts w:eastAsia="Times New Roman"/>
          <w:color w:val="000000"/>
          <w:sz w:val="20"/>
          <w:szCs w:val="20"/>
        </w:rPr>
        <w:t>.</w:t>
      </w:r>
    </w:p>
    <w:p w:rsidR="00000000" w:rsidRDefault="00775A8F">
      <w:pPr>
        <w:divId w:val="340088591"/>
        <w:rPr>
          <w:rFonts w:eastAsia="Times New Roman"/>
        </w:rPr>
      </w:pPr>
      <w:r>
        <w:rPr>
          <w:rFonts w:eastAsia="Times New Roman"/>
          <w:b/>
          <w:bCs/>
          <w:color w:val="000000"/>
          <w:sz w:val="20"/>
          <w:szCs w:val="20"/>
        </w:rPr>
        <w:t>Results of Operations by Segmen</w:t>
      </w:r>
      <w:r>
        <w:rPr>
          <w:rFonts w:eastAsia="Times New Roman"/>
          <w:b/>
          <w:bCs/>
          <w:color w:val="000000"/>
          <w:sz w:val="20"/>
          <w:szCs w:val="20"/>
        </w:rPr>
        <w:t>t</w:t>
      </w:r>
    </w:p>
    <w:p w:rsidR="00000000" w:rsidRDefault="00775A8F">
      <w:pPr>
        <w:ind w:firstLine="360"/>
        <w:divId w:val="85272688"/>
        <w:rPr>
          <w:rFonts w:eastAsia="Times New Roman"/>
        </w:rPr>
      </w:pPr>
      <w:r>
        <w:rPr>
          <w:rFonts w:eastAsia="Times New Roman"/>
          <w:color w:val="000000"/>
          <w:sz w:val="20"/>
          <w:szCs w:val="20"/>
        </w:rPr>
        <w:t>We manage our business through the following four segments: Individual Retirement, Group Retirement, Investment Management and Research, and Protec</w:t>
      </w:r>
      <w:r>
        <w:rPr>
          <w:rFonts w:eastAsia="Times New Roman"/>
          <w:color w:val="000000"/>
          <w:sz w:val="20"/>
          <w:szCs w:val="20"/>
        </w:rPr>
        <w:t>tion Solutions. We report certain activities and items that are not included in our four segments in Corporate and Other. The following section presents our discussion of Operating earnings (loss) by segment and AUM, AV and Protection Solutions Reserves by</w:t>
      </w:r>
      <w:r>
        <w:rPr>
          <w:rFonts w:eastAsia="Times New Roman"/>
          <w:color w:val="000000"/>
          <w:sz w:val="20"/>
          <w:szCs w:val="20"/>
        </w:rPr>
        <w:t xml:space="preserve"> segment, as applicable. Consistent with U.S. GAAP guidance for segment reporting, Operating earnings (loss) is our U.S. GAAP measure of segment performance. See Note 15 of the Notes to the Consolidated Financial Statements for further information on our s</w:t>
      </w:r>
      <w:r>
        <w:rPr>
          <w:rFonts w:eastAsia="Times New Roman"/>
          <w:color w:val="000000"/>
          <w:sz w:val="20"/>
          <w:szCs w:val="20"/>
        </w:rPr>
        <w:t>egments</w:t>
      </w:r>
      <w:r>
        <w:rPr>
          <w:rFonts w:eastAsia="Times New Roman"/>
          <w:color w:val="000000"/>
          <w:sz w:val="20"/>
          <w:szCs w:val="20"/>
        </w:rPr>
        <w:t>.</w:t>
      </w:r>
    </w:p>
    <w:p w:rsidR="00000000" w:rsidRDefault="00775A8F">
      <w:pPr>
        <w:ind w:firstLine="360"/>
        <w:divId w:val="1948194713"/>
        <w:rPr>
          <w:rFonts w:eastAsia="Times New Roman"/>
        </w:rPr>
      </w:pPr>
      <w:r>
        <w:rPr>
          <w:rFonts w:eastAsia="Times New Roman"/>
          <w:color w:val="000000"/>
          <w:sz w:val="20"/>
          <w:szCs w:val="20"/>
        </w:rPr>
        <w:t>The following table summarizes Operating earnings (loss) on our segments and Corporate and Other for the three and six months ended June 30, 2020 and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4084"/>
        <w:gridCol w:w="38"/>
        <w:gridCol w:w="135"/>
        <w:gridCol w:w="554"/>
        <w:gridCol w:w="85"/>
        <w:gridCol w:w="36"/>
        <w:gridCol w:w="36"/>
        <w:gridCol w:w="36"/>
        <w:gridCol w:w="135"/>
        <w:gridCol w:w="573"/>
        <w:gridCol w:w="85"/>
        <w:gridCol w:w="36"/>
        <w:gridCol w:w="36"/>
        <w:gridCol w:w="36"/>
        <w:gridCol w:w="135"/>
        <w:gridCol w:w="573"/>
        <w:gridCol w:w="85"/>
        <w:gridCol w:w="36"/>
        <w:gridCol w:w="36"/>
        <w:gridCol w:w="36"/>
        <w:gridCol w:w="135"/>
        <w:gridCol w:w="521"/>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40773201"/>
        </w:trPr>
        <w:tc>
          <w:tcPr>
            <w:tcW w:w="50" w:type="pct"/>
            <w:vAlign w:val="center"/>
            <w:hideMark/>
          </w:tcPr>
          <w:p w:rsidR="00000000" w:rsidRDefault="00775A8F">
            <w:pPr>
              <w:ind w:firstLine="360"/>
              <w:rPr>
                <w:rFonts w:eastAsia="Times New Roman"/>
              </w:rPr>
            </w:pPr>
          </w:p>
        </w:tc>
        <w:tc>
          <w:tcPr>
            <w:tcW w:w="274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40773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40773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40773201"/>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Operating earnings (loss) by segment</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Individual Retiremen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Group Retiremen</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and Researc</w:t>
            </w:r>
            <w:r>
              <w:rPr>
                <w:rFonts w:eastAsia="Times New Roman"/>
                <w:color w:val="000000"/>
                <w:sz w:val="20"/>
                <w:szCs w:val="20"/>
              </w:rPr>
              <w:t>h</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Protection Solution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(157</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0773201"/>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Non-GAAP Operating Earning</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974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940069641"/>
        <w:rPr>
          <w:rFonts w:eastAsia="Times New Roman"/>
        </w:rPr>
      </w:pPr>
    </w:p>
    <w:p w:rsidR="00000000" w:rsidRDefault="00775A8F">
      <w:pPr>
        <w:jc w:val="both"/>
        <w:divId w:val="783228423"/>
        <w:rPr>
          <w:rFonts w:eastAsia="Times New Roman"/>
        </w:rPr>
      </w:pPr>
      <w:r>
        <w:rPr>
          <w:rFonts w:eastAsia="Times New Roman"/>
          <w:b/>
          <w:bCs/>
          <w:i/>
          <w:iCs/>
          <w:color w:val="000000"/>
          <w:sz w:val="20"/>
          <w:szCs w:val="20"/>
        </w:rPr>
        <w:t>Effective Tax Rates</w:t>
      </w:r>
      <w:r>
        <w:rPr>
          <w:rFonts w:eastAsia="Times New Roman"/>
          <w:b/>
          <w:bCs/>
          <w:i/>
          <w:iCs/>
          <w:color w:val="000000"/>
          <w:sz w:val="20"/>
          <w:szCs w:val="20"/>
        </w:rPr>
        <w:t xml:space="preserve"> by Segment</w:t>
      </w:r>
      <w:r>
        <w:rPr>
          <w:rFonts w:eastAsia="Times New Roman"/>
          <w:b/>
          <w:bCs/>
          <w:i/>
          <w:iCs/>
          <w:color w:val="000000"/>
          <w:sz w:val="20"/>
          <w:szCs w:val="20"/>
        </w:rPr>
        <w:t xml:space="preserve"> </w:t>
      </w:r>
    </w:p>
    <w:p w:rsidR="00000000" w:rsidRDefault="00775A8F">
      <w:pPr>
        <w:ind w:firstLine="360"/>
        <w:divId w:val="1961180794"/>
        <w:rPr>
          <w:rFonts w:eastAsia="Times New Roman"/>
        </w:rPr>
      </w:pPr>
      <w:r>
        <w:rPr>
          <w:rFonts w:eastAsia="Times New Roman"/>
          <w:color w:val="000000"/>
          <w:sz w:val="20"/>
          <w:szCs w:val="20"/>
        </w:rPr>
        <w:t>For interim reporting periods, we calculate income tax expense using an estimated annual effective tax rate (“ETR”), with discrete items recognized in the period in which they occur. Income tax expense is calculated using the ETR and then allo</w:t>
      </w:r>
      <w:r>
        <w:rPr>
          <w:rFonts w:eastAsia="Times New Roman"/>
          <w:color w:val="000000"/>
          <w:sz w:val="20"/>
          <w:szCs w:val="20"/>
        </w:rPr>
        <w:t>cated to our business segments using an 18% ETR for our retirement and protection business (Individual Retirement, Group Retirement, and Protection Solutions) and a 27% ETR for Investment Management and Research</w:t>
      </w:r>
      <w:r>
        <w:rPr>
          <w:rFonts w:eastAsia="Times New Roman"/>
          <w:color w:val="000000"/>
          <w:sz w:val="20"/>
          <w:szCs w:val="20"/>
        </w:rPr>
        <w:t>.</w:t>
      </w:r>
    </w:p>
    <w:p w:rsidR="00000000" w:rsidRDefault="00775A8F">
      <w:pPr>
        <w:divId w:val="1848909735"/>
        <w:rPr>
          <w:rFonts w:eastAsia="Times New Roman"/>
        </w:rPr>
      </w:pPr>
      <w:r>
        <w:rPr>
          <w:rFonts w:eastAsia="Times New Roman"/>
          <w:b/>
          <w:bCs/>
          <w:color w:val="000000"/>
          <w:sz w:val="20"/>
          <w:szCs w:val="20"/>
        </w:rPr>
        <w:t>Individual Retiremen</w:t>
      </w:r>
      <w:r>
        <w:rPr>
          <w:rFonts w:eastAsia="Times New Roman"/>
          <w:b/>
          <w:bCs/>
          <w:color w:val="000000"/>
          <w:sz w:val="20"/>
          <w:szCs w:val="20"/>
        </w:rPr>
        <w:t>t</w:t>
      </w:r>
    </w:p>
    <w:p w:rsidR="00000000" w:rsidRDefault="00775A8F">
      <w:pPr>
        <w:ind w:firstLine="360"/>
        <w:divId w:val="1213731859"/>
        <w:rPr>
          <w:rFonts w:eastAsia="Times New Roman"/>
        </w:rPr>
      </w:pPr>
      <w:r>
        <w:rPr>
          <w:rFonts w:eastAsia="Times New Roman"/>
          <w:color w:val="000000"/>
          <w:sz w:val="20"/>
          <w:szCs w:val="20"/>
        </w:rPr>
        <w:t>The Individual Retire</w:t>
      </w:r>
      <w:r>
        <w:rPr>
          <w:rFonts w:eastAsia="Times New Roman"/>
          <w:color w:val="000000"/>
          <w:sz w:val="20"/>
          <w:szCs w:val="20"/>
        </w:rPr>
        <w:t>ment segment includes our variable annuity products which primarily meet the needs of individuals saving for retirement or seeking retirement income</w:t>
      </w:r>
      <w:r>
        <w:rPr>
          <w:rFonts w:eastAsia="Times New Roman"/>
          <w:color w:val="000000"/>
          <w:sz w:val="20"/>
          <w:szCs w:val="20"/>
        </w:rPr>
        <w:t>.</w:t>
      </w:r>
    </w:p>
    <w:p w:rsidR="00000000" w:rsidRDefault="00775A8F">
      <w:pPr>
        <w:ind w:firstLine="360"/>
        <w:divId w:val="459764327"/>
        <w:rPr>
          <w:rFonts w:eastAsia="Times New Roman"/>
        </w:rPr>
      </w:pPr>
      <w:r>
        <w:rPr>
          <w:rFonts w:eastAsia="Times New Roman"/>
          <w:color w:val="000000"/>
          <w:sz w:val="20"/>
          <w:szCs w:val="20"/>
        </w:rPr>
        <w:t>The following table summarizes Operating earnings of our Individual Retirement segment for the periods pre</w:t>
      </w:r>
      <w:r>
        <w:rPr>
          <w:rFonts w:eastAsia="Times New Roman"/>
          <w:color w:val="000000"/>
          <w:sz w:val="20"/>
          <w:szCs w:val="20"/>
        </w:rPr>
        <w:t>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189"/>
        <w:gridCol w:w="36"/>
        <w:gridCol w:w="135"/>
        <w:gridCol w:w="589"/>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427076862"/>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42707686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427076862"/>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42707686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42707686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Operating earning</w:t>
            </w:r>
            <w:r>
              <w:rPr>
                <w:rFonts w:eastAsia="Times New Roman"/>
                <w:b/>
                <w:bCs/>
                <w:color w:val="000000"/>
                <w:sz w:val="20"/>
                <w:szCs w:val="20"/>
              </w:rPr>
              <w:t>s</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350</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359</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722</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729</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591595769"/>
        <w:rPr>
          <w:rFonts w:eastAsia="Times New Roman"/>
        </w:rPr>
      </w:pPr>
      <w:r>
        <w:rPr>
          <w:rFonts w:eastAsia="Times New Roman"/>
          <w:color w:val="000000"/>
          <w:sz w:val="20"/>
          <w:szCs w:val="20"/>
        </w:rPr>
        <w:t>Key components of Operating earnings are</w:t>
      </w:r>
      <w:r>
        <w:rPr>
          <w:rFonts w:eastAsia="Times New Roman"/>
          <w:color w:val="000000"/>
          <w:sz w:val="20"/>
          <w:szCs w:val="20"/>
        </w:rPr>
        <w:t>:</w:t>
      </w:r>
    </w:p>
    <w:p w:rsidR="00000000" w:rsidRDefault="00775A8F">
      <w:pPr>
        <w:jc w:val="center"/>
        <w:divId w:val="1239100321"/>
        <w:rPr>
          <w:rFonts w:eastAsia="Times New Roman"/>
        </w:rPr>
      </w:pPr>
      <w:r>
        <w:rPr>
          <w:rFonts w:eastAsia="Times New Roman"/>
          <w:color w:val="000000"/>
          <w:sz w:val="20"/>
          <w:szCs w:val="20"/>
        </w:rPr>
        <w:t>8</w:t>
      </w:r>
      <w:r>
        <w:rPr>
          <w:rFonts w:eastAsia="Times New Roman"/>
          <w:color w:val="000000"/>
          <w:sz w:val="20"/>
          <w:szCs w:val="20"/>
        </w:rPr>
        <w:t>1</w:t>
      </w:r>
    </w:p>
    <w:p w:rsidR="00000000" w:rsidRDefault="00775A8F">
      <w:pPr>
        <w:rPr>
          <w:rFonts w:eastAsia="Times New Roman"/>
        </w:rPr>
      </w:pPr>
      <w:r>
        <w:rPr>
          <w:rFonts w:eastAsia="Times New Roman"/>
        </w:rPr>
        <w:pict>
          <v:rect id="_x0000_i1107" style="width:0;height:1.5pt" o:hralign="center" o:hrstd="t" o:hr="t" fillcolor="#a0a0a0" stroked="f"/>
        </w:pict>
      </w:r>
    </w:p>
    <w:p w:rsidR="00000000" w:rsidRDefault="00775A8F">
      <w:pPr>
        <w:divId w:val="15865711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066"/>
        <w:gridCol w:w="37"/>
        <w:gridCol w:w="135"/>
        <w:gridCol w:w="575"/>
        <w:gridCol w:w="85"/>
        <w:gridCol w:w="36"/>
        <w:gridCol w:w="36"/>
        <w:gridCol w:w="36"/>
        <w:gridCol w:w="135"/>
        <w:gridCol w:w="540"/>
        <w:gridCol w:w="85"/>
        <w:gridCol w:w="36"/>
        <w:gridCol w:w="36"/>
        <w:gridCol w:w="36"/>
        <w:gridCol w:w="135"/>
        <w:gridCol w:w="586"/>
        <w:gridCol w:w="85"/>
        <w:gridCol w:w="36"/>
        <w:gridCol w:w="36"/>
        <w:gridCol w:w="36"/>
        <w:gridCol w:w="135"/>
        <w:gridCol w:w="540"/>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147434864"/>
        </w:trPr>
        <w:tc>
          <w:tcPr>
            <w:tcW w:w="50" w:type="pct"/>
            <w:vAlign w:val="center"/>
            <w:hideMark/>
          </w:tcPr>
          <w:p w:rsidR="00000000" w:rsidRDefault="00775A8F">
            <w:pPr>
              <w:rPr>
                <w:rFonts w:eastAsia="Times New Roman"/>
              </w:rPr>
            </w:pPr>
          </w:p>
        </w:tc>
        <w:tc>
          <w:tcPr>
            <w:tcW w:w="27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14743486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14743486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147434864"/>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 charges, fee income and premium</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994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service fees and other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revenue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809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1,073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2,290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2,080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BENEFITS AND OTHER DEDUCTION</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Policyholders’ benefit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credited to policyholders’ account balance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Commissions and distribution-related payment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Amortization of 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Compensation, benefits and 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14743486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benefits and other deduction</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635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1,413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1,201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692456194"/>
        <w:rPr>
          <w:rFonts w:eastAsia="Times New Roman"/>
        </w:rPr>
      </w:pPr>
    </w:p>
    <w:p w:rsidR="00000000" w:rsidRDefault="00775A8F">
      <w:pPr>
        <w:ind w:firstLine="360"/>
        <w:divId w:val="1318802619"/>
        <w:rPr>
          <w:rFonts w:eastAsia="Times New Roman"/>
        </w:rPr>
      </w:pPr>
      <w:r>
        <w:rPr>
          <w:rFonts w:eastAsia="Times New Roman"/>
          <w:color w:val="000000"/>
          <w:sz w:val="20"/>
          <w:szCs w:val="20"/>
        </w:rPr>
        <w:t>The following table summarizes AV for our Individual Retirement segment as of the dates indicated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7"/>
        <w:gridCol w:w="5385"/>
        <w:gridCol w:w="48"/>
        <w:gridCol w:w="135"/>
        <w:gridCol w:w="929"/>
        <w:gridCol w:w="85"/>
        <w:gridCol w:w="36"/>
        <w:gridCol w:w="36"/>
        <w:gridCol w:w="36"/>
        <w:gridCol w:w="135"/>
        <w:gridCol w:w="904"/>
        <w:gridCol w:w="85"/>
        <w:gridCol w:w="36"/>
        <w:gridCol w:w="36"/>
        <w:gridCol w:w="36"/>
        <w:gridCol w:w="36"/>
        <w:gridCol w:w="36"/>
        <w:gridCol w:w="36"/>
        <w:gridCol w:w="36"/>
        <w:gridCol w:w="36"/>
        <w:gridCol w:w="36"/>
        <w:gridCol w:w="36"/>
        <w:gridCol w:w="36"/>
        <w:gridCol w:w="36"/>
      </w:tblGrid>
      <w:tr w:rsidR="00000000">
        <w:trPr>
          <w:gridAfter w:val="6"/>
          <w:divId w:val="675306296"/>
        </w:trPr>
        <w:tc>
          <w:tcPr>
            <w:tcW w:w="50" w:type="pct"/>
            <w:vAlign w:val="center"/>
            <w:hideMark/>
          </w:tcPr>
          <w:p w:rsidR="00000000" w:rsidRDefault="00775A8F">
            <w:pPr>
              <w:ind w:firstLine="360"/>
              <w:rPr>
                <w:rFonts w:eastAsia="Times New Roman"/>
              </w:rPr>
            </w:pPr>
          </w:p>
        </w:tc>
        <w:tc>
          <w:tcPr>
            <w:tcW w:w="34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7530629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7530629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7530629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75306296"/>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A</w:t>
            </w:r>
            <w:r>
              <w:rPr>
                <w:rFonts w:eastAsia="Times New Roman"/>
                <w:b/>
                <w:bCs/>
                <w:color w:val="000000"/>
                <w:sz w:val="20"/>
                <w:szCs w:val="20"/>
              </w:rPr>
              <w:t>V</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7530629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General Accoun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27,075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26,108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7530629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Separate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76,765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82,814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7530629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b/>
                <w:bCs/>
                <w:color w:val="000000"/>
                <w:sz w:val="20"/>
                <w:szCs w:val="20"/>
              </w:rPr>
              <w:t>     Total A</w:t>
            </w:r>
            <w:r>
              <w:rPr>
                <w:rFonts w:eastAsia="Times New Roman"/>
                <w:b/>
                <w:bCs/>
                <w:color w:val="000000"/>
                <w:sz w:val="20"/>
                <w:szCs w:val="20"/>
              </w:rPr>
              <w:t>V</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103,840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108,922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293213598"/>
        <w:rPr>
          <w:rFonts w:eastAsia="Times New Roman"/>
        </w:rPr>
      </w:pPr>
      <w:r>
        <w:rPr>
          <w:rFonts w:eastAsia="Times New Roman"/>
          <w:color w:val="000000"/>
          <w:sz w:val="20"/>
          <w:szCs w:val="20"/>
        </w:rPr>
        <w:t xml:space="preserve">The </w:t>
      </w:r>
      <w:r>
        <w:rPr>
          <w:rFonts w:eastAsia="Times New Roman"/>
          <w:color w:val="000000"/>
          <w:sz w:val="20"/>
          <w:szCs w:val="20"/>
        </w:rPr>
        <w:t>following table summarizes a roll-forward of AV for our Individual Retirement segment for the periods presented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445"/>
        <w:gridCol w:w="38"/>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1651401223"/>
        </w:trPr>
        <w:tc>
          <w:tcPr>
            <w:tcW w:w="50" w:type="pct"/>
            <w:vAlign w:val="center"/>
            <w:hideMark/>
          </w:tcPr>
          <w:p w:rsidR="00000000" w:rsidRDefault="00775A8F">
            <w:pPr>
              <w:ind w:firstLine="360"/>
              <w:rPr>
                <w:rFonts w:eastAsia="Times New Roman"/>
              </w:rPr>
            </w:pPr>
          </w:p>
        </w:tc>
        <w:tc>
          <w:tcPr>
            <w:tcW w:w="272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65140122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65140122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651401223"/>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as of beginning of perio</w:t>
            </w:r>
            <w:r>
              <w:rPr>
                <w:rFonts w:eastAsia="Times New Roman"/>
                <w:b/>
                <w:bCs/>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93,589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102,498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108,922</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94,589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  </w:t>
            </w:r>
            <w:r>
              <w:rPr>
                <w:rFonts w:eastAsia="Times New Roman"/>
                <w:color w:val="000000"/>
                <w:sz w:val="20"/>
                <w:szCs w:val="20"/>
              </w:rPr>
              <w:t>Gross premium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1,719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3,709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  Surrenders, withdrawals and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(2,265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(4,082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    Net flow</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(180</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  Investment performance, interest credited and policy charge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(4,700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10,356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Transfer to Corporate and Other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Reclassified to Liabilities held for sal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Other (2</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5140122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as of end of perio</w:t>
            </w:r>
            <w:r>
              <w:rPr>
                <w:rFonts w:eastAsia="Times New Roman"/>
                <w:b/>
                <w:bCs/>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103,840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104,307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103,840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104,307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471247395"/>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540091911"/>
        <w:rPr>
          <w:rFonts w:eastAsia="Times New Roman"/>
        </w:rPr>
      </w:pPr>
      <w:r>
        <w:rPr>
          <w:rFonts w:eastAsia="Times New Roman"/>
          <w:color w:val="000000"/>
          <w:sz w:val="18"/>
          <w:szCs w:val="18"/>
        </w:rPr>
        <w:t>(1) Transfer to Corporate and Other represents the placement of an Individual Retirement product in run-off effective for the second quarter of 2019</w:t>
      </w:r>
      <w:r>
        <w:rPr>
          <w:rFonts w:eastAsia="Times New Roman"/>
          <w:color w:val="000000"/>
          <w:sz w:val="18"/>
          <w:szCs w:val="18"/>
        </w:rPr>
        <w:t>.</w:t>
      </w:r>
    </w:p>
    <w:p w:rsidR="00000000" w:rsidRDefault="00775A8F">
      <w:pPr>
        <w:ind w:hanging="270"/>
        <w:divId w:val="2007397398"/>
        <w:rPr>
          <w:rFonts w:eastAsia="Times New Roman"/>
        </w:rPr>
      </w:pPr>
      <w:r>
        <w:rPr>
          <w:rFonts w:eastAsia="Times New Roman"/>
          <w:color w:val="000000"/>
          <w:sz w:val="18"/>
          <w:szCs w:val="18"/>
        </w:rPr>
        <w:t>(2) Represents amounts re</w:t>
      </w:r>
      <w:r>
        <w:rPr>
          <w:rFonts w:eastAsia="Times New Roman"/>
          <w:color w:val="000000"/>
          <w:sz w:val="18"/>
          <w:szCs w:val="18"/>
        </w:rPr>
        <w:t>lated to our fixed income annuity (“FIA”) contracts which were previously reported as Policyholders’ account balances in the consolidated balance sheets and therefore included in our definition of “Account Value”. Effective January 1, 2020, FIAs are report</w:t>
      </w:r>
      <w:r>
        <w:rPr>
          <w:rFonts w:eastAsia="Times New Roman"/>
          <w:color w:val="000000"/>
          <w:sz w:val="18"/>
          <w:szCs w:val="18"/>
        </w:rPr>
        <w:t>ed as Future policy benefits and other policyholders’ liabilities in the consolidated balance sheets and accordingly were excluded from Account Value</w:t>
      </w:r>
      <w:r>
        <w:rPr>
          <w:rFonts w:eastAsia="Times New Roman"/>
          <w:color w:val="000000"/>
          <w:sz w:val="18"/>
          <w:szCs w:val="18"/>
        </w:rPr>
        <w:t>.</w:t>
      </w:r>
    </w:p>
    <w:p w:rsidR="00000000" w:rsidRDefault="00775A8F">
      <w:pPr>
        <w:jc w:val="center"/>
        <w:divId w:val="563025694"/>
        <w:rPr>
          <w:rFonts w:eastAsia="Times New Roman"/>
        </w:rPr>
      </w:pPr>
      <w:r>
        <w:rPr>
          <w:rFonts w:eastAsia="Times New Roman"/>
          <w:color w:val="000000"/>
          <w:sz w:val="20"/>
          <w:szCs w:val="20"/>
        </w:rPr>
        <w:t>8</w:t>
      </w:r>
      <w:r>
        <w:rPr>
          <w:rFonts w:eastAsia="Times New Roman"/>
          <w:color w:val="000000"/>
          <w:sz w:val="20"/>
          <w:szCs w:val="20"/>
        </w:rPr>
        <w:t>2</w:t>
      </w:r>
    </w:p>
    <w:p w:rsidR="00000000" w:rsidRDefault="00775A8F">
      <w:pPr>
        <w:rPr>
          <w:rFonts w:eastAsia="Times New Roman"/>
        </w:rPr>
      </w:pPr>
      <w:r>
        <w:rPr>
          <w:rFonts w:eastAsia="Times New Roman"/>
        </w:rPr>
        <w:pict>
          <v:rect id="_x0000_i1108" style="width:0;height:1.5pt" o:hralign="center" o:hrstd="t" o:hr="t" fillcolor="#a0a0a0" stroked="f"/>
        </w:pict>
      </w:r>
    </w:p>
    <w:p w:rsidR="00000000" w:rsidRDefault="00775A8F">
      <w:pPr>
        <w:divId w:val="1902325909"/>
        <w:rPr>
          <w:rFonts w:eastAsia="Times New Roman"/>
        </w:rPr>
      </w:pPr>
    </w:p>
    <w:p w:rsidR="00000000" w:rsidRDefault="00775A8F">
      <w:pPr>
        <w:divId w:val="1326014796"/>
        <w:rPr>
          <w:rFonts w:eastAsia="Times New Roman"/>
        </w:rPr>
      </w:pPr>
      <w:r>
        <w:rPr>
          <w:rFonts w:eastAsia="Times New Roman"/>
          <w:b/>
          <w:bCs/>
          <w:color w:val="000000"/>
          <w:sz w:val="20"/>
          <w:szCs w:val="20"/>
        </w:rPr>
        <w:t>Three Months Ended June 30, 2020 Compared to the Three Months Ended June 30, 2019 for the Individual Retirement Segmen</w:t>
      </w:r>
      <w:r>
        <w:rPr>
          <w:rFonts w:eastAsia="Times New Roman"/>
          <w:b/>
          <w:bCs/>
          <w:color w:val="000000"/>
          <w:sz w:val="20"/>
          <w:szCs w:val="20"/>
        </w:rPr>
        <w:t>t</w:t>
      </w:r>
    </w:p>
    <w:p w:rsidR="00000000" w:rsidRDefault="00775A8F">
      <w:pPr>
        <w:jc w:val="both"/>
        <w:divId w:val="1465659432"/>
        <w:rPr>
          <w:rFonts w:eastAsia="Times New Roman"/>
        </w:rPr>
      </w:pPr>
      <w:r>
        <w:rPr>
          <w:rFonts w:eastAsia="Times New Roman"/>
          <w:b/>
          <w:bCs/>
          <w:i/>
          <w:iCs/>
          <w:color w:val="000000"/>
          <w:sz w:val="20"/>
          <w:szCs w:val="20"/>
        </w:rPr>
        <w:t>Operating earning</w:t>
      </w:r>
      <w:r>
        <w:rPr>
          <w:rFonts w:eastAsia="Times New Roman"/>
          <w:b/>
          <w:bCs/>
          <w:i/>
          <w:iCs/>
          <w:color w:val="000000"/>
          <w:sz w:val="20"/>
          <w:szCs w:val="20"/>
        </w:rPr>
        <w:t>s</w:t>
      </w:r>
    </w:p>
    <w:p w:rsidR="00000000" w:rsidRDefault="00775A8F">
      <w:pPr>
        <w:ind w:firstLine="360"/>
        <w:divId w:val="2076387943"/>
        <w:rPr>
          <w:rFonts w:eastAsia="Times New Roman"/>
        </w:rPr>
      </w:pPr>
      <w:r>
        <w:rPr>
          <w:rFonts w:eastAsia="Times New Roman"/>
          <w:color w:val="000000"/>
          <w:sz w:val="20"/>
          <w:szCs w:val="20"/>
          <w:shd w:val="clear" w:color="auto" w:fill="FFFFFF"/>
        </w:rPr>
        <w:t>Operating earnings decreased $9 million to $350 million during the three months ended June 30, 2020 from $359 million in the three months ended June 30, 2019. The following notable items were the primary drivers for the decrease in Operating earnings.</w:t>
      </w:r>
    </w:p>
    <w:p w:rsidR="00000000" w:rsidRDefault="00775A8F">
      <w:pPr>
        <w:ind w:hanging="360"/>
        <w:jc w:val="both"/>
        <w:divId w:val="901061441"/>
        <w:rPr>
          <w:rFonts w:eastAsia="Times New Roman"/>
        </w:rPr>
      </w:pPr>
      <w:r>
        <w:rPr>
          <w:rFonts w:eastAsia="Times New Roman"/>
          <w:color w:val="000000"/>
          <w:sz w:val="20"/>
          <w:szCs w:val="20"/>
        </w:rPr>
        <w:t>•</w:t>
      </w:r>
      <w:r>
        <w:rPr>
          <w:rFonts w:eastAsia="Times New Roman"/>
          <w:color w:val="000000"/>
          <w:sz w:val="20"/>
          <w:szCs w:val="20"/>
        </w:rPr>
        <w:t>Fee</w:t>
      </w:r>
      <w:r>
        <w:rPr>
          <w:rFonts w:eastAsia="Times New Roman"/>
          <w:color w:val="000000"/>
          <w:sz w:val="20"/>
          <w:szCs w:val="20"/>
        </w:rPr>
        <w:t>-type revenue decreased $48 million due to lower average asset balances from the March equity markets decline</w:t>
      </w:r>
      <w:r>
        <w:rPr>
          <w:rFonts w:eastAsia="Times New Roman"/>
          <w:color w:val="000000"/>
          <w:sz w:val="20"/>
          <w:szCs w:val="20"/>
        </w:rPr>
        <w:t>.</w:t>
      </w:r>
    </w:p>
    <w:p w:rsidR="00000000" w:rsidRDefault="00775A8F">
      <w:pPr>
        <w:ind w:hanging="360"/>
        <w:jc w:val="both"/>
        <w:divId w:val="712192198"/>
        <w:rPr>
          <w:rFonts w:eastAsia="Times New Roman"/>
        </w:rPr>
      </w:pPr>
      <w:r>
        <w:rPr>
          <w:rFonts w:eastAsia="Times New Roman"/>
          <w:color w:val="000000"/>
          <w:sz w:val="20"/>
          <w:szCs w:val="20"/>
        </w:rPr>
        <w:t>•</w:t>
      </w:r>
      <w:r>
        <w:rPr>
          <w:rFonts w:eastAsia="Times New Roman"/>
          <w:color w:val="000000"/>
          <w:sz w:val="20"/>
          <w:szCs w:val="20"/>
        </w:rPr>
        <w:t>Net investment income decreased $14 million mainly due to losses on our alternative investment portfolio, partially offset by higher income from</w:t>
      </w:r>
      <w:r>
        <w:rPr>
          <w:rFonts w:eastAsia="Times New Roman"/>
          <w:color w:val="000000"/>
          <w:sz w:val="20"/>
          <w:szCs w:val="20"/>
        </w:rPr>
        <w:t xml:space="preserve"> higher SCS asset balances.</w:t>
      </w:r>
      <w:r>
        <w:rPr>
          <w:rFonts w:eastAsia="Times New Roman"/>
          <w:color w:val="000000"/>
          <w:sz w:val="20"/>
          <w:szCs w:val="20"/>
        </w:rPr>
        <w:t xml:space="preserve"> </w:t>
      </w:r>
    </w:p>
    <w:p w:rsidR="00000000" w:rsidRDefault="00775A8F">
      <w:pPr>
        <w:divId w:val="1019504606"/>
        <w:rPr>
          <w:rFonts w:eastAsia="Times New Roman"/>
        </w:rPr>
      </w:pPr>
      <w:r>
        <w:rPr>
          <w:rFonts w:eastAsia="Times New Roman"/>
          <w:color w:val="000000"/>
          <w:sz w:val="20"/>
          <w:szCs w:val="20"/>
        </w:rPr>
        <w:t>•</w:t>
      </w:r>
      <w:r>
        <w:rPr>
          <w:rFonts w:eastAsia="Times New Roman"/>
          <w:color w:val="000000"/>
          <w:sz w:val="20"/>
          <w:szCs w:val="20"/>
        </w:rPr>
        <w:t>Net GMxB results decreased $5 million primarily due to a growth in no lapse guarantee benefits</w:t>
      </w:r>
      <w:r>
        <w:rPr>
          <w:rFonts w:eastAsia="Times New Roman"/>
          <w:color w:val="000000"/>
          <w:sz w:val="20"/>
          <w:szCs w:val="20"/>
        </w:rPr>
        <w:t>.</w:t>
      </w:r>
    </w:p>
    <w:p w:rsidR="00000000" w:rsidRDefault="00775A8F">
      <w:pPr>
        <w:ind w:firstLine="360"/>
        <w:divId w:val="1189834535"/>
        <w:rPr>
          <w:rFonts w:eastAsia="Times New Roman"/>
        </w:rPr>
      </w:pPr>
      <w:r>
        <w:rPr>
          <w:rFonts w:eastAsia="Times New Roman"/>
          <w:color w:val="000000"/>
          <w:sz w:val="20"/>
          <w:szCs w:val="20"/>
        </w:rPr>
        <w:t>The decrease was partially offset by</w:t>
      </w:r>
      <w:r>
        <w:rPr>
          <w:rFonts w:eastAsia="Times New Roman"/>
          <w:color w:val="000000"/>
          <w:sz w:val="20"/>
          <w:szCs w:val="20"/>
        </w:rPr>
        <w:t>:</w:t>
      </w:r>
    </w:p>
    <w:p w:rsidR="00000000" w:rsidRDefault="00775A8F">
      <w:pPr>
        <w:ind w:hanging="360"/>
        <w:jc w:val="both"/>
        <w:divId w:val="1193418643"/>
        <w:rPr>
          <w:rFonts w:eastAsia="Times New Roman"/>
        </w:rPr>
      </w:pPr>
      <w:r>
        <w:rPr>
          <w:rFonts w:eastAsia="Times New Roman"/>
          <w:color w:val="000000"/>
          <w:sz w:val="20"/>
          <w:szCs w:val="20"/>
        </w:rPr>
        <w:t>•</w:t>
      </w:r>
      <w:r>
        <w:rPr>
          <w:rFonts w:eastAsia="Times New Roman"/>
          <w:color w:val="000000"/>
          <w:sz w:val="20"/>
          <w:szCs w:val="20"/>
        </w:rPr>
        <w:t>Compensation benefits and other operating expenses decreased $28 million due to productivit</w:t>
      </w:r>
      <w:r>
        <w:rPr>
          <w:rFonts w:eastAsia="Times New Roman"/>
          <w:color w:val="000000"/>
          <w:sz w:val="20"/>
          <w:szCs w:val="20"/>
        </w:rPr>
        <w:t>y initiatives and COVID-19 related expense saves</w:t>
      </w:r>
      <w:r>
        <w:rPr>
          <w:rFonts w:eastAsia="Times New Roman"/>
          <w:color w:val="000000"/>
          <w:sz w:val="20"/>
          <w:szCs w:val="20"/>
        </w:rPr>
        <w:t>.</w:t>
      </w:r>
    </w:p>
    <w:p w:rsidR="00000000" w:rsidRDefault="00775A8F">
      <w:pPr>
        <w:ind w:hanging="360"/>
        <w:jc w:val="both"/>
        <w:divId w:val="1533374405"/>
        <w:rPr>
          <w:rFonts w:eastAsia="Times New Roman"/>
        </w:rPr>
      </w:pPr>
      <w:r>
        <w:rPr>
          <w:rFonts w:eastAsia="Times New Roman"/>
          <w:color w:val="000000"/>
          <w:sz w:val="20"/>
          <w:szCs w:val="20"/>
        </w:rPr>
        <w:t>•</w:t>
      </w:r>
      <w:r>
        <w:rPr>
          <w:rFonts w:eastAsia="Times New Roman"/>
          <w:color w:val="000000"/>
          <w:sz w:val="20"/>
          <w:szCs w:val="20"/>
        </w:rPr>
        <w:t>Commissions and distribution related payments decreased $11 million due to lower average asset balances</w:t>
      </w:r>
      <w:r>
        <w:rPr>
          <w:rFonts w:eastAsia="Times New Roman"/>
          <w:color w:val="000000"/>
          <w:sz w:val="20"/>
          <w:szCs w:val="20"/>
        </w:rPr>
        <w:t>.</w:t>
      </w:r>
    </w:p>
    <w:p w:rsidR="00000000" w:rsidRDefault="00775A8F">
      <w:pPr>
        <w:ind w:hanging="360"/>
        <w:jc w:val="both"/>
        <w:divId w:val="2003966243"/>
        <w:rPr>
          <w:rFonts w:eastAsia="Times New Roman"/>
        </w:rPr>
      </w:pPr>
      <w:r>
        <w:rPr>
          <w:rFonts w:eastAsia="Times New Roman"/>
          <w:color w:val="000000"/>
          <w:sz w:val="20"/>
          <w:szCs w:val="20"/>
        </w:rPr>
        <w:t>•</w:t>
      </w:r>
      <w:r>
        <w:rPr>
          <w:rFonts w:eastAsia="Times New Roman"/>
          <w:color w:val="000000"/>
          <w:sz w:val="20"/>
          <w:szCs w:val="20"/>
        </w:rPr>
        <w:t>Non-GMxB Policyholders’ benefits decreased $6 million primarily due to favorable mortality on payou</w:t>
      </w:r>
      <w:r>
        <w:rPr>
          <w:rFonts w:eastAsia="Times New Roman"/>
          <w:color w:val="000000"/>
          <w:sz w:val="20"/>
          <w:szCs w:val="20"/>
        </w:rPr>
        <w:t>t annuities</w:t>
      </w:r>
      <w:r>
        <w:rPr>
          <w:rFonts w:eastAsia="Times New Roman"/>
          <w:color w:val="000000"/>
          <w:sz w:val="20"/>
          <w:szCs w:val="20"/>
        </w:rPr>
        <w:t>.</w:t>
      </w:r>
    </w:p>
    <w:p w:rsidR="00000000" w:rsidRDefault="00775A8F">
      <w:pPr>
        <w:divId w:val="1509320890"/>
        <w:rPr>
          <w:rFonts w:eastAsia="Times New Roman"/>
        </w:rPr>
      </w:pPr>
      <w:r>
        <w:rPr>
          <w:rFonts w:eastAsia="Times New Roman"/>
          <w:color w:val="000000"/>
          <w:sz w:val="20"/>
          <w:szCs w:val="20"/>
        </w:rPr>
        <w:t>•</w:t>
      </w:r>
      <w:r>
        <w:rPr>
          <w:rFonts w:eastAsia="Times New Roman"/>
          <w:color w:val="000000"/>
          <w:sz w:val="20"/>
          <w:szCs w:val="20"/>
        </w:rPr>
        <w:t>Income tax expense decreased $5 million due to lower pre-tax earnings</w:t>
      </w:r>
      <w:r>
        <w:rPr>
          <w:rFonts w:eastAsia="Times New Roman"/>
          <w:color w:val="000000"/>
          <w:sz w:val="20"/>
          <w:szCs w:val="20"/>
        </w:rPr>
        <w:t>.</w:t>
      </w:r>
    </w:p>
    <w:p w:rsidR="00000000" w:rsidRDefault="00775A8F">
      <w:pPr>
        <w:jc w:val="both"/>
        <w:divId w:val="1140416266"/>
        <w:rPr>
          <w:rFonts w:eastAsia="Times New Roman"/>
        </w:rPr>
      </w:pPr>
      <w:r>
        <w:rPr>
          <w:rFonts w:eastAsia="Times New Roman"/>
          <w:b/>
          <w:bCs/>
          <w:i/>
          <w:iCs/>
          <w:color w:val="000000"/>
          <w:sz w:val="20"/>
          <w:szCs w:val="20"/>
          <w:shd w:val="clear" w:color="auto" w:fill="FFFFFF"/>
        </w:rPr>
        <w:t>Net Flows and AV</w:t>
      </w:r>
    </w:p>
    <w:p w:rsidR="00000000" w:rsidRDefault="00775A8F">
      <w:pPr>
        <w:ind w:hanging="360"/>
        <w:jc w:val="both"/>
        <w:divId w:val="423916692"/>
        <w:rPr>
          <w:rFonts w:eastAsia="Times New Roman"/>
        </w:rPr>
      </w:pPr>
      <w:r>
        <w:rPr>
          <w:rFonts w:eastAsia="Times New Roman"/>
          <w:color w:val="000000"/>
          <w:sz w:val="20"/>
          <w:szCs w:val="20"/>
        </w:rPr>
        <w:t>•</w:t>
      </w:r>
      <w:r>
        <w:rPr>
          <w:rFonts w:eastAsia="Times New Roman"/>
          <w:color w:val="000000"/>
          <w:sz w:val="20"/>
          <w:szCs w:val="20"/>
        </w:rPr>
        <w:t>The increase in AV of $10.3 billion in the three months ended June 30, 2020 was primarily due to a $10.3 billion increase in equity markets, partially of</w:t>
      </w:r>
      <w:r>
        <w:rPr>
          <w:rFonts w:eastAsia="Times New Roman"/>
          <w:color w:val="000000"/>
          <w:sz w:val="20"/>
          <w:szCs w:val="20"/>
        </w:rPr>
        <w:t>fset by $53 million net outflows</w:t>
      </w:r>
      <w:r>
        <w:rPr>
          <w:rFonts w:eastAsia="Times New Roman"/>
          <w:color w:val="000000"/>
          <w:sz w:val="20"/>
          <w:szCs w:val="20"/>
        </w:rPr>
        <w:t>.</w:t>
      </w:r>
    </w:p>
    <w:p w:rsidR="00000000" w:rsidRDefault="00775A8F">
      <w:pPr>
        <w:ind w:hanging="360"/>
        <w:divId w:val="2032534846"/>
        <w:rPr>
          <w:rFonts w:eastAsia="Times New Roman"/>
        </w:rPr>
      </w:pPr>
      <w:r>
        <w:rPr>
          <w:rFonts w:eastAsia="Times New Roman"/>
          <w:color w:val="000000"/>
          <w:sz w:val="20"/>
          <w:szCs w:val="20"/>
        </w:rPr>
        <w:t>•</w:t>
      </w:r>
      <w:r>
        <w:rPr>
          <w:rFonts w:eastAsia="Times New Roman"/>
          <w:color w:val="000000"/>
          <w:sz w:val="20"/>
          <w:szCs w:val="20"/>
        </w:rPr>
        <w:t>Net outflows of $53 million were $39 million higher than in the three months ended June 30, 2019, mainly driven by $709 million of outflows on our older fixed-rate GMxB block, partially offset by $656 million of inflows o</w:t>
      </w:r>
      <w:r>
        <w:rPr>
          <w:rFonts w:eastAsia="Times New Roman"/>
          <w:color w:val="000000"/>
          <w:sz w:val="20"/>
          <w:szCs w:val="20"/>
        </w:rPr>
        <w:t>n our newer, less capital-intensive products</w:t>
      </w:r>
      <w:r>
        <w:rPr>
          <w:rFonts w:eastAsia="Times New Roman"/>
          <w:color w:val="000000"/>
          <w:sz w:val="20"/>
          <w:szCs w:val="20"/>
        </w:rPr>
        <w:t>.</w:t>
      </w:r>
    </w:p>
    <w:p w:rsidR="00000000" w:rsidRDefault="00775A8F">
      <w:pPr>
        <w:divId w:val="828205360"/>
        <w:rPr>
          <w:rFonts w:eastAsia="Times New Roman"/>
        </w:rPr>
      </w:pPr>
      <w:r>
        <w:rPr>
          <w:rFonts w:eastAsia="Times New Roman"/>
          <w:b/>
          <w:bCs/>
          <w:color w:val="000000"/>
          <w:sz w:val="20"/>
          <w:szCs w:val="20"/>
        </w:rPr>
        <w:t>Six Months Ended June 30, 2020 Compared to the Six Months Ended June 30, 2019 for the Individual Retirement Segmen</w:t>
      </w:r>
      <w:r>
        <w:rPr>
          <w:rFonts w:eastAsia="Times New Roman"/>
          <w:b/>
          <w:bCs/>
          <w:color w:val="000000"/>
          <w:sz w:val="20"/>
          <w:szCs w:val="20"/>
        </w:rPr>
        <w:t>t</w:t>
      </w:r>
    </w:p>
    <w:p w:rsidR="00000000" w:rsidRDefault="00775A8F">
      <w:pPr>
        <w:jc w:val="both"/>
        <w:divId w:val="116876731"/>
        <w:rPr>
          <w:rFonts w:eastAsia="Times New Roman"/>
        </w:rPr>
      </w:pPr>
      <w:r>
        <w:rPr>
          <w:rFonts w:eastAsia="Times New Roman"/>
          <w:b/>
          <w:bCs/>
          <w:i/>
          <w:iCs/>
          <w:color w:val="000000"/>
          <w:sz w:val="20"/>
          <w:szCs w:val="20"/>
        </w:rPr>
        <w:t>Operating earning</w:t>
      </w:r>
      <w:r>
        <w:rPr>
          <w:rFonts w:eastAsia="Times New Roman"/>
          <w:b/>
          <w:bCs/>
          <w:i/>
          <w:iCs/>
          <w:color w:val="000000"/>
          <w:sz w:val="20"/>
          <w:szCs w:val="20"/>
        </w:rPr>
        <w:t>s</w:t>
      </w:r>
    </w:p>
    <w:p w:rsidR="00000000" w:rsidRDefault="00775A8F">
      <w:pPr>
        <w:ind w:firstLine="360"/>
        <w:divId w:val="1354920379"/>
        <w:rPr>
          <w:rFonts w:eastAsia="Times New Roman"/>
        </w:rPr>
      </w:pPr>
      <w:r>
        <w:rPr>
          <w:rFonts w:eastAsia="Times New Roman"/>
          <w:color w:val="000000"/>
          <w:sz w:val="20"/>
          <w:szCs w:val="20"/>
        </w:rPr>
        <w:t>Operating earnings decreased $7 million to $722 million during the six mont</w:t>
      </w:r>
      <w:r>
        <w:rPr>
          <w:rFonts w:eastAsia="Times New Roman"/>
          <w:color w:val="000000"/>
          <w:sz w:val="20"/>
          <w:szCs w:val="20"/>
        </w:rPr>
        <w:t>hs ended June 30, 2020 from $729 million in the six months ended June 30, 2019. The following notable items were the primary drivers for the decrease in Operating earnings</w:t>
      </w:r>
      <w:r>
        <w:rPr>
          <w:rFonts w:eastAsia="Times New Roman"/>
          <w:color w:val="000000"/>
          <w:sz w:val="20"/>
          <w:szCs w:val="20"/>
        </w:rPr>
        <w:t>.</w:t>
      </w:r>
    </w:p>
    <w:p w:rsidR="00000000" w:rsidRDefault="00775A8F">
      <w:pPr>
        <w:ind w:hanging="360"/>
        <w:jc w:val="both"/>
        <w:divId w:val="756483614"/>
        <w:rPr>
          <w:rFonts w:eastAsia="Times New Roman"/>
        </w:rPr>
      </w:pPr>
      <w:r>
        <w:rPr>
          <w:rFonts w:eastAsia="Times New Roman"/>
          <w:color w:val="000000"/>
          <w:sz w:val="20"/>
          <w:szCs w:val="20"/>
        </w:rPr>
        <w:t>•</w:t>
      </w:r>
      <w:r>
        <w:rPr>
          <w:rFonts w:eastAsia="Times New Roman"/>
          <w:color w:val="000000"/>
          <w:sz w:val="20"/>
          <w:szCs w:val="20"/>
        </w:rPr>
        <w:t>Fee-type revenue decreased $47 million due to lower average asset balances from th</w:t>
      </w:r>
      <w:r>
        <w:rPr>
          <w:rFonts w:eastAsia="Times New Roman"/>
          <w:color w:val="000000"/>
          <w:sz w:val="20"/>
          <w:szCs w:val="20"/>
        </w:rPr>
        <w:t>e March equity markets decline</w:t>
      </w:r>
      <w:r>
        <w:rPr>
          <w:rFonts w:eastAsia="Times New Roman"/>
          <w:color w:val="000000"/>
          <w:sz w:val="20"/>
          <w:szCs w:val="20"/>
        </w:rPr>
        <w:t>.</w:t>
      </w:r>
    </w:p>
    <w:p w:rsidR="00000000" w:rsidRDefault="00775A8F">
      <w:pPr>
        <w:ind w:hanging="360"/>
        <w:jc w:val="both"/>
        <w:divId w:val="1168058760"/>
        <w:rPr>
          <w:rFonts w:eastAsia="Times New Roman"/>
        </w:rPr>
      </w:pPr>
      <w:r>
        <w:rPr>
          <w:rFonts w:eastAsia="Times New Roman"/>
          <w:color w:val="000000"/>
          <w:sz w:val="20"/>
          <w:szCs w:val="20"/>
        </w:rPr>
        <w:t>•</w:t>
      </w:r>
      <w:r>
        <w:rPr>
          <w:rFonts w:eastAsia="Times New Roman"/>
          <w:color w:val="000000"/>
          <w:sz w:val="20"/>
          <w:szCs w:val="20"/>
        </w:rPr>
        <w:t>Interest credited to policyholders’ account balances increased $17 million primarily driven by higher SCS AV due to new business growth</w:t>
      </w:r>
      <w:r>
        <w:rPr>
          <w:rFonts w:eastAsia="Times New Roman"/>
          <w:color w:val="000000"/>
          <w:sz w:val="20"/>
          <w:szCs w:val="20"/>
        </w:rPr>
        <w:t>.</w:t>
      </w:r>
    </w:p>
    <w:p w:rsidR="00000000" w:rsidRDefault="00775A8F">
      <w:pPr>
        <w:ind w:hanging="360"/>
        <w:jc w:val="both"/>
        <w:divId w:val="1669794814"/>
        <w:rPr>
          <w:rFonts w:eastAsia="Times New Roman"/>
        </w:rPr>
      </w:pPr>
      <w:r>
        <w:rPr>
          <w:rFonts w:eastAsia="Times New Roman"/>
          <w:color w:val="000000"/>
          <w:sz w:val="20"/>
          <w:szCs w:val="20"/>
        </w:rPr>
        <w:t>•</w:t>
      </w:r>
      <w:r>
        <w:rPr>
          <w:rFonts w:eastAsia="Times New Roman"/>
          <w:color w:val="000000"/>
          <w:sz w:val="20"/>
          <w:szCs w:val="20"/>
        </w:rPr>
        <w:t>Net GMxB results decreased $5 million due to a growth in no lapse guarantee benefits,</w:t>
      </w:r>
      <w:r>
        <w:rPr>
          <w:rFonts w:eastAsia="Times New Roman"/>
          <w:color w:val="000000"/>
          <w:sz w:val="20"/>
          <w:szCs w:val="20"/>
        </w:rPr>
        <w:t xml:space="preserve"> partially offset by higher rider fees</w:t>
      </w:r>
      <w:r>
        <w:rPr>
          <w:rFonts w:eastAsia="Times New Roman"/>
          <w:color w:val="000000"/>
          <w:sz w:val="20"/>
          <w:szCs w:val="20"/>
        </w:rPr>
        <w:t>.</w:t>
      </w:r>
    </w:p>
    <w:p w:rsidR="00000000" w:rsidRDefault="00775A8F">
      <w:pPr>
        <w:ind w:hanging="360"/>
        <w:divId w:val="311443774"/>
        <w:rPr>
          <w:rFonts w:eastAsia="Times New Roman"/>
        </w:rPr>
      </w:pPr>
      <w:r>
        <w:rPr>
          <w:rFonts w:eastAsia="Times New Roman"/>
          <w:color w:val="000000"/>
          <w:sz w:val="20"/>
          <w:szCs w:val="20"/>
        </w:rPr>
        <w:t>•</w:t>
      </w:r>
      <w:r>
        <w:rPr>
          <w:rFonts w:eastAsia="Times New Roman"/>
          <w:color w:val="000000"/>
          <w:sz w:val="20"/>
          <w:szCs w:val="20"/>
        </w:rPr>
        <w:t>Income tax expense increased $5 million mainly driven by a lower effective tax rate in the six months ended June 30, 2019</w:t>
      </w:r>
      <w:r>
        <w:rPr>
          <w:rFonts w:eastAsia="Times New Roman"/>
          <w:color w:val="000000"/>
          <w:sz w:val="20"/>
          <w:szCs w:val="20"/>
        </w:rPr>
        <w:t>.</w:t>
      </w:r>
    </w:p>
    <w:p w:rsidR="00000000" w:rsidRDefault="00775A8F">
      <w:pPr>
        <w:ind w:firstLine="360"/>
        <w:divId w:val="1941522747"/>
        <w:rPr>
          <w:rFonts w:eastAsia="Times New Roman"/>
        </w:rPr>
      </w:pPr>
      <w:r>
        <w:rPr>
          <w:rFonts w:eastAsia="Times New Roman"/>
          <w:color w:val="000000"/>
          <w:sz w:val="20"/>
          <w:szCs w:val="20"/>
        </w:rPr>
        <w:t>The decrease was partially offset by</w:t>
      </w:r>
      <w:r>
        <w:rPr>
          <w:rFonts w:eastAsia="Times New Roman"/>
          <w:color w:val="000000"/>
          <w:sz w:val="20"/>
          <w:szCs w:val="20"/>
        </w:rPr>
        <w:t>:</w:t>
      </w:r>
    </w:p>
    <w:p w:rsidR="00000000" w:rsidRDefault="00775A8F">
      <w:pPr>
        <w:ind w:hanging="360"/>
        <w:jc w:val="both"/>
        <w:divId w:val="1781753564"/>
        <w:rPr>
          <w:rFonts w:eastAsia="Times New Roman"/>
        </w:rPr>
      </w:pPr>
      <w:r>
        <w:rPr>
          <w:rFonts w:eastAsia="Times New Roman"/>
          <w:color w:val="000000"/>
          <w:sz w:val="20"/>
          <w:szCs w:val="20"/>
        </w:rPr>
        <w:t>•</w:t>
      </w:r>
      <w:r>
        <w:rPr>
          <w:rFonts w:eastAsia="Times New Roman"/>
          <w:color w:val="000000"/>
          <w:sz w:val="20"/>
          <w:szCs w:val="20"/>
        </w:rPr>
        <w:t>Net investment income increased $34 million mainly due to higher SCS asset balances and the General Account investment portfolio optimization, partially offset by losses on our alternative investment portfolio</w:t>
      </w:r>
      <w:r>
        <w:rPr>
          <w:rFonts w:eastAsia="Times New Roman"/>
          <w:color w:val="000000"/>
          <w:sz w:val="20"/>
          <w:szCs w:val="20"/>
        </w:rPr>
        <w:t>.</w:t>
      </w:r>
    </w:p>
    <w:p w:rsidR="00000000" w:rsidRDefault="00775A8F">
      <w:pPr>
        <w:ind w:hanging="360"/>
        <w:jc w:val="both"/>
        <w:divId w:val="904295940"/>
        <w:rPr>
          <w:rFonts w:eastAsia="Times New Roman"/>
        </w:rPr>
      </w:pPr>
      <w:r>
        <w:rPr>
          <w:rFonts w:eastAsia="Times New Roman"/>
          <w:color w:val="000000"/>
          <w:sz w:val="20"/>
          <w:szCs w:val="20"/>
        </w:rPr>
        <w:t>•</w:t>
      </w:r>
      <w:r>
        <w:rPr>
          <w:rFonts w:eastAsia="Times New Roman"/>
          <w:color w:val="000000"/>
          <w:sz w:val="20"/>
          <w:szCs w:val="20"/>
        </w:rPr>
        <w:t>Compensation benefits and other operating ex</w:t>
      </w:r>
      <w:r>
        <w:rPr>
          <w:rFonts w:eastAsia="Times New Roman"/>
          <w:color w:val="000000"/>
          <w:sz w:val="20"/>
          <w:szCs w:val="20"/>
        </w:rPr>
        <w:t>penses decreased $32 million due to productivity initiatives and COVID-19 related expense saves</w:t>
      </w:r>
      <w:r>
        <w:rPr>
          <w:rFonts w:eastAsia="Times New Roman"/>
          <w:color w:val="000000"/>
          <w:sz w:val="20"/>
          <w:szCs w:val="20"/>
        </w:rPr>
        <w:t>.</w:t>
      </w:r>
    </w:p>
    <w:p w:rsidR="00000000" w:rsidRDefault="00775A8F">
      <w:pPr>
        <w:ind w:hanging="360"/>
        <w:divId w:val="411975177"/>
        <w:rPr>
          <w:rFonts w:eastAsia="Times New Roman"/>
        </w:rPr>
      </w:pPr>
      <w:r>
        <w:rPr>
          <w:rFonts w:eastAsia="Times New Roman"/>
          <w:color w:val="000000"/>
          <w:sz w:val="20"/>
          <w:szCs w:val="20"/>
        </w:rPr>
        <w:t>•</w:t>
      </w:r>
      <w:r>
        <w:rPr>
          <w:rFonts w:eastAsia="Times New Roman"/>
          <w:color w:val="000000"/>
          <w:sz w:val="20"/>
          <w:szCs w:val="20"/>
        </w:rPr>
        <w:t>Commissions and distribution-related payments decreased $5 million due to lower average asset balances</w:t>
      </w:r>
      <w:r>
        <w:rPr>
          <w:rFonts w:eastAsia="Times New Roman"/>
          <w:color w:val="000000"/>
          <w:sz w:val="20"/>
          <w:szCs w:val="20"/>
        </w:rPr>
        <w:t>.</w:t>
      </w:r>
    </w:p>
    <w:p w:rsidR="00000000" w:rsidRDefault="00775A8F">
      <w:pPr>
        <w:jc w:val="center"/>
        <w:divId w:val="196740977"/>
        <w:rPr>
          <w:rFonts w:eastAsia="Times New Roman"/>
        </w:rPr>
      </w:pPr>
      <w:r>
        <w:rPr>
          <w:rFonts w:eastAsia="Times New Roman"/>
          <w:color w:val="000000"/>
          <w:sz w:val="20"/>
          <w:szCs w:val="20"/>
        </w:rPr>
        <w:t>8</w:t>
      </w:r>
      <w:r>
        <w:rPr>
          <w:rFonts w:eastAsia="Times New Roman"/>
          <w:color w:val="000000"/>
          <w:sz w:val="20"/>
          <w:szCs w:val="20"/>
        </w:rPr>
        <w:t>3</w:t>
      </w:r>
    </w:p>
    <w:p w:rsidR="00000000" w:rsidRDefault="00775A8F">
      <w:pPr>
        <w:rPr>
          <w:rFonts w:eastAsia="Times New Roman"/>
        </w:rPr>
      </w:pPr>
      <w:r>
        <w:rPr>
          <w:rFonts w:eastAsia="Times New Roman"/>
        </w:rPr>
        <w:pict>
          <v:rect id="_x0000_i1109" style="width:0;height:1.5pt" o:hralign="center" o:hrstd="t" o:hr="t" fillcolor="#a0a0a0" stroked="f"/>
        </w:pict>
      </w:r>
    </w:p>
    <w:p w:rsidR="00000000" w:rsidRDefault="00775A8F">
      <w:pPr>
        <w:divId w:val="1219046494"/>
        <w:rPr>
          <w:rFonts w:eastAsia="Times New Roman"/>
        </w:rPr>
      </w:pPr>
    </w:p>
    <w:p w:rsidR="00000000" w:rsidRDefault="00775A8F">
      <w:pPr>
        <w:jc w:val="both"/>
        <w:divId w:val="934939557"/>
        <w:rPr>
          <w:rFonts w:eastAsia="Times New Roman"/>
        </w:rPr>
      </w:pPr>
      <w:r>
        <w:rPr>
          <w:rFonts w:eastAsia="Times New Roman"/>
          <w:b/>
          <w:bCs/>
          <w:i/>
          <w:iCs/>
          <w:color w:val="000000"/>
          <w:sz w:val="20"/>
          <w:szCs w:val="20"/>
        </w:rPr>
        <w:t>Net Flows an</w:t>
      </w:r>
      <w:r>
        <w:rPr>
          <w:rFonts w:eastAsia="Times New Roman"/>
          <w:b/>
          <w:bCs/>
          <w:i/>
          <w:iCs/>
          <w:color w:val="000000"/>
          <w:sz w:val="20"/>
          <w:szCs w:val="20"/>
        </w:rPr>
        <w:t>d A</w:t>
      </w:r>
      <w:r>
        <w:rPr>
          <w:rFonts w:eastAsia="Times New Roman"/>
          <w:b/>
          <w:bCs/>
          <w:i/>
          <w:iCs/>
          <w:color w:val="000000"/>
          <w:sz w:val="20"/>
          <w:szCs w:val="20"/>
        </w:rPr>
        <w:t>V</w:t>
      </w:r>
    </w:p>
    <w:p w:rsidR="00000000" w:rsidRDefault="00775A8F">
      <w:pPr>
        <w:ind w:hanging="360"/>
        <w:jc w:val="both"/>
        <w:divId w:val="1283421544"/>
        <w:rPr>
          <w:rFonts w:eastAsia="Times New Roman"/>
        </w:rPr>
      </w:pPr>
      <w:r>
        <w:rPr>
          <w:rFonts w:eastAsia="Times New Roman"/>
          <w:color w:val="000000"/>
          <w:sz w:val="20"/>
          <w:szCs w:val="20"/>
        </w:rPr>
        <w:t>•</w:t>
      </w:r>
      <w:r>
        <w:rPr>
          <w:rFonts w:eastAsia="Times New Roman"/>
          <w:color w:val="000000"/>
          <w:sz w:val="20"/>
          <w:szCs w:val="20"/>
        </w:rPr>
        <w:t>The decline in AV of $5.1 billion in the six months ended June 30, 2020 was due primarily to declines in equity markets $4.7 billion and net outflows of $373 million</w:t>
      </w:r>
      <w:r>
        <w:rPr>
          <w:rFonts w:eastAsia="Times New Roman"/>
          <w:color w:val="000000"/>
          <w:sz w:val="20"/>
          <w:szCs w:val="20"/>
        </w:rPr>
        <w:t>.</w:t>
      </w:r>
    </w:p>
    <w:p w:rsidR="00000000" w:rsidRDefault="00775A8F">
      <w:pPr>
        <w:ind w:hanging="360"/>
        <w:divId w:val="905843235"/>
        <w:rPr>
          <w:rFonts w:eastAsia="Times New Roman"/>
        </w:rPr>
      </w:pPr>
      <w:r>
        <w:rPr>
          <w:rFonts w:eastAsia="Times New Roman"/>
          <w:color w:val="000000"/>
          <w:sz w:val="20"/>
          <w:szCs w:val="20"/>
        </w:rPr>
        <w:t>•</w:t>
      </w:r>
      <w:r>
        <w:rPr>
          <w:rFonts w:eastAsia="Times New Roman"/>
          <w:color w:val="000000"/>
          <w:sz w:val="20"/>
          <w:szCs w:val="20"/>
        </w:rPr>
        <w:t>Net outflows of $373 million were $193 million higher than in the six months ended</w:t>
      </w:r>
      <w:r>
        <w:rPr>
          <w:rFonts w:eastAsia="Times New Roman"/>
          <w:color w:val="000000"/>
          <w:sz w:val="20"/>
          <w:szCs w:val="20"/>
        </w:rPr>
        <w:t xml:space="preserve"> June 30, 2020, mainly driven by $1.6 billion of outflows on our older fixed-rate GMxB block, partially offset by $1.3 billion of inflows on our newer, less capital-intensive products</w:t>
      </w:r>
      <w:r>
        <w:rPr>
          <w:rFonts w:eastAsia="Times New Roman"/>
          <w:color w:val="000000"/>
          <w:sz w:val="20"/>
          <w:szCs w:val="20"/>
        </w:rPr>
        <w:t>.</w:t>
      </w:r>
    </w:p>
    <w:p w:rsidR="00000000" w:rsidRDefault="00775A8F">
      <w:pPr>
        <w:divId w:val="1176268176"/>
        <w:rPr>
          <w:rFonts w:eastAsia="Times New Roman"/>
        </w:rPr>
      </w:pPr>
      <w:r>
        <w:rPr>
          <w:rFonts w:eastAsia="Times New Roman"/>
          <w:b/>
          <w:bCs/>
          <w:color w:val="000000"/>
          <w:sz w:val="20"/>
          <w:szCs w:val="20"/>
        </w:rPr>
        <w:t>Group Retiremen</w:t>
      </w:r>
      <w:r>
        <w:rPr>
          <w:rFonts w:eastAsia="Times New Roman"/>
          <w:b/>
          <w:bCs/>
          <w:color w:val="000000"/>
          <w:sz w:val="20"/>
          <w:szCs w:val="20"/>
        </w:rPr>
        <w:t>t</w:t>
      </w:r>
    </w:p>
    <w:p w:rsidR="00000000" w:rsidRDefault="00775A8F">
      <w:pPr>
        <w:ind w:firstLine="360"/>
        <w:divId w:val="1683433161"/>
        <w:rPr>
          <w:rFonts w:eastAsia="Times New Roman"/>
        </w:rPr>
      </w:pPr>
      <w:r>
        <w:rPr>
          <w:rFonts w:eastAsia="Times New Roman"/>
          <w:color w:val="000000"/>
          <w:sz w:val="20"/>
          <w:szCs w:val="20"/>
        </w:rPr>
        <w:t>The Group Retirement segment offers tax-deferred inves</w:t>
      </w:r>
      <w:r>
        <w:rPr>
          <w:rFonts w:eastAsia="Times New Roman"/>
          <w:color w:val="000000"/>
          <w:sz w:val="20"/>
          <w:szCs w:val="20"/>
        </w:rPr>
        <w:t>tment and retirement services or products to plans sponsored by educational entities, municipalities and not-for-profit entities, as well as small and medium-sized businesses</w:t>
      </w:r>
      <w:r>
        <w:rPr>
          <w:rFonts w:eastAsia="Times New Roman"/>
          <w:color w:val="000000"/>
          <w:sz w:val="20"/>
          <w:szCs w:val="20"/>
        </w:rPr>
        <w:t>.</w:t>
      </w:r>
    </w:p>
    <w:p w:rsidR="00000000" w:rsidRDefault="00775A8F">
      <w:pPr>
        <w:ind w:firstLine="360"/>
        <w:divId w:val="1854294901"/>
        <w:rPr>
          <w:rFonts w:eastAsia="Times New Roman"/>
        </w:rPr>
      </w:pPr>
      <w:r>
        <w:rPr>
          <w:rFonts w:eastAsia="Times New Roman"/>
          <w:color w:val="000000"/>
          <w:sz w:val="20"/>
          <w:szCs w:val="20"/>
        </w:rPr>
        <w:t>The following table summarizes Operating earnings of our Group Retirement segmen</w:t>
      </w:r>
      <w:r>
        <w:rPr>
          <w:rFonts w:eastAsia="Times New Roman"/>
          <w:color w:val="000000"/>
          <w:sz w:val="20"/>
          <w:szCs w:val="20"/>
        </w:rPr>
        <w:t>t for the periods presented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189"/>
        <w:gridCol w:w="36"/>
        <w:gridCol w:w="135"/>
        <w:gridCol w:w="589"/>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572540201"/>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572540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572540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7254020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72540201"/>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Operating earning</w:t>
            </w:r>
            <w:r>
              <w:rPr>
                <w:rFonts w:eastAsia="Times New Roman"/>
                <w:b/>
                <w:bCs/>
                <w:color w:val="000000"/>
                <w:sz w:val="20"/>
                <w:szCs w:val="20"/>
              </w:rPr>
              <w:t>s</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90</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196</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646201184"/>
        <w:rPr>
          <w:rFonts w:eastAsia="Times New Roman"/>
        </w:rPr>
      </w:pPr>
      <w:r>
        <w:rPr>
          <w:rFonts w:eastAsia="Times New Roman"/>
          <w:color w:val="000000"/>
          <w:sz w:val="20"/>
          <w:szCs w:val="20"/>
        </w:rPr>
        <w:t>Key components of Operating earnings are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188"/>
        <w:gridCol w:w="37"/>
        <w:gridCol w:w="135"/>
        <w:gridCol w:w="588"/>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301611089"/>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30161108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30161108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301611089"/>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 charges, fee income and premium</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service fees and other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revenue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BENEFITS AND OTHER DEDUCTION</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Policyholders’ benefit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credited to policyholders’ account balance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Commissions and distribution-related payment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Amortization of 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Compensa</w:t>
            </w:r>
            <w:r>
              <w:rPr>
                <w:rFonts w:eastAsia="Times New Roman"/>
                <w:color w:val="000000"/>
                <w:sz w:val="20"/>
                <w:szCs w:val="20"/>
              </w:rPr>
              <w:t>tion, benefits and 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30161108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benefits and other deduction</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1642882422"/>
        <w:rPr>
          <w:rFonts w:eastAsia="Times New Roman"/>
        </w:rPr>
      </w:pPr>
      <w:r>
        <w:rPr>
          <w:rFonts w:eastAsia="Times New Roman"/>
          <w:color w:val="000000"/>
          <w:sz w:val="20"/>
          <w:szCs w:val="20"/>
        </w:rPr>
        <w:t>The following table summarizes AV for our Group Retirement segment as of the dates indicated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7"/>
        <w:gridCol w:w="5385"/>
        <w:gridCol w:w="48"/>
        <w:gridCol w:w="135"/>
        <w:gridCol w:w="929"/>
        <w:gridCol w:w="85"/>
        <w:gridCol w:w="36"/>
        <w:gridCol w:w="36"/>
        <w:gridCol w:w="36"/>
        <w:gridCol w:w="135"/>
        <w:gridCol w:w="904"/>
        <w:gridCol w:w="85"/>
        <w:gridCol w:w="36"/>
        <w:gridCol w:w="36"/>
        <w:gridCol w:w="36"/>
        <w:gridCol w:w="36"/>
        <w:gridCol w:w="36"/>
        <w:gridCol w:w="36"/>
        <w:gridCol w:w="36"/>
        <w:gridCol w:w="36"/>
        <w:gridCol w:w="36"/>
        <w:gridCol w:w="36"/>
        <w:gridCol w:w="36"/>
        <w:gridCol w:w="36"/>
      </w:tblGrid>
      <w:tr w:rsidR="00000000">
        <w:trPr>
          <w:gridAfter w:val="6"/>
          <w:divId w:val="574047625"/>
        </w:trPr>
        <w:tc>
          <w:tcPr>
            <w:tcW w:w="50" w:type="pct"/>
            <w:vAlign w:val="center"/>
            <w:hideMark/>
          </w:tcPr>
          <w:p w:rsidR="00000000" w:rsidRDefault="00775A8F">
            <w:pPr>
              <w:ind w:firstLine="360"/>
              <w:rPr>
                <w:rFonts w:eastAsia="Times New Roman"/>
              </w:rPr>
            </w:pPr>
          </w:p>
        </w:tc>
        <w:tc>
          <w:tcPr>
            <w:tcW w:w="34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404762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57404762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404762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57404762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w:t>
            </w:r>
            <w:r>
              <w:rPr>
                <w:rFonts w:eastAsia="Times New Roman"/>
                <w:b/>
                <w:bCs/>
                <w:color w:val="000000"/>
                <w:sz w:val="20"/>
                <w:szCs w:val="20"/>
              </w:rPr>
              <w:t>V</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404762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General Accoun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12,420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12,071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404762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Separate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24,670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25,809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574047625"/>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b/>
                <w:bCs/>
                <w:color w:val="000000"/>
                <w:sz w:val="20"/>
                <w:szCs w:val="20"/>
              </w:rPr>
              <w:t>Total A</w:t>
            </w:r>
            <w:r>
              <w:rPr>
                <w:rFonts w:eastAsia="Times New Roman"/>
                <w:b/>
                <w:bCs/>
                <w:color w:val="000000"/>
                <w:sz w:val="20"/>
                <w:szCs w:val="20"/>
              </w:rPr>
              <w:t>V</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37,090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37,880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840698717"/>
        <w:rPr>
          <w:rFonts w:eastAsia="Times New Roman"/>
        </w:rPr>
      </w:pPr>
      <w:r>
        <w:rPr>
          <w:rFonts w:eastAsia="Times New Roman"/>
          <w:color w:val="000000"/>
          <w:sz w:val="20"/>
          <w:szCs w:val="20"/>
        </w:rPr>
        <w:t>8</w:t>
      </w:r>
      <w:r>
        <w:rPr>
          <w:rFonts w:eastAsia="Times New Roman"/>
          <w:color w:val="000000"/>
          <w:sz w:val="20"/>
          <w:szCs w:val="20"/>
        </w:rPr>
        <w:t>4</w:t>
      </w:r>
    </w:p>
    <w:p w:rsidR="00000000" w:rsidRDefault="00775A8F">
      <w:pPr>
        <w:rPr>
          <w:rFonts w:eastAsia="Times New Roman"/>
        </w:rPr>
      </w:pPr>
      <w:r>
        <w:rPr>
          <w:rFonts w:eastAsia="Times New Roman"/>
        </w:rPr>
        <w:pict>
          <v:rect id="_x0000_i1110" style="width:0;height:1.5pt" o:hralign="center" o:hrstd="t" o:hr="t" fillcolor="#a0a0a0" stroked="f"/>
        </w:pict>
      </w:r>
    </w:p>
    <w:p w:rsidR="00000000" w:rsidRDefault="00775A8F">
      <w:pPr>
        <w:divId w:val="242180037"/>
        <w:rPr>
          <w:rFonts w:eastAsia="Times New Roman"/>
        </w:rPr>
      </w:pPr>
    </w:p>
    <w:p w:rsidR="00000000" w:rsidRDefault="00775A8F">
      <w:pPr>
        <w:ind w:firstLine="360"/>
        <w:divId w:val="465317251"/>
        <w:rPr>
          <w:rFonts w:eastAsia="Times New Roman"/>
        </w:rPr>
      </w:pPr>
      <w:r>
        <w:rPr>
          <w:rFonts w:eastAsia="Times New Roman"/>
          <w:color w:val="000000"/>
          <w:sz w:val="20"/>
          <w:szCs w:val="20"/>
        </w:rPr>
        <w:t>The following table summarizes a roll-forward of AV for our Group Retirement segment for the periods indicated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4059"/>
        <w:gridCol w:w="39"/>
        <w:gridCol w:w="135"/>
        <w:gridCol w:w="615"/>
        <w:gridCol w:w="85"/>
        <w:gridCol w:w="36"/>
        <w:gridCol w:w="36"/>
        <w:gridCol w:w="36"/>
        <w:gridCol w:w="135"/>
        <w:gridCol w:w="615"/>
        <w:gridCol w:w="85"/>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818620799"/>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81862079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81862079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1862079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818620799"/>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as of beginning of perio</w:t>
            </w:r>
            <w:r>
              <w:rPr>
                <w:rFonts w:eastAsia="Times New Roman"/>
                <w:b/>
                <w:bCs/>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33,148</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35,077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37,880</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32,401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18620799"/>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Gross premium</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796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1,721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18620799"/>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Surrenders, withdrawals and benefit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(580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(746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(1,377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(1,479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1862079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Net flow</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344</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18620799"/>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Investment performance, interest credited and policy charge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3,726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(1,134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3,385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81862079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as of end of perio</w:t>
            </w:r>
            <w:r>
              <w:rPr>
                <w:rFonts w:eastAsia="Times New Roman"/>
                <w:b/>
                <w:bCs/>
                <w:color w:val="000000"/>
                <w:sz w:val="20"/>
                <w:szCs w:val="20"/>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37,090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36,057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37,090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36,057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83861087"/>
        <w:rPr>
          <w:rFonts w:eastAsia="Times New Roman"/>
        </w:rPr>
      </w:pPr>
    </w:p>
    <w:p w:rsidR="00000000" w:rsidRDefault="00775A8F">
      <w:pPr>
        <w:divId w:val="229272654"/>
        <w:rPr>
          <w:rFonts w:eastAsia="Times New Roman"/>
        </w:rPr>
      </w:pPr>
      <w:r>
        <w:rPr>
          <w:rFonts w:eastAsia="Times New Roman"/>
          <w:b/>
          <w:bCs/>
          <w:color w:val="000000"/>
          <w:sz w:val="20"/>
          <w:szCs w:val="20"/>
        </w:rPr>
        <w:t>Three Months Ended June 30, 2020 Compared to the Three Months Ended June 30, 2019 for the Group Retirement Segmen</w:t>
      </w:r>
      <w:r>
        <w:rPr>
          <w:rFonts w:eastAsia="Times New Roman"/>
          <w:b/>
          <w:bCs/>
          <w:color w:val="000000"/>
          <w:sz w:val="20"/>
          <w:szCs w:val="20"/>
        </w:rPr>
        <w:t>t</w:t>
      </w:r>
    </w:p>
    <w:p w:rsidR="00000000" w:rsidRDefault="00775A8F">
      <w:pPr>
        <w:jc w:val="both"/>
        <w:divId w:val="123086546"/>
        <w:rPr>
          <w:rFonts w:eastAsia="Times New Roman"/>
        </w:rPr>
      </w:pPr>
      <w:r>
        <w:rPr>
          <w:rFonts w:eastAsia="Times New Roman"/>
          <w:b/>
          <w:bCs/>
          <w:i/>
          <w:iCs/>
          <w:color w:val="000000"/>
          <w:sz w:val="20"/>
          <w:szCs w:val="20"/>
        </w:rPr>
        <w:t>Operating earning</w:t>
      </w:r>
      <w:r>
        <w:rPr>
          <w:rFonts w:eastAsia="Times New Roman"/>
          <w:b/>
          <w:bCs/>
          <w:i/>
          <w:iCs/>
          <w:color w:val="000000"/>
          <w:sz w:val="20"/>
          <w:szCs w:val="20"/>
        </w:rPr>
        <w:t>s</w:t>
      </w:r>
    </w:p>
    <w:p w:rsidR="00000000" w:rsidRDefault="00775A8F">
      <w:pPr>
        <w:ind w:firstLine="360"/>
        <w:divId w:val="1213426285"/>
        <w:rPr>
          <w:rFonts w:eastAsia="Times New Roman"/>
        </w:rPr>
      </w:pPr>
      <w:r>
        <w:rPr>
          <w:rFonts w:eastAsia="Times New Roman"/>
          <w:color w:val="000000"/>
          <w:sz w:val="20"/>
          <w:szCs w:val="20"/>
        </w:rPr>
        <w:t>Operating earnings decreased $5 million to $90 million duri</w:t>
      </w:r>
      <w:r>
        <w:rPr>
          <w:rFonts w:eastAsia="Times New Roman"/>
          <w:color w:val="000000"/>
          <w:sz w:val="20"/>
          <w:szCs w:val="20"/>
        </w:rPr>
        <w:t>ng the three months ended June 30, 2020 from $95 million in the three months ended June 30, 2019. The decrease is primarily attributable to the following</w:t>
      </w:r>
      <w:r>
        <w:rPr>
          <w:rFonts w:eastAsia="Times New Roman"/>
          <w:color w:val="000000"/>
          <w:sz w:val="20"/>
          <w:szCs w:val="20"/>
        </w:rPr>
        <w:t>:</w:t>
      </w:r>
    </w:p>
    <w:p w:rsidR="00000000" w:rsidRDefault="00775A8F">
      <w:pPr>
        <w:ind w:hanging="360"/>
        <w:jc w:val="both"/>
        <w:divId w:val="115371979"/>
        <w:rPr>
          <w:rFonts w:eastAsia="Times New Roman"/>
        </w:rPr>
      </w:pPr>
      <w:r>
        <w:rPr>
          <w:rFonts w:eastAsia="Times New Roman"/>
          <w:color w:val="000000"/>
          <w:sz w:val="20"/>
          <w:szCs w:val="20"/>
        </w:rPr>
        <w:t>•</w:t>
      </w:r>
      <w:r>
        <w:rPr>
          <w:rFonts w:eastAsia="Times New Roman"/>
          <w:color w:val="000000"/>
          <w:sz w:val="20"/>
          <w:szCs w:val="20"/>
        </w:rPr>
        <w:t>Net investment income decreased $23 million due to losses on our alternative investment portfolio, p</w:t>
      </w:r>
      <w:r>
        <w:rPr>
          <w:rFonts w:eastAsia="Times New Roman"/>
          <w:color w:val="000000"/>
          <w:sz w:val="20"/>
          <w:szCs w:val="20"/>
        </w:rPr>
        <w:t>artially offset by the General Account investment portfolio optimization</w:t>
      </w:r>
      <w:r>
        <w:rPr>
          <w:rFonts w:eastAsia="Times New Roman"/>
          <w:color w:val="000000"/>
          <w:sz w:val="20"/>
          <w:szCs w:val="20"/>
        </w:rPr>
        <w:t>.</w:t>
      </w:r>
    </w:p>
    <w:p w:rsidR="00000000" w:rsidRDefault="00775A8F">
      <w:pPr>
        <w:ind w:hanging="360"/>
        <w:divId w:val="1714227315"/>
        <w:rPr>
          <w:rFonts w:eastAsia="Times New Roman"/>
        </w:rPr>
      </w:pPr>
      <w:r>
        <w:rPr>
          <w:rFonts w:eastAsia="Times New Roman"/>
          <w:color w:val="000000"/>
          <w:sz w:val="20"/>
          <w:szCs w:val="20"/>
        </w:rPr>
        <w:t>•</w:t>
      </w:r>
      <w:r>
        <w:rPr>
          <w:rFonts w:eastAsia="Times New Roman"/>
          <w:color w:val="000000"/>
          <w:sz w:val="20"/>
          <w:szCs w:val="20"/>
        </w:rPr>
        <w:t>Fee-type revenues decreased $4 million due to lower average Separate Accounts AV reflecting the March equity markets decline</w:t>
      </w:r>
      <w:r>
        <w:rPr>
          <w:rFonts w:eastAsia="Times New Roman"/>
          <w:color w:val="000000"/>
          <w:sz w:val="20"/>
          <w:szCs w:val="20"/>
        </w:rPr>
        <w:t>.</w:t>
      </w:r>
    </w:p>
    <w:p w:rsidR="00000000" w:rsidRDefault="00775A8F">
      <w:pPr>
        <w:ind w:firstLine="360"/>
        <w:divId w:val="457072005"/>
        <w:rPr>
          <w:rFonts w:eastAsia="Times New Roman"/>
        </w:rPr>
      </w:pPr>
      <w:r>
        <w:rPr>
          <w:rFonts w:eastAsia="Times New Roman"/>
          <w:color w:val="000000"/>
          <w:sz w:val="20"/>
          <w:szCs w:val="20"/>
        </w:rPr>
        <w:t>The decrease was partially offset by the following</w:t>
      </w:r>
      <w:r>
        <w:rPr>
          <w:rFonts w:eastAsia="Times New Roman"/>
          <w:color w:val="000000"/>
          <w:sz w:val="20"/>
          <w:szCs w:val="20"/>
        </w:rPr>
        <w:t>:</w:t>
      </w:r>
    </w:p>
    <w:p w:rsidR="00000000" w:rsidRDefault="00775A8F">
      <w:pPr>
        <w:ind w:hanging="360"/>
        <w:jc w:val="both"/>
        <w:divId w:val="1840659785"/>
        <w:rPr>
          <w:rFonts w:eastAsia="Times New Roman"/>
        </w:rPr>
      </w:pPr>
      <w:r>
        <w:rPr>
          <w:rFonts w:eastAsia="Times New Roman"/>
          <w:color w:val="000000"/>
          <w:sz w:val="20"/>
          <w:szCs w:val="20"/>
        </w:rPr>
        <w:t>•</w:t>
      </w:r>
      <w:r>
        <w:rPr>
          <w:rFonts w:eastAsia="Times New Roman"/>
          <w:color w:val="000000"/>
          <w:sz w:val="20"/>
          <w:szCs w:val="20"/>
        </w:rPr>
        <w:t>Amortization of DAC decreased $8 million due to lower crediting rates</w:t>
      </w:r>
      <w:r>
        <w:rPr>
          <w:rFonts w:eastAsia="Times New Roman"/>
          <w:color w:val="000000"/>
          <w:sz w:val="20"/>
          <w:szCs w:val="20"/>
        </w:rPr>
        <w:t>.</w:t>
      </w:r>
    </w:p>
    <w:p w:rsidR="00000000" w:rsidRDefault="00775A8F">
      <w:pPr>
        <w:ind w:hanging="360"/>
        <w:jc w:val="both"/>
        <w:divId w:val="560866363"/>
        <w:rPr>
          <w:rFonts w:eastAsia="Times New Roman"/>
        </w:rPr>
      </w:pPr>
      <w:r>
        <w:rPr>
          <w:rFonts w:eastAsia="Times New Roman"/>
          <w:color w:val="000000"/>
          <w:sz w:val="20"/>
          <w:szCs w:val="20"/>
        </w:rPr>
        <w:t>•</w:t>
      </w:r>
      <w:r>
        <w:rPr>
          <w:rFonts w:eastAsia="Times New Roman"/>
          <w:color w:val="000000"/>
          <w:sz w:val="20"/>
          <w:szCs w:val="20"/>
        </w:rPr>
        <w:t>Compensation benefits and other operating expenses decreased $7 million due to productivity initiatives and COVID-19 related expens</w:t>
      </w:r>
      <w:r>
        <w:rPr>
          <w:rFonts w:eastAsia="Times New Roman"/>
          <w:color w:val="000000"/>
          <w:sz w:val="20"/>
          <w:szCs w:val="20"/>
        </w:rPr>
        <w:t>e saves</w:t>
      </w:r>
      <w:r>
        <w:rPr>
          <w:rFonts w:eastAsia="Times New Roman"/>
          <w:color w:val="000000"/>
          <w:sz w:val="20"/>
          <w:szCs w:val="20"/>
        </w:rPr>
        <w:t>.</w:t>
      </w:r>
    </w:p>
    <w:p w:rsidR="00000000" w:rsidRDefault="00775A8F">
      <w:pPr>
        <w:ind w:hanging="360"/>
        <w:divId w:val="2101875711"/>
        <w:rPr>
          <w:rFonts w:eastAsia="Times New Roman"/>
        </w:rPr>
      </w:pPr>
      <w:r>
        <w:rPr>
          <w:rFonts w:eastAsia="Times New Roman"/>
          <w:color w:val="000000"/>
          <w:sz w:val="20"/>
          <w:szCs w:val="20"/>
        </w:rPr>
        <w:t>•</w:t>
      </w:r>
      <w:r>
        <w:rPr>
          <w:rFonts w:eastAsia="Times New Roman"/>
          <w:color w:val="000000"/>
          <w:sz w:val="20"/>
          <w:szCs w:val="20"/>
        </w:rPr>
        <w:t>Net derivative gains increased $6 million due to inflation related hedging gains</w:t>
      </w:r>
      <w:r>
        <w:rPr>
          <w:rFonts w:eastAsia="Times New Roman"/>
          <w:color w:val="000000"/>
          <w:sz w:val="20"/>
          <w:szCs w:val="20"/>
        </w:rPr>
        <w:t>.</w:t>
      </w:r>
    </w:p>
    <w:p w:rsidR="00000000" w:rsidRDefault="00775A8F">
      <w:pPr>
        <w:jc w:val="both"/>
        <w:divId w:val="415631913"/>
        <w:rPr>
          <w:rFonts w:eastAsia="Times New Roman"/>
        </w:rPr>
      </w:pPr>
      <w:r>
        <w:rPr>
          <w:rFonts w:eastAsia="Times New Roman"/>
          <w:b/>
          <w:bCs/>
          <w:i/>
          <w:iCs/>
          <w:color w:val="000000"/>
          <w:sz w:val="20"/>
          <w:szCs w:val="20"/>
        </w:rPr>
        <w:t>Net Flows and A</w:t>
      </w:r>
      <w:r>
        <w:rPr>
          <w:rFonts w:eastAsia="Times New Roman"/>
          <w:b/>
          <w:bCs/>
          <w:i/>
          <w:iCs/>
          <w:color w:val="000000"/>
          <w:sz w:val="20"/>
          <w:szCs w:val="20"/>
        </w:rPr>
        <w:t>V</w:t>
      </w:r>
    </w:p>
    <w:p w:rsidR="00000000" w:rsidRDefault="00775A8F">
      <w:pPr>
        <w:ind w:hanging="360"/>
        <w:jc w:val="both"/>
        <w:divId w:val="1316033180"/>
        <w:rPr>
          <w:rFonts w:eastAsia="Times New Roman"/>
        </w:rPr>
      </w:pPr>
      <w:r>
        <w:rPr>
          <w:rFonts w:eastAsia="Times New Roman"/>
          <w:color w:val="000000"/>
          <w:sz w:val="20"/>
          <w:szCs w:val="20"/>
        </w:rPr>
        <w:t>•</w:t>
      </w:r>
      <w:r>
        <w:rPr>
          <w:rFonts w:eastAsia="Times New Roman"/>
          <w:color w:val="000000"/>
          <w:sz w:val="20"/>
          <w:szCs w:val="20"/>
        </w:rPr>
        <w:t>The increase in AV of $3.9 billion in the three months ended June 30, 2020 was driven by recovering equity markets $3.7 billion, and by net inflow</w:t>
      </w:r>
      <w:r>
        <w:rPr>
          <w:rFonts w:eastAsia="Times New Roman"/>
          <w:color w:val="000000"/>
          <w:sz w:val="20"/>
          <w:szCs w:val="20"/>
        </w:rPr>
        <w:t>s of $216 million</w:t>
      </w:r>
      <w:r>
        <w:rPr>
          <w:rFonts w:eastAsia="Times New Roman"/>
          <w:color w:val="000000"/>
          <w:sz w:val="20"/>
          <w:szCs w:val="20"/>
        </w:rPr>
        <w:t>.</w:t>
      </w:r>
    </w:p>
    <w:p w:rsidR="00000000" w:rsidRDefault="00775A8F">
      <w:pPr>
        <w:ind w:hanging="360"/>
        <w:divId w:val="86392872"/>
        <w:rPr>
          <w:rFonts w:eastAsia="Times New Roman"/>
        </w:rPr>
      </w:pPr>
      <w:r>
        <w:rPr>
          <w:rFonts w:eastAsia="Times New Roman"/>
          <w:color w:val="000000"/>
          <w:sz w:val="20"/>
          <w:szCs w:val="20"/>
        </w:rPr>
        <w:t>•</w:t>
      </w:r>
      <w:r>
        <w:rPr>
          <w:rFonts w:eastAsia="Times New Roman"/>
          <w:color w:val="000000"/>
          <w:sz w:val="20"/>
          <w:szCs w:val="20"/>
        </w:rPr>
        <w:t>Net inflows of $216 million increased $52 million, driven by lower surrenders and strong renewals, reflecting continuous client engagement</w:t>
      </w:r>
      <w:r>
        <w:rPr>
          <w:rFonts w:eastAsia="Times New Roman"/>
          <w:color w:val="000000"/>
          <w:sz w:val="20"/>
          <w:szCs w:val="20"/>
        </w:rPr>
        <w:t>.</w:t>
      </w:r>
    </w:p>
    <w:p w:rsidR="00000000" w:rsidRDefault="00775A8F">
      <w:pPr>
        <w:divId w:val="1690137207"/>
        <w:rPr>
          <w:rFonts w:eastAsia="Times New Roman"/>
        </w:rPr>
      </w:pPr>
      <w:r>
        <w:rPr>
          <w:rFonts w:eastAsia="Times New Roman"/>
          <w:b/>
          <w:bCs/>
          <w:color w:val="000000"/>
          <w:sz w:val="20"/>
          <w:szCs w:val="20"/>
        </w:rPr>
        <w:t>Six Months Ended June 30, 2020 Compared to the Six Months Ended June 30, 2019 for the Group Reti</w:t>
      </w:r>
      <w:r>
        <w:rPr>
          <w:rFonts w:eastAsia="Times New Roman"/>
          <w:b/>
          <w:bCs/>
          <w:color w:val="000000"/>
          <w:sz w:val="20"/>
          <w:szCs w:val="20"/>
        </w:rPr>
        <w:t>rement Segmen</w:t>
      </w:r>
      <w:r>
        <w:rPr>
          <w:rFonts w:eastAsia="Times New Roman"/>
          <w:b/>
          <w:bCs/>
          <w:color w:val="000000"/>
          <w:sz w:val="20"/>
          <w:szCs w:val="20"/>
        </w:rPr>
        <w:t>t</w:t>
      </w:r>
    </w:p>
    <w:p w:rsidR="00000000" w:rsidRDefault="00775A8F">
      <w:pPr>
        <w:jc w:val="both"/>
        <w:divId w:val="1660571719"/>
        <w:rPr>
          <w:rFonts w:eastAsia="Times New Roman"/>
        </w:rPr>
      </w:pPr>
      <w:r>
        <w:rPr>
          <w:rFonts w:eastAsia="Times New Roman"/>
          <w:b/>
          <w:bCs/>
          <w:i/>
          <w:iCs/>
          <w:color w:val="000000"/>
          <w:sz w:val="20"/>
          <w:szCs w:val="20"/>
        </w:rPr>
        <w:t>Operating earning</w:t>
      </w:r>
      <w:r>
        <w:rPr>
          <w:rFonts w:eastAsia="Times New Roman"/>
          <w:b/>
          <w:bCs/>
          <w:i/>
          <w:iCs/>
          <w:color w:val="000000"/>
          <w:sz w:val="20"/>
          <w:szCs w:val="20"/>
        </w:rPr>
        <w:t>s</w:t>
      </w:r>
    </w:p>
    <w:p w:rsidR="00000000" w:rsidRDefault="00775A8F">
      <w:pPr>
        <w:ind w:firstLine="360"/>
        <w:divId w:val="1264607999"/>
        <w:rPr>
          <w:rFonts w:eastAsia="Times New Roman"/>
        </w:rPr>
      </w:pPr>
      <w:r>
        <w:rPr>
          <w:rFonts w:eastAsia="Times New Roman"/>
          <w:color w:val="000000"/>
          <w:sz w:val="20"/>
          <w:szCs w:val="20"/>
        </w:rPr>
        <w:t>Operating earnings increased $20 million to $196 million during the six months ended June 30, 2020 from $176 million in the six months ended June 30, 2019. The increase is primarily attributable to the following:</w:t>
      </w:r>
      <w:r>
        <w:rPr>
          <w:rFonts w:eastAsia="Times New Roman"/>
          <w:color w:val="000000"/>
          <w:sz w:val="20"/>
          <w:szCs w:val="20"/>
        </w:rPr>
        <w:t xml:space="preserve"> </w:t>
      </w:r>
    </w:p>
    <w:p w:rsidR="00000000" w:rsidRDefault="00775A8F">
      <w:pPr>
        <w:ind w:hanging="360"/>
        <w:jc w:val="both"/>
        <w:divId w:val="115409974"/>
        <w:rPr>
          <w:rFonts w:eastAsia="Times New Roman"/>
        </w:rPr>
      </w:pPr>
      <w:r>
        <w:rPr>
          <w:rFonts w:eastAsia="Times New Roman"/>
          <w:color w:val="000000"/>
          <w:sz w:val="20"/>
          <w:szCs w:val="20"/>
        </w:rPr>
        <w:t>•</w:t>
      </w:r>
      <w:r>
        <w:rPr>
          <w:rFonts w:eastAsia="Times New Roman"/>
          <w:color w:val="000000"/>
          <w:sz w:val="20"/>
          <w:szCs w:val="20"/>
        </w:rPr>
        <w:t>Compens</w:t>
      </w:r>
      <w:r>
        <w:rPr>
          <w:rFonts w:eastAsia="Times New Roman"/>
          <w:color w:val="000000"/>
          <w:sz w:val="20"/>
          <w:szCs w:val="20"/>
        </w:rPr>
        <w:t>ation benefits and other operating expenses decreased $13 million due to productivity initiatives and COVID-19 related expense saves</w:t>
      </w:r>
      <w:r>
        <w:rPr>
          <w:rFonts w:eastAsia="Times New Roman"/>
          <w:color w:val="000000"/>
          <w:sz w:val="20"/>
          <w:szCs w:val="20"/>
        </w:rPr>
        <w:t>.</w:t>
      </w:r>
    </w:p>
    <w:p w:rsidR="00000000" w:rsidRDefault="00775A8F">
      <w:pPr>
        <w:ind w:hanging="360"/>
        <w:jc w:val="both"/>
        <w:divId w:val="443119343"/>
        <w:rPr>
          <w:rFonts w:eastAsia="Times New Roman"/>
        </w:rPr>
      </w:pPr>
      <w:r>
        <w:rPr>
          <w:rFonts w:eastAsia="Times New Roman"/>
          <w:color w:val="000000"/>
          <w:sz w:val="20"/>
          <w:szCs w:val="20"/>
        </w:rPr>
        <w:t>•</w:t>
      </w:r>
      <w:r>
        <w:rPr>
          <w:rFonts w:eastAsia="Times New Roman"/>
          <w:color w:val="000000"/>
          <w:sz w:val="20"/>
          <w:szCs w:val="20"/>
        </w:rPr>
        <w:t>Amortization of DAC decreased $8 million due to lower crediting rates</w:t>
      </w:r>
      <w:r>
        <w:rPr>
          <w:rFonts w:eastAsia="Times New Roman"/>
          <w:color w:val="000000"/>
          <w:sz w:val="20"/>
          <w:szCs w:val="20"/>
        </w:rPr>
        <w:t>.</w:t>
      </w:r>
    </w:p>
    <w:p w:rsidR="00000000" w:rsidRDefault="00775A8F">
      <w:pPr>
        <w:ind w:hanging="360"/>
        <w:jc w:val="both"/>
        <w:divId w:val="1466774745"/>
        <w:rPr>
          <w:rFonts w:eastAsia="Times New Roman"/>
        </w:rPr>
      </w:pPr>
      <w:r>
        <w:rPr>
          <w:rFonts w:eastAsia="Times New Roman"/>
          <w:color w:val="000000"/>
          <w:sz w:val="20"/>
          <w:szCs w:val="20"/>
        </w:rPr>
        <w:t>•</w:t>
      </w:r>
      <w:r>
        <w:rPr>
          <w:rFonts w:eastAsia="Times New Roman"/>
          <w:color w:val="000000"/>
          <w:sz w:val="20"/>
          <w:szCs w:val="20"/>
        </w:rPr>
        <w:t>Fee-type revenues increased $6 million due to hig</w:t>
      </w:r>
      <w:r>
        <w:rPr>
          <w:rFonts w:eastAsia="Times New Roman"/>
          <w:color w:val="000000"/>
          <w:sz w:val="20"/>
          <w:szCs w:val="20"/>
        </w:rPr>
        <w:t>her average Separate Account AV</w:t>
      </w:r>
      <w:r>
        <w:rPr>
          <w:rFonts w:eastAsia="Times New Roman"/>
          <w:color w:val="000000"/>
          <w:sz w:val="20"/>
          <w:szCs w:val="20"/>
        </w:rPr>
        <w:t>.</w:t>
      </w:r>
    </w:p>
    <w:p w:rsidR="00000000" w:rsidRDefault="00775A8F">
      <w:pPr>
        <w:ind w:hanging="360"/>
        <w:divId w:val="1991520535"/>
        <w:rPr>
          <w:rFonts w:eastAsia="Times New Roman"/>
        </w:rPr>
      </w:pPr>
      <w:r>
        <w:rPr>
          <w:rFonts w:eastAsia="Times New Roman"/>
          <w:color w:val="000000"/>
          <w:sz w:val="20"/>
          <w:szCs w:val="20"/>
        </w:rPr>
        <w:t>•</w:t>
      </w:r>
      <w:r>
        <w:rPr>
          <w:rFonts w:eastAsia="Times New Roman"/>
          <w:color w:val="000000"/>
          <w:sz w:val="20"/>
          <w:szCs w:val="20"/>
        </w:rPr>
        <w:t>Net investment income increased $2 million due to higher asset balances and our General Account investment portfolio optimization</w:t>
      </w:r>
      <w:r>
        <w:rPr>
          <w:rFonts w:eastAsia="Times New Roman"/>
          <w:color w:val="000000"/>
          <w:sz w:val="20"/>
          <w:szCs w:val="20"/>
        </w:rPr>
        <w:t>.</w:t>
      </w:r>
    </w:p>
    <w:p w:rsidR="00000000" w:rsidRDefault="00775A8F">
      <w:pPr>
        <w:ind w:firstLine="360"/>
        <w:divId w:val="1148285297"/>
        <w:rPr>
          <w:rFonts w:eastAsia="Times New Roman"/>
        </w:rPr>
      </w:pPr>
      <w:r>
        <w:rPr>
          <w:rFonts w:eastAsia="Times New Roman"/>
          <w:color w:val="000000"/>
          <w:sz w:val="20"/>
          <w:szCs w:val="20"/>
        </w:rPr>
        <w:t>The increase was partially offset by the following</w:t>
      </w:r>
      <w:r>
        <w:rPr>
          <w:rFonts w:eastAsia="Times New Roman"/>
          <w:color w:val="000000"/>
          <w:sz w:val="20"/>
          <w:szCs w:val="20"/>
        </w:rPr>
        <w:t>:</w:t>
      </w:r>
    </w:p>
    <w:p w:rsidR="00000000" w:rsidRDefault="00775A8F">
      <w:pPr>
        <w:ind w:hanging="360"/>
        <w:jc w:val="both"/>
        <w:divId w:val="596521826"/>
        <w:rPr>
          <w:rFonts w:eastAsia="Times New Roman"/>
        </w:rPr>
      </w:pPr>
      <w:r>
        <w:rPr>
          <w:rFonts w:eastAsia="Times New Roman"/>
          <w:color w:val="000000"/>
          <w:sz w:val="20"/>
          <w:szCs w:val="20"/>
        </w:rPr>
        <w:t>•</w:t>
      </w:r>
      <w:r>
        <w:rPr>
          <w:rFonts w:eastAsia="Times New Roman"/>
          <w:color w:val="000000"/>
          <w:sz w:val="20"/>
          <w:szCs w:val="20"/>
        </w:rPr>
        <w:t>Commissions and distribution related p</w:t>
      </w:r>
      <w:r>
        <w:rPr>
          <w:rFonts w:eastAsia="Times New Roman"/>
          <w:color w:val="000000"/>
          <w:sz w:val="20"/>
          <w:szCs w:val="20"/>
        </w:rPr>
        <w:t>ayments increased $3 million due to higher asset base</w:t>
      </w:r>
      <w:r>
        <w:rPr>
          <w:rFonts w:eastAsia="Times New Roman"/>
          <w:color w:val="000000"/>
          <w:sz w:val="20"/>
          <w:szCs w:val="20"/>
        </w:rPr>
        <w:t>.</w:t>
      </w:r>
    </w:p>
    <w:p w:rsidR="00000000" w:rsidRDefault="00775A8F">
      <w:pPr>
        <w:jc w:val="center"/>
        <w:divId w:val="1036321303"/>
        <w:rPr>
          <w:rFonts w:eastAsia="Times New Roman"/>
        </w:rPr>
      </w:pPr>
      <w:r>
        <w:rPr>
          <w:rFonts w:eastAsia="Times New Roman"/>
          <w:color w:val="000000"/>
          <w:sz w:val="20"/>
          <w:szCs w:val="20"/>
        </w:rPr>
        <w:t>8</w:t>
      </w:r>
      <w:r>
        <w:rPr>
          <w:rFonts w:eastAsia="Times New Roman"/>
          <w:color w:val="000000"/>
          <w:sz w:val="20"/>
          <w:szCs w:val="20"/>
        </w:rPr>
        <w:t>5</w:t>
      </w:r>
    </w:p>
    <w:p w:rsidR="00000000" w:rsidRDefault="00775A8F">
      <w:pPr>
        <w:rPr>
          <w:rFonts w:eastAsia="Times New Roman"/>
        </w:rPr>
      </w:pPr>
      <w:r>
        <w:rPr>
          <w:rFonts w:eastAsia="Times New Roman"/>
        </w:rPr>
        <w:pict>
          <v:rect id="_x0000_i1111" style="width:0;height:1.5pt" o:hralign="center" o:hrstd="t" o:hr="t" fillcolor="#a0a0a0" stroked="f"/>
        </w:pict>
      </w:r>
    </w:p>
    <w:p w:rsidR="00000000" w:rsidRDefault="00775A8F">
      <w:pPr>
        <w:divId w:val="1640450068"/>
        <w:rPr>
          <w:rFonts w:eastAsia="Times New Roman"/>
        </w:rPr>
      </w:pPr>
    </w:p>
    <w:p w:rsidR="00000000" w:rsidRDefault="00775A8F">
      <w:pPr>
        <w:ind w:hanging="360"/>
        <w:jc w:val="both"/>
        <w:divId w:val="1228682428"/>
        <w:rPr>
          <w:rFonts w:eastAsia="Times New Roman"/>
        </w:rPr>
      </w:pPr>
      <w:r>
        <w:rPr>
          <w:rFonts w:eastAsia="Times New Roman"/>
          <w:color w:val="000000"/>
          <w:sz w:val="20"/>
          <w:szCs w:val="20"/>
        </w:rPr>
        <w:t>•</w:t>
      </w:r>
      <w:r>
        <w:rPr>
          <w:rFonts w:eastAsia="Times New Roman"/>
          <w:color w:val="000000"/>
          <w:sz w:val="20"/>
          <w:szCs w:val="20"/>
        </w:rPr>
        <w:t>Interest credited to policyholders’ account balances increased $2 million due to AV growth, partially offset by lower crediting rates</w:t>
      </w:r>
      <w:r>
        <w:rPr>
          <w:rFonts w:eastAsia="Times New Roman"/>
          <w:color w:val="000000"/>
          <w:sz w:val="20"/>
          <w:szCs w:val="20"/>
        </w:rPr>
        <w:t>.</w:t>
      </w:r>
    </w:p>
    <w:p w:rsidR="00000000" w:rsidRDefault="00775A8F">
      <w:pPr>
        <w:ind w:hanging="360"/>
        <w:divId w:val="638150783"/>
        <w:rPr>
          <w:rFonts w:eastAsia="Times New Roman"/>
        </w:rPr>
      </w:pPr>
      <w:r>
        <w:rPr>
          <w:rFonts w:eastAsia="Times New Roman"/>
          <w:color w:val="000000"/>
          <w:sz w:val="20"/>
          <w:szCs w:val="20"/>
        </w:rPr>
        <w:t>•</w:t>
      </w:r>
      <w:r>
        <w:rPr>
          <w:rFonts w:eastAsia="Times New Roman"/>
          <w:color w:val="000000"/>
          <w:sz w:val="20"/>
          <w:szCs w:val="20"/>
        </w:rPr>
        <w:t>Income tax expense incr</w:t>
      </w:r>
      <w:r>
        <w:rPr>
          <w:rFonts w:eastAsia="Times New Roman"/>
          <w:color w:val="000000"/>
          <w:sz w:val="20"/>
          <w:szCs w:val="20"/>
        </w:rPr>
        <w:t>eased by $6 million primarily due to higher pre-tax earnings</w:t>
      </w:r>
      <w:r>
        <w:rPr>
          <w:rFonts w:eastAsia="Times New Roman"/>
          <w:color w:val="000000"/>
          <w:sz w:val="20"/>
          <w:szCs w:val="20"/>
        </w:rPr>
        <w:t>.</w:t>
      </w:r>
    </w:p>
    <w:p w:rsidR="00000000" w:rsidRDefault="00775A8F">
      <w:pPr>
        <w:jc w:val="both"/>
        <w:divId w:val="52318940"/>
        <w:rPr>
          <w:rFonts w:eastAsia="Times New Roman"/>
        </w:rPr>
      </w:pPr>
      <w:r>
        <w:rPr>
          <w:rFonts w:eastAsia="Times New Roman"/>
          <w:b/>
          <w:bCs/>
          <w:i/>
          <w:iCs/>
          <w:color w:val="000000"/>
          <w:sz w:val="20"/>
          <w:szCs w:val="20"/>
        </w:rPr>
        <w:t>Net Flows and A</w:t>
      </w:r>
      <w:r>
        <w:rPr>
          <w:rFonts w:eastAsia="Times New Roman"/>
          <w:b/>
          <w:bCs/>
          <w:i/>
          <w:iCs/>
          <w:color w:val="000000"/>
          <w:sz w:val="20"/>
          <w:szCs w:val="20"/>
        </w:rPr>
        <w:t>V</w:t>
      </w:r>
    </w:p>
    <w:p w:rsidR="00000000" w:rsidRDefault="00775A8F">
      <w:pPr>
        <w:ind w:hanging="360"/>
        <w:divId w:val="1408529751"/>
        <w:rPr>
          <w:rFonts w:eastAsia="Times New Roman"/>
        </w:rPr>
      </w:pPr>
      <w:r>
        <w:rPr>
          <w:rFonts w:eastAsia="Times New Roman"/>
          <w:color w:val="000000"/>
          <w:sz w:val="20"/>
          <w:szCs w:val="20"/>
        </w:rPr>
        <w:t>•</w:t>
      </w:r>
      <w:r>
        <w:rPr>
          <w:rFonts w:eastAsia="Times New Roman"/>
          <w:color w:val="000000"/>
          <w:sz w:val="20"/>
          <w:szCs w:val="20"/>
        </w:rPr>
        <w:t xml:space="preserve">The decrease in AV of $790 million in the six months ended June 30, 2020 was primarily due to equity market volatility of $1.1 billion, partially offset by net inflows of $344 </w:t>
      </w:r>
      <w:r>
        <w:rPr>
          <w:rFonts w:eastAsia="Times New Roman"/>
          <w:color w:val="000000"/>
          <w:sz w:val="20"/>
          <w:szCs w:val="20"/>
        </w:rPr>
        <w:t>million</w:t>
      </w:r>
      <w:r>
        <w:rPr>
          <w:rFonts w:eastAsia="Times New Roman"/>
          <w:color w:val="000000"/>
          <w:sz w:val="20"/>
          <w:szCs w:val="20"/>
        </w:rPr>
        <w:t>.</w:t>
      </w:r>
    </w:p>
    <w:p w:rsidR="00000000" w:rsidRDefault="00775A8F">
      <w:pPr>
        <w:ind w:hanging="360"/>
        <w:divId w:val="851843583"/>
        <w:rPr>
          <w:rFonts w:eastAsia="Times New Roman"/>
        </w:rPr>
      </w:pPr>
      <w:r>
        <w:rPr>
          <w:rFonts w:eastAsia="Times New Roman"/>
          <w:color w:val="000000"/>
          <w:sz w:val="20"/>
          <w:szCs w:val="20"/>
        </w:rPr>
        <w:t>•</w:t>
      </w:r>
      <w:r>
        <w:rPr>
          <w:rFonts w:eastAsia="Times New Roman"/>
          <w:color w:val="000000"/>
          <w:sz w:val="20"/>
          <w:szCs w:val="20"/>
        </w:rPr>
        <w:t>Net inflows of $344 million increased $73 million, driven by lower surrenders and strong renewals, reflecting continuous client engagement</w:t>
      </w:r>
      <w:r>
        <w:rPr>
          <w:rFonts w:eastAsia="Times New Roman"/>
          <w:color w:val="000000"/>
          <w:sz w:val="20"/>
          <w:szCs w:val="20"/>
        </w:rPr>
        <w:t>.</w:t>
      </w:r>
    </w:p>
    <w:p w:rsidR="00000000" w:rsidRDefault="00775A8F">
      <w:pPr>
        <w:divId w:val="1481775262"/>
        <w:rPr>
          <w:rFonts w:eastAsia="Times New Roman"/>
        </w:rPr>
      </w:pPr>
      <w:r>
        <w:rPr>
          <w:rFonts w:eastAsia="Times New Roman"/>
          <w:b/>
          <w:bCs/>
          <w:color w:val="000000"/>
          <w:sz w:val="20"/>
          <w:szCs w:val="20"/>
        </w:rPr>
        <w:t>Investment Management and Researc</w:t>
      </w:r>
      <w:r>
        <w:rPr>
          <w:rFonts w:eastAsia="Times New Roman"/>
          <w:b/>
          <w:bCs/>
          <w:color w:val="000000"/>
          <w:sz w:val="20"/>
          <w:szCs w:val="20"/>
        </w:rPr>
        <w:t>h</w:t>
      </w:r>
    </w:p>
    <w:p w:rsidR="00000000" w:rsidRDefault="00775A8F">
      <w:pPr>
        <w:ind w:firstLine="360"/>
        <w:divId w:val="13463044"/>
        <w:rPr>
          <w:rFonts w:eastAsia="Times New Roman"/>
        </w:rPr>
      </w:pPr>
      <w:r>
        <w:rPr>
          <w:rFonts w:eastAsia="Times New Roman"/>
          <w:color w:val="000000"/>
          <w:sz w:val="20"/>
          <w:szCs w:val="20"/>
        </w:rPr>
        <w:t>The Investment Management and Research segment provides diversified investment management, research and related services to a broad range of clients around the world. Operating earnings (loss), net of tax, presented here represents our economic interest in</w:t>
      </w:r>
      <w:r>
        <w:rPr>
          <w:rFonts w:eastAsia="Times New Roman"/>
          <w:color w:val="000000"/>
          <w:sz w:val="20"/>
          <w:szCs w:val="20"/>
        </w:rPr>
        <w:t xml:space="preserve"> AB of approximately 65% and 65% during three and six months ended June 30, 2020 and 2019 respectively</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189"/>
        <w:gridCol w:w="36"/>
        <w:gridCol w:w="135"/>
        <w:gridCol w:w="589"/>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03621902"/>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0362190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0362190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62190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0362190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Operating earning</w:t>
            </w:r>
            <w:r>
              <w:rPr>
                <w:rFonts w:eastAsia="Times New Roman"/>
                <w:b/>
                <w:bCs/>
                <w:color w:val="000000"/>
                <w:sz w:val="20"/>
                <w:szCs w:val="20"/>
              </w:rPr>
              <w:t>s</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92</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187</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157</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541021498"/>
        <w:rPr>
          <w:rFonts w:eastAsia="Times New Roman"/>
        </w:rPr>
      </w:pPr>
      <w:r>
        <w:rPr>
          <w:rFonts w:eastAsia="Times New Roman"/>
          <w:color w:val="000000"/>
          <w:sz w:val="20"/>
          <w:szCs w:val="20"/>
        </w:rPr>
        <w:t>Key components of Operating earnings are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188"/>
        <w:gridCol w:w="37"/>
        <w:gridCol w:w="135"/>
        <w:gridCol w:w="588"/>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7705433"/>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770543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770543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incom</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service fees and other 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revenue</w:t>
            </w:r>
            <w:r>
              <w:rPr>
                <w:rFonts w:eastAsia="Times New Roman"/>
                <w:b/>
                <w:bCs/>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844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1,628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BENEFITS AND OTHER DEDUCTION</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Commissions and distribution related payment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Compensation, benefits and 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1,081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705433"/>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benefits and other deduction</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1,351</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1,285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2118713864"/>
        <w:rPr>
          <w:rFonts w:eastAsia="Times New Roman"/>
        </w:rPr>
      </w:pPr>
    </w:p>
    <w:p w:rsidR="00000000" w:rsidRDefault="00775A8F">
      <w:pPr>
        <w:ind w:firstLine="360"/>
        <w:divId w:val="1835991885"/>
        <w:rPr>
          <w:rFonts w:eastAsia="Times New Roman"/>
        </w:rPr>
      </w:pPr>
      <w:r>
        <w:rPr>
          <w:rFonts w:eastAsia="Times New Roman"/>
          <w:color w:val="000000"/>
          <w:sz w:val="20"/>
          <w:szCs w:val="20"/>
        </w:rPr>
        <w:t>Changes in AUM in the Investment Management and Research segment for the per</w:t>
      </w:r>
      <w:r>
        <w:rPr>
          <w:rFonts w:eastAsia="Times New Roman"/>
          <w:color w:val="000000"/>
          <w:sz w:val="20"/>
          <w:szCs w:val="20"/>
        </w:rPr>
        <w:t>iods presented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5"/>
        <w:gridCol w:w="4099"/>
        <w:gridCol w:w="45"/>
        <w:gridCol w:w="135"/>
        <w:gridCol w:w="560"/>
        <w:gridCol w:w="85"/>
        <w:gridCol w:w="36"/>
        <w:gridCol w:w="36"/>
        <w:gridCol w:w="36"/>
        <w:gridCol w:w="135"/>
        <w:gridCol w:w="585"/>
        <w:gridCol w:w="85"/>
        <w:gridCol w:w="36"/>
        <w:gridCol w:w="36"/>
        <w:gridCol w:w="36"/>
        <w:gridCol w:w="135"/>
        <w:gridCol w:w="585"/>
        <w:gridCol w:w="85"/>
        <w:gridCol w:w="36"/>
        <w:gridCol w:w="36"/>
        <w:gridCol w:w="36"/>
        <w:gridCol w:w="135"/>
        <w:gridCol w:w="53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658575993"/>
        </w:trPr>
        <w:tc>
          <w:tcPr>
            <w:tcW w:w="50" w:type="pct"/>
            <w:vAlign w:val="center"/>
            <w:hideMark/>
          </w:tcPr>
          <w:p w:rsidR="00000000" w:rsidRDefault="00775A8F">
            <w:pPr>
              <w:ind w:firstLine="360"/>
              <w:rPr>
                <w:rFonts w:eastAsia="Times New Roman"/>
              </w:rPr>
            </w:pPr>
          </w:p>
        </w:tc>
        <w:tc>
          <w:tcPr>
            <w:tcW w:w="272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65857599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658575993"/>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tcMar>
              <w:top w:w="30" w:type="dxa"/>
              <w:left w:w="20" w:type="dxa"/>
              <w:bottom w:w="30" w:type="dxa"/>
              <w:right w:w="20" w:type="dxa"/>
            </w:tcMar>
            <w:vAlign w:val="bottom"/>
            <w:hideMark/>
          </w:tcPr>
          <w:p w:rsidR="00000000" w:rsidRDefault="00775A8F">
            <w:pPr>
              <w:divId w:val="910384359"/>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billions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58575993"/>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as of beginning of perio</w:t>
            </w:r>
            <w:r>
              <w:rPr>
                <w:rFonts w:eastAsia="Times New Roman"/>
                <w:b/>
                <w:bCs/>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541.8</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554.7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622.9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516.4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Long-term flow</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Sales/new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Redemptions/termination</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(64.1</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Cash flow/unreinvested dividend</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Net long-term (outflows) inflow</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Acquisitio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AUM adjustment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Market appreciation (depreciation</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58575993"/>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chang</w:t>
            </w:r>
            <w:r>
              <w:rPr>
                <w:rFonts w:eastAsia="Times New Roman"/>
                <w:color w:val="000000"/>
                <w:sz w:val="20"/>
                <w:szCs w:val="20"/>
              </w:rPr>
              <w:t>e</w:t>
            </w: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58.2</w:t>
            </w:r>
            <w:r>
              <w:rPr>
                <w:rFonts w:eastAsia="Times New Roman"/>
                <w:b/>
                <w:bCs/>
                <w:color w:val="000000"/>
                <w:sz w:val="20"/>
                <w:szCs w:val="20"/>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26.1</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(22.9</w:t>
            </w: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64.4</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681055429"/>
        <w:rPr>
          <w:rFonts w:eastAsia="Times New Roman"/>
        </w:rPr>
      </w:pPr>
      <w:r>
        <w:rPr>
          <w:rFonts w:eastAsia="Times New Roman"/>
          <w:color w:val="000000"/>
          <w:sz w:val="20"/>
          <w:szCs w:val="20"/>
        </w:rPr>
        <w:t>8</w:t>
      </w:r>
      <w:r>
        <w:rPr>
          <w:rFonts w:eastAsia="Times New Roman"/>
          <w:color w:val="000000"/>
          <w:sz w:val="20"/>
          <w:szCs w:val="20"/>
        </w:rPr>
        <w:t>6</w:t>
      </w:r>
    </w:p>
    <w:p w:rsidR="00000000" w:rsidRDefault="00775A8F">
      <w:pPr>
        <w:rPr>
          <w:rFonts w:eastAsia="Times New Roman"/>
        </w:rPr>
      </w:pPr>
      <w:r>
        <w:rPr>
          <w:rFonts w:eastAsia="Times New Roman"/>
        </w:rPr>
        <w:pict>
          <v:rect id="_x0000_i1112" style="width:0;height:1.5pt" o:hralign="center" o:hrstd="t" o:hr="t" fillcolor="#a0a0a0" stroked="f"/>
        </w:pict>
      </w:r>
    </w:p>
    <w:p w:rsidR="00000000" w:rsidRDefault="00775A8F">
      <w:pPr>
        <w:divId w:val="101103298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107"/>
        <w:gridCol w:w="36"/>
        <w:gridCol w:w="135"/>
        <w:gridCol w:w="569"/>
        <w:gridCol w:w="85"/>
        <w:gridCol w:w="36"/>
        <w:gridCol w:w="36"/>
        <w:gridCol w:w="36"/>
        <w:gridCol w:w="135"/>
        <w:gridCol w:w="585"/>
        <w:gridCol w:w="85"/>
        <w:gridCol w:w="36"/>
        <w:gridCol w:w="36"/>
        <w:gridCol w:w="36"/>
        <w:gridCol w:w="135"/>
        <w:gridCol w:w="585"/>
        <w:gridCol w:w="85"/>
        <w:gridCol w:w="36"/>
        <w:gridCol w:w="36"/>
        <w:gridCol w:w="36"/>
        <w:gridCol w:w="135"/>
        <w:gridCol w:w="535"/>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378626576"/>
        </w:trPr>
        <w:tc>
          <w:tcPr>
            <w:tcW w:w="50" w:type="pct"/>
            <w:vAlign w:val="center"/>
            <w:hideMark/>
          </w:tcPr>
          <w:p w:rsidR="00000000" w:rsidRDefault="00775A8F">
            <w:pPr>
              <w:rPr>
                <w:rFonts w:eastAsia="Times New Roman"/>
              </w:rPr>
            </w:pPr>
          </w:p>
        </w:tc>
        <w:tc>
          <w:tcPr>
            <w:tcW w:w="272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37862657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37862657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78626576"/>
        </w:trPr>
        <w:tc>
          <w:tcPr>
            <w:tcW w:w="0" w:type="auto"/>
            <w:gridSpan w:val="3"/>
            <w:tcMar>
              <w:top w:w="30" w:type="dxa"/>
              <w:left w:w="20" w:type="dxa"/>
              <w:bottom w:w="30" w:type="dxa"/>
              <w:right w:w="20" w:type="dxa"/>
            </w:tcMar>
            <w:vAlign w:val="bottom"/>
            <w:hideMark/>
          </w:tcPr>
          <w:p w:rsidR="00000000" w:rsidRDefault="00775A8F">
            <w:pPr>
              <w:divId w:val="1677683701"/>
              <w:rPr>
                <w:rFonts w:eastAsia="Times New Roman"/>
              </w:rPr>
            </w:pPr>
            <w:r>
              <w:rPr>
                <w:rFonts w:eastAsia="Times New Roman"/>
                <w:b/>
                <w:bCs/>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billions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37862657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Balance as of end of perio</w:t>
            </w:r>
            <w:r>
              <w:rPr>
                <w:rFonts w:eastAsia="Times New Roman"/>
                <w:b/>
                <w:bCs/>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600.0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600.0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580.8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763454859"/>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787436192"/>
        <w:rPr>
          <w:rFonts w:eastAsia="Times New Roman"/>
        </w:rPr>
      </w:pPr>
      <w:r>
        <w:rPr>
          <w:rFonts w:eastAsia="Times New Roman"/>
          <w:color w:val="000000"/>
          <w:sz w:val="18"/>
          <w:szCs w:val="18"/>
        </w:rPr>
        <w:t xml:space="preserve">(1) Approximately $900 million of non-investment management fee earning </w:t>
      </w:r>
      <w:r>
        <w:rPr>
          <w:rFonts w:eastAsia="Times New Roman"/>
          <w:color w:val="000000"/>
          <w:sz w:val="18"/>
          <w:szCs w:val="18"/>
        </w:rPr>
        <w:t>taxable and tax-exempt money market assets were removed from assets under management during the second quarter of 2019</w:t>
      </w:r>
      <w:r>
        <w:rPr>
          <w:rFonts w:eastAsia="Times New Roman"/>
          <w:color w:val="000000"/>
          <w:sz w:val="18"/>
          <w:szCs w:val="18"/>
        </w:rPr>
        <w:t>.</w:t>
      </w:r>
    </w:p>
    <w:p w:rsidR="00000000" w:rsidRDefault="00775A8F">
      <w:pPr>
        <w:divId w:val="1486553498"/>
        <w:rPr>
          <w:rFonts w:eastAsia="Times New Roman"/>
        </w:rPr>
      </w:pPr>
    </w:p>
    <w:p w:rsidR="00000000" w:rsidRDefault="00775A8F">
      <w:pPr>
        <w:ind w:firstLine="360"/>
        <w:divId w:val="1953903697"/>
        <w:rPr>
          <w:rFonts w:eastAsia="Times New Roman"/>
        </w:rPr>
      </w:pPr>
      <w:r>
        <w:rPr>
          <w:rFonts w:eastAsia="Times New Roman"/>
          <w:color w:val="000000"/>
          <w:sz w:val="20"/>
          <w:szCs w:val="20"/>
        </w:rPr>
        <w:t>Average AUM in the Investment Management and Research segment for the periods presented by distribution channel and investment service</w:t>
      </w:r>
      <w:r>
        <w:rPr>
          <w:rFonts w:eastAsia="Times New Roman"/>
          <w:color w:val="000000"/>
          <w:sz w:val="20"/>
          <w:szCs w:val="20"/>
        </w:rPr>
        <w:t>s were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3389"/>
        <w:gridCol w:w="37"/>
        <w:gridCol w:w="135"/>
        <w:gridCol w:w="746"/>
        <w:gridCol w:w="85"/>
        <w:gridCol w:w="36"/>
        <w:gridCol w:w="36"/>
        <w:gridCol w:w="36"/>
        <w:gridCol w:w="135"/>
        <w:gridCol w:w="765"/>
        <w:gridCol w:w="85"/>
        <w:gridCol w:w="36"/>
        <w:gridCol w:w="36"/>
        <w:gridCol w:w="36"/>
        <w:gridCol w:w="135"/>
        <w:gridCol w:w="765"/>
        <w:gridCol w:w="85"/>
        <w:gridCol w:w="36"/>
        <w:gridCol w:w="36"/>
        <w:gridCol w:w="36"/>
        <w:gridCol w:w="135"/>
        <w:gridCol w:w="714"/>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917906352"/>
        </w:trPr>
        <w:tc>
          <w:tcPr>
            <w:tcW w:w="50" w:type="pct"/>
            <w:vAlign w:val="center"/>
            <w:hideMark/>
          </w:tcPr>
          <w:p w:rsidR="00000000" w:rsidRDefault="00775A8F">
            <w:pPr>
              <w:ind w:firstLine="360"/>
              <w:rPr>
                <w:rFonts w:eastAsia="Times New Roman"/>
              </w:rPr>
            </w:pPr>
          </w:p>
        </w:tc>
        <w:tc>
          <w:tcPr>
            <w:tcW w:w="226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3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917906352"/>
        </w:trPr>
        <w:tc>
          <w:tcPr>
            <w:tcW w:w="0" w:type="auto"/>
            <w:gridSpan w:val="3"/>
            <w:tcMar>
              <w:top w:w="30" w:type="dxa"/>
              <w:left w:w="20" w:type="dxa"/>
              <w:bottom w:w="30" w:type="dxa"/>
              <w:right w:w="20" w:type="dxa"/>
            </w:tcMar>
            <w:vAlign w:val="bottom"/>
            <w:hideMark/>
          </w:tcPr>
          <w:p w:rsidR="00000000" w:rsidRDefault="00775A8F">
            <w:pPr>
              <w:divId w:val="782649417"/>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917906352"/>
        </w:trPr>
        <w:tc>
          <w:tcPr>
            <w:tcW w:w="0" w:type="auto"/>
            <w:gridSpan w:val="3"/>
            <w:tcMar>
              <w:top w:w="30" w:type="dxa"/>
              <w:left w:w="20" w:type="dxa"/>
              <w:bottom w:w="30" w:type="dxa"/>
              <w:right w:w="20" w:type="dxa"/>
            </w:tcMar>
            <w:vAlign w:val="bottom"/>
            <w:hideMark/>
          </w:tcPr>
          <w:p w:rsidR="00000000" w:rsidRDefault="00775A8F">
            <w:pPr>
              <w:divId w:val="627006733"/>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billions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917906352"/>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i/>
                <w:iCs/>
                <w:color w:val="000000"/>
                <w:sz w:val="20"/>
                <w:szCs w:val="20"/>
              </w:rPr>
              <w:t>Distribution Channel</w:t>
            </w:r>
            <w:r>
              <w:rPr>
                <w:rFonts w:eastAsia="Times New Roman"/>
                <w:b/>
                <w:bCs/>
                <w:i/>
                <w:i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Institution</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276.6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225.8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200.1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Private Wealth Managemen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94.8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578.5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565.9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597.2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Height w:val="24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i/>
                <w:iCs/>
                <w:color w:val="000000"/>
                <w:sz w:val="20"/>
                <w:szCs w:val="20"/>
              </w:rPr>
              <w:t>Investment Service</w:t>
            </w:r>
            <w:r>
              <w:rPr>
                <w:rFonts w:eastAsia="Times New Roman"/>
                <w:b/>
                <w:bCs/>
                <w:i/>
                <w:i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Equity Actively Manage</w:t>
            </w:r>
            <w:r>
              <w:rPr>
                <w:rFonts w:eastAsia="Times New Roman"/>
                <w:color w:val="000000"/>
                <w:sz w:val="20"/>
                <w:szCs w:val="20"/>
              </w:rPr>
              <w:t>d</w:t>
            </w: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160.5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165.7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Equity Passively Managed (1</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51.7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54.5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Fixed Income Actively Managed – Taxabl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244.9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252.9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Fixed Income Actively Managed – Tax-exemp</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46.1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47.1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Fixed Income Passively Managed (1</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10.2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9.8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Other (2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775A8F">
            <w:pPr>
              <w:jc w:val="right"/>
              <w:rPr>
                <w:rFonts w:eastAsia="Times New Roman"/>
              </w:rPr>
            </w:pPr>
            <w:r>
              <w:rPr>
                <w:rFonts w:eastAsia="Times New Roman"/>
                <w:b/>
                <w:bCs/>
                <w:color w:val="000000"/>
                <w:sz w:val="20"/>
                <w:szCs w:val="20"/>
              </w:rPr>
              <w:t>67.2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790635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578.5</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565.9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597.2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730885602"/>
        <w:rPr>
          <w:rFonts w:eastAsia="Times New Roman"/>
        </w:rPr>
      </w:pPr>
      <w:r>
        <w:rPr>
          <w:rFonts w:eastAsia="Times New Roman"/>
          <w:color w:val="000000"/>
          <w:sz w:val="18"/>
          <w:szCs w:val="18"/>
        </w:rPr>
        <w:t>___  ___________</w:t>
      </w:r>
      <w:r>
        <w:rPr>
          <w:rFonts w:eastAsia="Times New Roman"/>
          <w:color w:val="000000"/>
          <w:sz w:val="18"/>
          <w:szCs w:val="18"/>
        </w:rPr>
        <w:t>_</w:t>
      </w:r>
    </w:p>
    <w:p w:rsidR="00000000" w:rsidRDefault="00775A8F">
      <w:pPr>
        <w:ind w:hanging="540"/>
        <w:divId w:val="518204224"/>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Includes index and enhanced index services</w:t>
      </w:r>
      <w:r>
        <w:rPr>
          <w:rFonts w:eastAsia="Times New Roman"/>
          <w:color w:val="000000"/>
          <w:sz w:val="18"/>
          <w:szCs w:val="18"/>
        </w:rPr>
        <w:t>.</w:t>
      </w:r>
    </w:p>
    <w:p w:rsidR="00000000" w:rsidRDefault="00775A8F">
      <w:pPr>
        <w:ind w:hanging="540"/>
        <w:divId w:val="1232696781"/>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multi-asset solutions and services, and certain alternative investments</w:t>
      </w:r>
      <w:r>
        <w:rPr>
          <w:rFonts w:eastAsia="Times New Roman"/>
          <w:color w:val="000000"/>
          <w:sz w:val="18"/>
          <w:szCs w:val="18"/>
        </w:rPr>
        <w:t>.</w:t>
      </w:r>
    </w:p>
    <w:p w:rsidR="00000000" w:rsidRDefault="00775A8F">
      <w:pPr>
        <w:divId w:val="1612515359"/>
        <w:rPr>
          <w:rFonts w:eastAsia="Times New Roman"/>
        </w:rPr>
      </w:pPr>
      <w:r>
        <w:rPr>
          <w:rFonts w:eastAsia="Times New Roman"/>
          <w:b/>
          <w:bCs/>
          <w:color w:val="000000"/>
          <w:sz w:val="20"/>
          <w:szCs w:val="20"/>
        </w:rPr>
        <w:t>Three Months Ended June 30, 2020 Compared to the Three Months Ended June 30, 2019 for the Investment Management and Research Segmen</w:t>
      </w:r>
      <w:r>
        <w:rPr>
          <w:rFonts w:eastAsia="Times New Roman"/>
          <w:b/>
          <w:bCs/>
          <w:color w:val="000000"/>
          <w:sz w:val="20"/>
          <w:szCs w:val="20"/>
        </w:rPr>
        <w:t>t</w:t>
      </w:r>
    </w:p>
    <w:p w:rsidR="00000000" w:rsidRDefault="00775A8F">
      <w:pPr>
        <w:jc w:val="both"/>
        <w:divId w:val="94711815"/>
        <w:rPr>
          <w:rFonts w:eastAsia="Times New Roman"/>
        </w:rPr>
      </w:pPr>
      <w:r>
        <w:rPr>
          <w:rFonts w:eastAsia="Times New Roman"/>
          <w:b/>
          <w:bCs/>
          <w:i/>
          <w:iCs/>
          <w:color w:val="000000"/>
          <w:sz w:val="20"/>
          <w:szCs w:val="20"/>
          <w:shd w:val="clear" w:color="auto" w:fill="FFFFFF"/>
        </w:rPr>
        <w:t>Operating earnings</w:t>
      </w:r>
    </w:p>
    <w:p w:rsidR="00000000" w:rsidRDefault="00775A8F">
      <w:pPr>
        <w:ind w:firstLine="360"/>
        <w:divId w:val="392504285"/>
        <w:rPr>
          <w:rFonts w:eastAsia="Times New Roman"/>
        </w:rPr>
      </w:pPr>
      <w:r>
        <w:rPr>
          <w:rFonts w:eastAsia="Times New Roman"/>
          <w:color w:val="000000"/>
          <w:sz w:val="20"/>
          <w:szCs w:val="20"/>
          <w:shd w:val="clear" w:color="auto" w:fill="FFFFFF"/>
        </w:rPr>
        <w:t>Operating earnings inc</w:t>
      </w:r>
      <w:r>
        <w:rPr>
          <w:rFonts w:eastAsia="Times New Roman"/>
          <w:color w:val="000000"/>
          <w:sz w:val="20"/>
          <w:szCs w:val="20"/>
          <w:shd w:val="clear" w:color="auto" w:fill="FFFFFF"/>
        </w:rPr>
        <w:t>reased $12 million to $92 million during the three months ended June 30, 2020 from $80 million in three months ended June 30, 2019 primarily attributable to the following:</w:t>
      </w:r>
    </w:p>
    <w:p w:rsidR="00000000" w:rsidRDefault="00775A8F">
      <w:pPr>
        <w:ind w:hanging="360"/>
        <w:jc w:val="both"/>
        <w:divId w:val="1571423710"/>
        <w:rPr>
          <w:rFonts w:eastAsia="Times New Roman"/>
        </w:rPr>
      </w:pPr>
      <w:r>
        <w:rPr>
          <w:rFonts w:eastAsia="Times New Roman"/>
          <w:color w:val="000000"/>
          <w:sz w:val="20"/>
          <w:szCs w:val="20"/>
          <w:shd w:val="clear" w:color="auto" w:fill="FFFFFF"/>
        </w:rPr>
        <w:t>•Compensation, benefits and other operating costs and expenses decreased $24 million</w:t>
      </w:r>
      <w:r>
        <w:rPr>
          <w:rFonts w:eastAsia="Times New Roman"/>
          <w:color w:val="000000"/>
          <w:sz w:val="20"/>
          <w:szCs w:val="20"/>
          <w:shd w:val="clear" w:color="auto" w:fill="FFFFFF"/>
        </w:rPr>
        <w:t xml:space="preserve"> primarily due to lower</w:t>
      </w:r>
      <w:r>
        <w:rPr>
          <w:rFonts w:eastAsia="Times New Roman"/>
          <w:color w:val="000000"/>
          <w:sz w:val="20"/>
          <w:szCs w:val="20"/>
          <w:shd w:val="clear" w:color="auto" w:fill="FFFFFF"/>
        </w:rPr>
        <w:t xml:space="preserve"> </w:t>
      </w:r>
      <w:r>
        <w:rPr>
          <w:rFonts w:eastAsia="Times New Roman"/>
          <w:color w:val="000000"/>
          <w:sz w:val="20"/>
          <w:szCs w:val="20"/>
        </w:rPr>
        <w:t>compensation and COVID-19 related expense saves</w:t>
      </w:r>
      <w:r>
        <w:rPr>
          <w:rFonts w:eastAsia="Times New Roman"/>
          <w:color w:val="000000"/>
          <w:sz w:val="20"/>
          <w:szCs w:val="20"/>
        </w:rPr>
        <w:t>.</w:t>
      </w:r>
    </w:p>
    <w:p w:rsidR="00000000" w:rsidRDefault="00775A8F">
      <w:pPr>
        <w:ind w:hanging="360"/>
        <w:divId w:val="297876175"/>
        <w:rPr>
          <w:rFonts w:eastAsia="Times New Roman"/>
        </w:rPr>
      </w:pPr>
      <w:r>
        <w:rPr>
          <w:rFonts w:eastAsia="Times New Roman"/>
          <w:color w:val="000000"/>
          <w:sz w:val="20"/>
          <w:szCs w:val="20"/>
        </w:rPr>
        <w:t>•</w:t>
      </w:r>
      <w:r>
        <w:rPr>
          <w:rFonts w:eastAsia="Times New Roman"/>
          <w:color w:val="000000"/>
          <w:sz w:val="20"/>
          <w:szCs w:val="20"/>
        </w:rPr>
        <w:t>Net investment income increased $17 million mainly due to gains on seed capital investments, offset by Net derivative losses</w:t>
      </w:r>
      <w:r>
        <w:rPr>
          <w:rFonts w:eastAsia="Times New Roman"/>
          <w:color w:val="000000"/>
          <w:sz w:val="20"/>
          <w:szCs w:val="20"/>
        </w:rPr>
        <w:t>.</w:t>
      </w:r>
    </w:p>
    <w:p w:rsidR="00000000" w:rsidRDefault="00775A8F">
      <w:pPr>
        <w:ind w:firstLine="360"/>
        <w:divId w:val="536622442"/>
        <w:rPr>
          <w:rFonts w:eastAsia="Times New Roman"/>
        </w:rPr>
      </w:pPr>
      <w:r>
        <w:rPr>
          <w:rFonts w:eastAsia="Times New Roman"/>
          <w:color w:val="000000"/>
          <w:sz w:val="20"/>
          <w:szCs w:val="20"/>
        </w:rPr>
        <w:t>The increase was partially offset by the following:</w:t>
      </w:r>
      <w:r>
        <w:rPr>
          <w:rFonts w:eastAsia="Times New Roman"/>
          <w:color w:val="000000"/>
          <w:sz w:val="20"/>
          <w:szCs w:val="20"/>
        </w:rPr>
        <w:t xml:space="preserve"> </w:t>
      </w:r>
    </w:p>
    <w:p w:rsidR="00000000" w:rsidRDefault="00775A8F">
      <w:pPr>
        <w:ind w:hanging="360"/>
        <w:jc w:val="both"/>
        <w:divId w:val="1114134901"/>
        <w:rPr>
          <w:rFonts w:eastAsia="Times New Roman"/>
        </w:rPr>
      </w:pPr>
      <w:r>
        <w:rPr>
          <w:rFonts w:eastAsia="Times New Roman"/>
          <w:color w:val="000000"/>
          <w:sz w:val="20"/>
          <w:szCs w:val="20"/>
        </w:rPr>
        <w:t>•</w:t>
      </w:r>
      <w:r>
        <w:rPr>
          <w:rFonts w:eastAsia="Times New Roman"/>
          <w:color w:val="000000"/>
          <w:sz w:val="20"/>
          <w:szCs w:val="20"/>
        </w:rPr>
        <w:t>Ne</w:t>
      </w:r>
      <w:r>
        <w:rPr>
          <w:rFonts w:eastAsia="Times New Roman"/>
          <w:color w:val="000000"/>
          <w:sz w:val="20"/>
          <w:szCs w:val="20"/>
        </w:rPr>
        <w:t>t derivative gains (losses) decreased $22 million offsetting the increase in Net investment income</w:t>
      </w:r>
      <w:r>
        <w:rPr>
          <w:rFonts w:eastAsia="Times New Roman"/>
          <w:color w:val="000000"/>
          <w:sz w:val="20"/>
          <w:szCs w:val="20"/>
        </w:rPr>
        <w:t>.</w:t>
      </w:r>
    </w:p>
    <w:p w:rsidR="00000000" w:rsidRDefault="00775A8F">
      <w:pPr>
        <w:ind w:hanging="360"/>
        <w:divId w:val="1884050735"/>
        <w:rPr>
          <w:rFonts w:eastAsia="Times New Roman"/>
        </w:rPr>
      </w:pPr>
      <w:r>
        <w:rPr>
          <w:rFonts w:eastAsia="Times New Roman"/>
          <w:color w:val="000000"/>
          <w:sz w:val="20"/>
          <w:szCs w:val="20"/>
        </w:rPr>
        <w:t>•</w:t>
      </w:r>
      <w:r>
        <w:rPr>
          <w:rFonts w:eastAsia="Times New Roman"/>
          <w:color w:val="000000"/>
          <w:sz w:val="20"/>
          <w:szCs w:val="20"/>
        </w:rPr>
        <w:t>Commissions and distribution-related payments increased $10 million due to higher payments to financial intermediaries for the distribution of AB mutual fu</w:t>
      </w:r>
      <w:r>
        <w:rPr>
          <w:rFonts w:eastAsia="Times New Roman"/>
          <w:color w:val="000000"/>
          <w:sz w:val="20"/>
          <w:szCs w:val="20"/>
        </w:rPr>
        <w:t>nds.</w:t>
      </w:r>
      <w:r>
        <w:rPr>
          <w:rFonts w:eastAsia="Times New Roman"/>
          <w:color w:val="000000"/>
          <w:sz w:val="20"/>
          <w:szCs w:val="20"/>
        </w:rPr>
        <w:t xml:space="preserve"> </w:t>
      </w:r>
    </w:p>
    <w:p w:rsidR="00000000" w:rsidRDefault="00775A8F">
      <w:pPr>
        <w:divId w:val="2111701701"/>
        <w:rPr>
          <w:rFonts w:eastAsia="Times New Roman"/>
        </w:rPr>
      </w:pPr>
    </w:p>
    <w:p w:rsidR="00000000" w:rsidRDefault="00775A8F">
      <w:pPr>
        <w:jc w:val="center"/>
        <w:divId w:val="1107853180"/>
        <w:rPr>
          <w:rFonts w:eastAsia="Times New Roman"/>
        </w:rPr>
      </w:pPr>
      <w:r>
        <w:rPr>
          <w:rFonts w:eastAsia="Times New Roman"/>
          <w:color w:val="000000"/>
          <w:sz w:val="20"/>
          <w:szCs w:val="20"/>
        </w:rPr>
        <w:t>8</w:t>
      </w:r>
      <w:r>
        <w:rPr>
          <w:rFonts w:eastAsia="Times New Roman"/>
          <w:color w:val="000000"/>
          <w:sz w:val="20"/>
          <w:szCs w:val="20"/>
        </w:rPr>
        <w:t>7</w:t>
      </w:r>
    </w:p>
    <w:p w:rsidR="00000000" w:rsidRDefault="00775A8F">
      <w:pPr>
        <w:rPr>
          <w:rFonts w:eastAsia="Times New Roman"/>
        </w:rPr>
      </w:pPr>
      <w:r>
        <w:rPr>
          <w:rFonts w:eastAsia="Times New Roman"/>
        </w:rPr>
        <w:pict>
          <v:rect id="_x0000_i1113" style="width:0;height:1.5pt" o:hralign="center" o:hrstd="t" o:hr="t" fillcolor="#a0a0a0" stroked="f"/>
        </w:pict>
      </w:r>
    </w:p>
    <w:p w:rsidR="00000000" w:rsidRDefault="00775A8F">
      <w:pPr>
        <w:divId w:val="903612758"/>
        <w:rPr>
          <w:rFonts w:eastAsia="Times New Roman"/>
        </w:rPr>
      </w:pPr>
    </w:p>
    <w:p w:rsidR="00000000" w:rsidRDefault="00775A8F">
      <w:pPr>
        <w:jc w:val="both"/>
        <w:divId w:val="861165293"/>
        <w:rPr>
          <w:rFonts w:eastAsia="Times New Roman"/>
        </w:rPr>
      </w:pPr>
      <w:r>
        <w:rPr>
          <w:rFonts w:eastAsia="Times New Roman"/>
          <w:b/>
          <w:bCs/>
          <w:i/>
          <w:iCs/>
          <w:color w:val="000000"/>
          <w:sz w:val="20"/>
          <w:szCs w:val="20"/>
          <w:shd w:val="clear" w:color="auto" w:fill="FFFFFF"/>
        </w:rPr>
        <w:t>Long-Term Net Flows and AUM</w:t>
      </w:r>
    </w:p>
    <w:p w:rsidR="00000000" w:rsidRDefault="00775A8F">
      <w:pPr>
        <w:ind w:hanging="360"/>
        <w:divId w:val="1382048081"/>
        <w:rPr>
          <w:rFonts w:eastAsia="Times New Roman"/>
        </w:rPr>
      </w:pPr>
      <w:r>
        <w:rPr>
          <w:rFonts w:eastAsia="Times New Roman"/>
          <w:color w:val="000000"/>
          <w:sz w:val="20"/>
          <w:szCs w:val="20"/>
          <w:shd w:val="clear" w:color="auto" w:fill="FFFFFF"/>
        </w:rPr>
        <w:t xml:space="preserve">•Total AUM as of June 30, 2020 was $600.0 billion, up $58.2 billion, or 10.7%, compared to March 31, 2020. During the second quarter of 2020, AUM increased as a result of market </w:t>
      </w:r>
      <w:r>
        <w:rPr>
          <w:rFonts w:eastAsia="Times New Roman"/>
          <w:color w:val="000000"/>
          <w:sz w:val="20"/>
          <w:szCs w:val="20"/>
          <w:shd w:val="clear" w:color="auto" w:fill="FFFFFF"/>
        </w:rPr>
        <w:t>appreciation of $61.5 billion offset by net outflows of $3.3 billion (primarily due to $7.9 billion outflows from AXA Group, partially offset by Retail net inflows of $3.8 billion).</w:t>
      </w:r>
    </w:p>
    <w:p w:rsidR="00000000" w:rsidRDefault="00775A8F">
      <w:pPr>
        <w:divId w:val="175464741"/>
        <w:rPr>
          <w:rFonts w:eastAsia="Times New Roman"/>
        </w:rPr>
      </w:pPr>
      <w:r>
        <w:rPr>
          <w:rFonts w:eastAsia="Times New Roman"/>
          <w:b/>
          <w:bCs/>
          <w:color w:val="000000"/>
          <w:sz w:val="20"/>
          <w:szCs w:val="20"/>
        </w:rPr>
        <w:t>Six Months Ended June 30, 2020 Compared to the Six Months Ended June 30, 2</w:t>
      </w:r>
      <w:r>
        <w:rPr>
          <w:rFonts w:eastAsia="Times New Roman"/>
          <w:b/>
          <w:bCs/>
          <w:color w:val="000000"/>
          <w:sz w:val="20"/>
          <w:szCs w:val="20"/>
        </w:rPr>
        <w:t>019 for the Investment Management and Research Segmen</w:t>
      </w:r>
      <w:r>
        <w:rPr>
          <w:rFonts w:eastAsia="Times New Roman"/>
          <w:b/>
          <w:bCs/>
          <w:color w:val="000000"/>
          <w:sz w:val="20"/>
          <w:szCs w:val="20"/>
        </w:rPr>
        <w:t>t</w:t>
      </w:r>
    </w:p>
    <w:p w:rsidR="00000000" w:rsidRDefault="00775A8F">
      <w:pPr>
        <w:jc w:val="both"/>
        <w:divId w:val="2026011952"/>
        <w:rPr>
          <w:rFonts w:eastAsia="Times New Roman"/>
        </w:rPr>
      </w:pPr>
      <w:r>
        <w:rPr>
          <w:rFonts w:eastAsia="Times New Roman"/>
          <w:b/>
          <w:bCs/>
          <w:i/>
          <w:iCs/>
          <w:color w:val="000000"/>
          <w:sz w:val="20"/>
          <w:szCs w:val="20"/>
        </w:rPr>
        <w:t>Operating earning</w:t>
      </w:r>
      <w:r>
        <w:rPr>
          <w:rFonts w:eastAsia="Times New Roman"/>
          <w:b/>
          <w:bCs/>
          <w:i/>
          <w:iCs/>
          <w:color w:val="000000"/>
          <w:sz w:val="20"/>
          <w:szCs w:val="20"/>
        </w:rPr>
        <w:t>s</w:t>
      </w:r>
    </w:p>
    <w:p w:rsidR="00000000" w:rsidRDefault="00775A8F">
      <w:pPr>
        <w:ind w:firstLine="360"/>
        <w:divId w:val="1486244358"/>
        <w:rPr>
          <w:rFonts w:eastAsia="Times New Roman"/>
        </w:rPr>
      </w:pPr>
      <w:r>
        <w:rPr>
          <w:rFonts w:eastAsia="Times New Roman"/>
          <w:color w:val="000000"/>
          <w:sz w:val="20"/>
          <w:szCs w:val="20"/>
        </w:rPr>
        <w:t>Operating earnings increased $30 million to $187 million during the six months ended June 30, 2020 from $157 million in six months ended June 30, 2019 primarily attributable to the f</w:t>
      </w:r>
      <w:r>
        <w:rPr>
          <w:rFonts w:eastAsia="Times New Roman"/>
          <w:color w:val="000000"/>
          <w:sz w:val="20"/>
          <w:szCs w:val="20"/>
        </w:rPr>
        <w:t>ollowing</w:t>
      </w:r>
      <w:r>
        <w:rPr>
          <w:rFonts w:eastAsia="Times New Roman"/>
          <w:color w:val="000000"/>
          <w:sz w:val="20"/>
          <w:szCs w:val="20"/>
        </w:rPr>
        <w:t>:</w:t>
      </w:r>
    </w:p>
    <w:p w:rsidR="00000000" w:rsidRDefault="00775A8F">
      <w:pPr>
        <w:ind w:hanging="360"/>
        <w:jc w:val="both"/>
        <w:divId w:val="2034260136"/>
        <w:rPr>
          <w:rFonts w:eastAsia="Times New Roman"/>
        </w:rPr>
      </w:pPr>
      <w:r>
        <w:rPr>
          <w:rFonts w:eastAsia="Times New Roman"/>
          <w:color w:val="000000"/>
          <w:sz w:val="20"/>
          <w:szCs w:val="20"/>
        </w:rPr>
        <w:t>•</w:t>
      </w:r>
      <w:r>
        <w:rPr>
          <w:rFonts w:eastAsia="Times New Roman"/>
          <w:color w:val="000000"/>
          <w:sz w:val="20"/>
          <w:szCs w:val="20"/>
        </w:rPr>
        <w:t>Increase in fee-type revenues of $135 million primarily due to higher base fees driven by higher average AUM, and higher Bernstein Research Services revenues</w:t>
      </w:r>
      <w:r>
        <w:rPr>
          <w:rFonts w:eastAsia="Times New Roman"/>
          <w:color w:val="000000"/>
          <w:sz w:val="20"/>
          <w:szCs w:val="20"/>
        </w:rPr>
        <w:t>.</w:t>
      </w:r>
    </w:p>
    <w:p w:rsidR="00000000" w:rsidRDefault="00775A8F">
      <w:pPr>
        <w:ind w:hanging="360"/>
        <w:divId w:val="966815417"/>
        <w:rPr>
          <w:rFonts w:eastAsia="Times New Roman"/>
        </w:rPr>
      </w:pPr>
      <w:r>
        <w:rPr>
          <w:rFonts w:eastAsia="Times New Roman"/>
          <w:color w:val="000000"/>
          <w:sz w:val="20"/>
          <w:szCs w:val="20"/>
        </w:rPr>
        <w:t>•</w:t>
      </w:r>
      <w:r>
        <w:rPr>
          <w:rFonts w:eastAsia="Times New Roman"/>
          <w:color w:val="000000"/>
          <w:sz w:val="20"/>
          <w:szCs w:val="20"/>
        </w:rPr>
        <w:t>Net derivative gains (losses) increased $28 million partially offsetting the decrease in Net investment income</w:t>
      </w:r>
      <w:r>
        <w:rPr>
          <w:rFonts w:eastAsia="Times New Roman"/>
          <w:color w:val="000000"/>
          <w:sz w:val="20"/>
          <w:szCs w:val="20"/>
        </w:rPr>
        <w:t>.</w:t>
      </w:r>
    </w:p>
    <w:p w:rsidR="00000000" w:rsidRDefault="00775A8F">
      <w:pPr>
        <w:ind w:firstLine="360"/>
        <w:divId w:val="1592546389"/>
        <w:rPr>
          <w:rFonts w:eastAsia="Times New Roman"/>
        </w:rPr>
      </w:pPr>
      <w:r>
        <w:rPr>
          <w:rFonts w:eastAsia="Times New Roman"/>
          <w:color w:val="000000"/>
          <w:sz w:val="20"/>
          <w:szCs w:val="20"/>
        </w:rPr>
        <w:t>The increase was partially offset by the following:</w:t>
      </w:r>
      <w:r>
        <w:rPr>
          <w:rFonts w:eastAsia="Times New Roman"/>
          <w:color w:val="000000"/>
          <w:sz w:val="20"/>
          <w:szCs w:val="20"/>
        </w:rPr>
        <w:t xml:space="preserve"> </w:t>
      </w:r>
    </w:p>
    <w:p w:rsidR="00000000" w:rsidRDefault="00775A8F">
      <w:pPr>
        <w:ind w:hanging="360"/>
        <w:jc w:val="both"/>
        <w:divId w:val="1502894158"/>
        <w:rPr>
          <w:rFonts w:eastAsia="Times New Roman"/>
        </w:rPr>
      </w:pPr>
      <w:r>
        <w:rPr>
          <w:rFonts w:eastAsia="Times New Roman"/>
          <w:color w:val="000000"/>
          <w:sz w:val="20"/>
          <w:szCs w:val="20"/>
        </w:rPr>
        <w:t>•</w:t>
      </w:r>
      <w:r>
        <w:rPr>
          <w:rFonts w:eastAsia="Times New Roman"/>
          <w:color w:val="000000"/>
          <w:sz w:val="20"/>
          <w:szCs w:val="20"/>
        </w:rPr>
        <w:t>Decrease in Net investment income of $40 million mainly due to the seed capital investment</w:t>
      </w:r>
      <w:r>
        <w:rPr>
          <w:rFonts w:eastAsia="Times New Roman"/>
          <w:color w:val="000000"/>
          <w:sz w:val="20"/>
          <w:szCs w:val="20"/>
        </w:rPr>
        <w:t xml:space="preserve"> subject to market risk, offset in Net derivative gains</w:t>
      </w:r>
      <w:r>
        <w:rPr>
          <w:rFonts w:eastAsia="Times New Roman"/>
          <w:color w:val="000000"/>
          <w:sz w:val="20"/>
          <w:szCs w:val="20"/>
        </w:rPr>
        <w:t>.</w:t>
      </w:r>
    </w:p>
    <w:p w:rsidR="00000000" w:rsidRDefault="00775A8F">
      <w:pPr>
        <w:ind w:hanging="360"/>
        <w:jc w:val="both"/>
        <w:divId w:val="1391537210"/>
        <w:rPr>
          <w:rFonts w:eastAsia="Times New Roman"/>
        </w:rPr>
      </w:pPr>
      <w:r>
        <w:rPr>
          <w:rFonts w:eastAsia="Times New Roman"/>
          <w:color w:val="000000"/>
          <w:sz w:val="20"/>
          <w:szCs w:val="20"/>
        </w:rPr>
        <w:t>•</w:t>
      </w:r>
      <w:r>
        <w:rPr>
          <w:rFonts w:eastAsia="Times New Roman"/>
          <w:color w:val="000000"/>
          <w:sz w:val="20"/>
          <w:szCs w:val="20"/>
        </w:rPr>
        <w:t>Commissions and distribution-related payments increased $44 million due to higher payments to financial intermediaries for the distribution of AB mutual funds.</w:t>
      </w:r>
      <w:r>
        <w:rPr>
          <w:rFonts w:eastAsia="Times New Roman"/>
          <w:color w:val="000000"/>
          <w:sz w:val="20"/>
          <w:szCs w:val="20"/>
        </w:rPr>
        <w:t xml:space="preserve"> </w:t>
      </w:r>
    </w:p>
    <w:p w:rsidR="00000000" w:rsidRDefault="00775A8F">
      <w:pPr>
        <w:ind w:hanging="360"/>
        <w:jc w:val="both"/>
        <w:divId w:val="1178958977"/>
        <w:rPr>
          <w:rFonts w:eastAsia="Times New Roman"/>
        </w:rPr>
      </w:pPr>
      <w:r>
        <w:rPr>
          <w:rFonts w:eastAsia="Times New Roman"/>
          <w:color w:val="000000"/>
          <w:sz w:val="20"/>
          <w:szCs w:val="20"/>
        </w:rPr>
        <w:t>•</w:t>
      </w:r>
      <w:r>
        <w:rPr>
          <w:rFonts w:eastAsia="Times New Roman"/>
          <w:color w:val="000000"/>
          <w:sz w:val="20"/>
          <w:szCs w:val="20"/>
        </w:rPr>
        <w:t>Compensation, benefits and other ope</w:t>
      </w:r>
      <w:r>
        <w:rPr>
          <w:rFonts w:eastAsia="Times New Roman"/>
          <w:color w:val="000000"/>
          <w:sz w:val="20"/>
          <w:szCs w:val="20"/>
        </w:rPr>
        <w:t>rating costs and expenses increased $25 million primarily due to higher employee compensation attributed to higher revenues</w:t>
      </w:r>
      <w:r>
        <w:rPr>
          <w:rFonts w:eastAsia="Times New Roman"/>
          <w:color w:val="000000"/>
          <w:sz w:val="20"/>
          <w:szCs w:val="20"/>
        </w:rPr>
        <w:t>.</w:t>
      </w:r>
    </w:p>
    <w:p w:rsidR="00000000" w:rsidRDefault="00775A8F">
      <w:pPr>
        <w:ind w:hanging="360"/>
        <w:jc w:val="both"/>
        <w:divId w:val="145435658"/>
        <w:rPr>
          <w:rFonts w:eastAsia="Times New Roman"/>
        </w:rPr>
      </w:pPr>
      <w:r>
        <w:rPr>
          <w:rFonts w:eastAsia="Times New Roman"/>
          <w:color w:val="000000"/>
          <w:sz w:val="20"/>
          <w:szCs w:val="20"/>
        </w:rPr>
        <w:t>•</w:t>
      </w:r>
      <w:r>
        <w:rPr>
          <w:rFonts w:eastAsia="Times New Roman"/>
          <w:color w:val="000000"/>
          <w:sz w:val="20"/>
          <w:szCs w:val="20"/>
        </w:rPr>
        <w:t>Earnings attributable to the noncontrolling interest increased by $20 million due to higher pre-tax earnings</w:t>
      </w:r>
      <w:r>
        <w:rPr>
          <w:rFonts w:eastAsia="Times New Roman"/>
          <w:color w:val="000000"/>
          <w:sz w:val="20"/>
          <w:szCs w:val="20"/>
        </w:rPr>
        <w:t>.</w:t>
      </w:r>
    </w:p>
    <w:p w:rsidR="00000000" w:rsidRDefault="00775A8F">
      <w:pPr>
        <w:ind w:hanging="360"/>
        <w:divId w:val="36197535"/>
        <w:rPr>
          <w:rFonts w:eastAsia="Times New Roman"/>
        </w:rPr>
      </w:pPr>
      <w:r>
        <w:rPr>
          <w:rFonts w:eastAsia="Times New Roman"/>
          <w:color w:val="000000"/>
          <w:sz w:val="20"/>
          <w:szCs w:val="20"/>
        </w:rPr>
        <w:t>•</w:t>
      </w:r>
      <w:r>
        <w:rPr>
          <w:rFonts w:eastAsia="Times New Roman"/>
          <w:color w:val="000000"/>
          <w:sz w:val="20"/>
          <w:szCs w:val="20"/>
        </w:rPr>
        <w:t>Income tax expense increased $7 million due to higher pre-tax earnings</w:t>
      </w:r>
      <w:r>
        <w:rPr>
          <w:rFonts w:eastAsia="Times New Roman"/>
          <w:color w:val="000000"/>
          <w:sz w:val="20"/>
          <w:szCs w:val="20"/>
        </w:rPr>
        <w:t>.</w:t>
      </w:r>
    </w:p>
    <w:p w:rsidR="00000000" w:rsidRDefault="00775A8F">
      <w:pPr>
        <w:jc w:val="both"/>
        <w:divId w:val="1795246742"/>
        <w:rPr>
          <w:rFonts w:eastAsia="Times New Roman"/>
        </w:rPr>
      </w:pPr>
      <w:r>
        <w:rPr>
          <w:rFonts w:eastAsia="Times New Roman"/>
          <w:b/>
          <w:bCs/>
          <w:i/>
          <w:iCs/>
          <w:color w:val="000000"/>
          <w:sz w:val="20"/>
          <w:szCs w:val="20"/>
        </w:rPr>
        <w:t>Long-Term Net Flows and AU</w:t>
      </w:r>
      <w:r>
        <w:rPr>
          <w:rFonts w:eastAsia="Times New Roman"/>
          <w:b/>
          <w:bCs/>
          <w:i/>
          <w:iCs/>
          <w:color w:val="000000"/>
          <w:sz w:val="20"/>
          <w:szCs w:val="20"/>
        </w:rPr>
        <w:t>M</w:t>
      </w:r>
    </w:p>
    <w:p w:rsidR="00000000" w:rsidRDefault="00775A8F">
      <w:pPr>
        <w:ind w:hanging="360"/>
        <w:divId w:val="1970163991"/>
        <w:rPr>
          <w:rFonts w:eastAsia="Times New Roman"/>
        </w:rPr>
      </w:pPr>
      <w:r>
        <w:rPr>
          <w:rFonts w:eastAsia="Times New Roman"/>
          <w:color w:val="000000"/>
          <w:sz w:val="20"/>
          <w:szCs w:val="20"/>
        </w:rPr>
        <w:t>•</w:t>
      </w:r>
      <w:r>
        <w:rPr>
          <w:rFonts w:eastAsia="Times New Roman"/>
          <w:color w:val="000000"/>
          <w:sz w:val="20"/>
          <w:szCs w:val="20"/>
        </w:rPr>
        <w:t>Total AUM as of June 30, 2020 was $600.0 bil</w:t>
      </w:r>
      <w:r>
        <w:rPr>
          <w:rFonts w:eastAsia="Times New Roman"/>
          <w:color w:val="000000"/>
          <w:sz w:val="20"/>
          <w:szCs w:val="20"/>
        </w:rPr>
        <w:t xml:space="preserve">lion, up $19.2 billion, or 3.3%, compared to June 30, 2019. During the six months ended June 30, 2020, AUM increased as a result of market appreciation of $13.2 billion and net inflows of $5.8 billion (Retail net inflows of $11.0 billion, partially offset </w:t>
      </w:r>
      <w:r>
        <w:rPr>
          <w:rFonts w:eastAsia="Times New Roman"/>
          <w:color w:val="000000"/>
          <w:sz w:val="20"/>
          <w:szCs w:val="20"/>
        </w:rPr>
        <w:t>by Institutional net outflows of $3.1 billion primarily due to $8.9 billion outflows from AXA Group and Private Wealth Management net outflows of $2.1 billion)</w:t>
      </w:r>
      <w:r>
        <w:rPr>
          <w:rFonts w:eastAsia="Times New Roman"/>
          <w:color w:val="000000"/>
          <w:sz w:val="20"/>
          <w:szCs w:val="20"/>
        </w:rPr>
        <w:t>.</w:t>
      </w:r>
    </w:p>
    <w:p w:rsidR="00000000" w:rsidRDefault="00775A8F">
      <w:pPr>
        <w:divId w:val="104547691"/>
        <w:rPr>
          <w:rFonts w:eastAsia="Times New Roman"/>
        </w:rPr>
      </w:pPr>
      <w:r>
        <w:rPr>
          <w:rFonts w:eastAsia="Times New Roman"/>
          <w:b/>
          <w:bCs/>
          <w:color w:val="000000"/>
          <w:sz w:val="20"/>
          <w:szCs w:val="20"/>
        </w:rPr>
        <w:t>Protection Solution</w:t>
      </w:r>
      <w:r>
        <w:rPr>
          <w:rFonts w:eastAsia="Times New Roman"/>
          <w:b/>
          <w:bCs/>
          <w:color w:val="000000"/>
          <w:sz w:val="20"/>
          <w:szCs w:val="20"/>
        </w:rPr>
        <w:t>s</w:t>
      </w:r>
    </w:p>
    <w:p w:rsidR="00000000" w:rsidRDefault="00775A8F">
      <w:pPr>
        <w:ind w:firstLine="360"/>
        <w:divId w:val="1121655154"/>
        <w:rPr>
          <w:rFonts w:eastAsia="Times New Roman"/>
        </w:rPr>
      </w:pPr>
      <w:r>
        <w:rPr>
          <w:rFonts w:eastAsia="Times New Roman"/>
          <w:color w:val="000000"/>
          <w:sz w:val="20"/>
          <w:szCs w:val="20"/>
        </w:rPr>
        <w:t xml:space="preserve">The Protection Solutions segment includes our life insurance and employee </w:t>
      </w:r>
      <w:r>
        <w:rPr>
          <w:rFonts w:eastAsia="Times New Roman"/>
          <w:color w:val="000000"/>
          <w:sz w:val="20"/>
          <w:szCs w:val="20"/>
        </w:rPr>
        <w:t>benefits businesses. We provide a targeted range of products aimed at serving the financial needs of our clients throughout their lives, including VUL, IUL and term life products. In 2015, we entered the employee benefits market and currently offer a suite</w:t>
      </w:r>
      <w:r>
        <w:rPr>
          <w:rFonts w:eastAsia="Times New Roman"/>
          <w:color w:val="000000"/>
          <w:sz w:val="20"/>
          <w:szCs w:val="20"/>
        </w:rPr>
        <w:t xml:space="preserve"> of dental, vision, life, as well as short- and long-term disability insurance products to small and medium-size businesses</w:t>
      </w:r>
      <w:r>
        <w:rPr>
          <w:rFonts w:eastAsia="Times New Roman"/>
          <w:color w:val="000000"/>
          <w:sz w:val="20"/>
          <w:szCs w:val="20"/>
        </w:rPr>
        <w:t>.</w:t>
      </w:r>
    </w:p>
    <w:p w:rsidR="00000000" w:rsidRDefault="00775A8F">
      <w:pPr>
        <w:ind w:firstLine="360"/>
        <w:divId w:val="811752094"/>
        <w:rPr>
          <w:rFonts w:eastAsia="Times New Roman"/>
        </w:rPr>
      </w:pPr>
      <w:r>
        <w:rPr>
          <w:rFonts w:eastAsia="Times New Roman"/>
          <w:color w:val="000000"/>
          <w:sz w:val="20"/>
          <w:szCs w:val="20"/>
        </w:rPr>
        <w:t>In recent years, we have refocused our product offering and distribution towards less capital intensive, higher return accumulation</w:t>
      </w:r>
      <w:r>
        <w:rPr>
          <w:rFonts w:eastAsia="Times New Roman"/>
          <w:color w:val="000000"/>
          <w:sz w:val="20"/>
          <w:szCs w:val="20"/>
        </w:rPr>
        <w:t xml:space="preserve"> and protection products. We plan to improve our Operating earnings over time through earnings generated from sales of our repositioned product portfolio and by proactively managing and optimizing our in-force book</w:t>
      </w:r>
      <w:r>
        <w:rPr>
          <w:rFonts w:eastAsia="Times New Roman"/>
          <w:color w:val="000000"/>
          <w:sz w:val="20"/>
          <w:szCs w:val="20"/>
        </w:rPr>
        <w:t>.</w:t>
      </w:r>
    </w:p>
    <w:p w:rsidR="00000000" w:rsidRDefault="00775A8F">
      <w:pPr>
        <w:ind w:firstLine="360"/>
        <w:divId w:val="1971589053"/>
        <w:rPr>
          <w:rFonts w:eastAsia="Times New Roman"/>
        </w:rPr>
      </w:pPr>
      <w:r>
        <w:rPr>
          <w:rFonts w:eastAsia="Times New Roman"/>
          <w:color w:val="000000"/>
          <w:sz w:val="20"/>
          <w:szCs w:val="20"/>
        </w:rPr>
        <w:t>The following table summarizes Operating</w:t>
      </w:r>
      <w:r>
        <w:rPr>
          <w:rFonts w:eastAsia="Times New Roman"/>
          <w:color w:val="000000"/>
          <w:sz w:val="20"/>
          <w:szCs w:val="20"/>
        </w:rPr>
        <w:t xml:space="preserve"> earnings (loss) of our Protection Solutions segment for the periods presented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189"/>
        <w:gridCol w:w="36"/>
        <w:gridCol w:w="135"/>
        <w:gridCol w:w="589"/>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38284590"/>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3828459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3828459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828459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38284590"/>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Operating earnings (loss</w:t>
            </w: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106</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w:t>
            </w:r>
            <w:r>
              <w:rPr>
                <w:rFonts w:eastAsia="Times New Roman"/>
                <w:b/>
                <w:bCs/>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257978867"/>
        <w:rPr>
          <w:rFonts w:eastAsia="Times New Roman"/>
        </w:rPr>
      </w:pPr>
      <w:r>
        <w:rPr>
          <w:rFonts w:eastAsia="Times New Roman"/>
          <w:color w:val="000000"/>
          <w:sz w:val="20"/>
          <w:szCs w:val="20"/>
        </w:rPr>
        <w:t>8</w:t>
      </w:r>
      <w:r>
        <w:rPr>
          <w:rFonts w:eastAsia="Times New Roman"/>
          <w:color w:val="000000"/>
          <w:sz w:val="20"/>
          <w:szCs w:val="20"/>
        </w:rPr>
        <w:t>8</w:t>
      </w:r>
    </w:p>
    <w:p w:rsidR="00000000" w:rsidRDefault="00775A8F">
      <w:pPr>
        <w:rPr>
          <w:rFonts w:eastAsia="Times New Roman"/>
        </w:rPr>
      </w:pPr>
      <w:r>
        <w:rPr>
          <w:rFonts w:eastAsia="Times New Roman"/>
        </w:rPr>
        <w:pict>
          <v:rect id="_x0000_i1114" style="width:0;height:1.5pt" o:hralign="center" o:hrstd="t" o:hr="t" fillcolor="#a0a0a0" stroked="f"/>
        </w:pict>
      </w:r>
    </w:p>
    <w:p w:rsidR="00000000" w:rsidRDefault="00775A8F">
      <w:pPr>
        <w:divId w:val="288321284"/>
        <w:rPr>
          <w:rFonts w:eastAsia="Times New Roman"/>
        </w:rPr>
      </w:pPr>
    </w:p>
    <w:p w:rsidR="00000000" w:rsidRDefault="00775A8F">
      <w:pPr>
        <w:ind w:firstLine="360"/>
        <w:divId w:val="1561093842"/>
        <w:rPr>
          <w:rFonts w:eastAsia="Times New Roman"/>
        </w:rPr>
      </w:pPr>
      <w:r>
        <w:rPr>
          <w:rFonts w:eastAsia="Times New Roman"/>
          <w:color w:val="000000"/>
          <w:sz w:val="20"/>
          <w:szCs w:val="20"/>
        </w:rPr>
        <w:t>Key components of Operating earnings (loss) are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188"/>
        <w:gridCol w:w="37"/>
        <w:gridCol w:w="135"/>
        <w:gridCol w:w="588"/>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048383794"/>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04838379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04838379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201</w:t>
            </w:r>
            <w:r>
              <w:rPr>
                <w:rFonts w:eastAsia="Times New Roman"/>
                <w:b/>
                <w:bCs/>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REVENUE</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 charges, fee income and premium</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1,026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1,072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investment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Net derivative gains (losses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Investment management, service fees and other incom</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revenue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730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1,674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BENEFITS AND OTHER DEDUCTION</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Policyholders’ benefit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962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credited to policyholders’ account balance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Commissions and distribution related payment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Amortization of deferred policy acquisition cost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Compensation, benefits and other operating costs and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Interest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48383794"/>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b/>
                <w:bCs/>
                <w:color w:val="000000"/>
                <w:sz w:val="20"/>
                <w:szCs w:val="20"/>
              </w:rPr>
              <w:t>Segment benefits and other deduction</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744</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1,557</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360"/>
        <w:divId w:val="1021782574"/>
        <w:rPr>
          <w:rFonts w:eastAsia="Times New Roman"/>
        </w:rPr>
      </w:pPr>
      <w:r>
        <w:rPr>
          <w:rFonts w:eastAsia="Times New Roman"/>
          <w:color w:val="000000"/>
          <w:sz w:val="20"/>
          <w:szCs w:val="20"/>
        </w:rPr>
        <w:t>The following table summarizes Protection Solutions Reserves for our Protection Solutions segment as of the dates presented</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0"/>
        <w:gridCol w:w="5484"/>
        <w:gridCol w:w="51"/>
        <w:gridCol w:w="135"/>
        <w:gridCol w:w="948"/>
        <w:gridCol w:w="85"/>
        <w:gridCol w:w="36"/>
        <w:gridCol w:w="36"/>
        <w:gridCol w:w="36"/>
        <w:gridCol w:w="135"/>
        <w:gridCol w:w="924"/>
        <w:gridCol w:w="85"/>
        <w:gridCol w:w="36"/>
        <w:gridCol w:w="36"/>
        <w:gridCol w:w="36"/>
        <w:gridCol w:w="36"/>
        <w:gridCol w:w="36"/>
        <w:gridCol w:w="36"/>
        <w:gridCol w:w="36"/>
        <w:gridCol w:w="36"/>
      </w:tblGrid>
      <w:tr w:rsidR="00000000">
        <w:trPr>
          <w:gridAfter w:val="6"/>
          <w:divId w:val="1538659827"/>
        </w:trPr>
        <w:tc>
          <w:tcPr>
            <w:tcW w:w="50" w:type="pct"/>
            <w:vAlign w:val="center"/>
            <w:hideMark/>
          </w:tcPr>
          <w:p w:rsidR="00000000" w:rsidRDefault="00775A8F">
            <w:pPr>
              <w:ind w:firstLine="360"/>
              <w:rPr>
                <w:rFonts w:eastAsia="Times New Roman"/>
              </w:rPr>
            </w:pPr>
          </w:p>
        </w:tc>
        <w:tc>
          <w:tcPr>
            <w:tcW w:w="34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3865982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3865982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3865982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538659827"/>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Protection Solutions Reserves (1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38659827"/>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General Accoun</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17,930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17,298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38659827"/>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Separate Account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12,928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13,616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538659827"/>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Protection Solutions Reserve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30,858</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30,914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593829058"/>
        <w:rPr>
          <w:rFonts w:eastAsia="Times New Roman"/>
        </w:rPr>
      </w:pPr>
      <w:r>
        <w:rPr>
          <w:rFonts w:eastAsia="Times New Roman"/>
          <w:color w:val="000000"/>
          <w:sz w:val="18"/>
          <w:szCs w:val="18"/>
        </w:rPr>
        <w:t>________</w:t>
      </w:r>
      <w:r>
        <w:rPr>
          <w:rFonts w:eastAsia="Times New Roman"/>
          <w:color w:val="000000"/>
          <w:sz w:val="18"/>
          <w:szCs w:val="18"/>
        </w:rPr>
        <w:t>______</w:t>
      </w:r>
      <w:r>
        <w:rPr>
          <w:rFonts w:eastAsia="Times New Roman"/>
          <w:color w:val="000000"/>
          <w:sz w:val="18"/>
          <w:szCs w:val="18"/>
        </w:rPr>
        <w:t>_</w:t>
      </w:r>
    </w:p>
    <w:p w:rsidR="00000000" w:rsidRDefault="00775A8F">
      <w:pPr>
        <w:ind w:hanging="360"/>
        <w:divId w:val="104189913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Does not include Protection Solutions Reserves for our employee benefits business as it is a start-up business and therefore has immaterial in-force policies</w:t>
      </w:r>
      <w:r>
        <w:rPr>
          <w:rFonts w:eastAsia="Times New Roman"/>
          <w:color w:val="000000"/>
          <w:sz w:val="18"/>
          <w:szCs w:val="18"/>
        </w:rPr>
        <w:t>.</w:t>
      </w:r>
    </w:p>
    <w:p w:rsidR="00000000" w:rsidRDefault="00775A8F">
      <w:pPr>
        <w:ind w:firstLine="360"/>
        <w:divId w:val="634331631"/>
        <w:rPr>
          <w:rFonts w:eastAsia="Times New Roman"/>
        </w:rPr>
      </w:pPr>
      <w:r>
        <w:rPr>
          <w:rFonts w:eastAsia="Times New Roman"/>
          <w:color w:val="000000"/>
          <w:sz w:val="20"/>
          <w:szCs w:val="20"/>
        </w:rPr>
        <w:t>The following table presents our in-force face amounts for the periods indicated, resp</w:t>
      </w:r>
      <w:r>
        <w:rPr>
          <w:rFonts w:eastAsia="Times New Roman"/>
          <w:color w:val="000000"/>
          <w:sz w:val="20"/>
          <w:szCs w:val="20"/>
        </w:rPr>
        <w:t>ectively, for our individual life insurance products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50"/>
        <w:gridCol w:w="5484"/>
        <w:gridCol w:w="51"/>
        <w:gridCol w:w="135"/>
        <w:gridCol w:w="948"/>
        <w:gridCol w:w="85"/>
        <w:gridCol w:w="36"/>
        <w:gridCol w:w="36"/>
        <w:gridCol w:w="36"/>
        <w:gridCol w:w="135"/>
        <w:gridCol w:w="924"/>
        <w:gridCol w:w="85"/>
        <w:gridCol w:w="36"/>
        <w:gridCol w:w="36"/>
        <w:gridCol w:w="36"/>
        <w:gridCol w:w="36"/>
        <w:gridCol w:w="36"/>
        <w:gridCol w:w="36"/>
        <w:gridCol w:w="36"/>
        <w:gridCol w:w="36"/>
      </w:tblGrid>
      <w:tr w:rsidR="00000000">
        <w:trPr>
          <w:gridAfter w:val="6"/>
          <w:divId w:val="1645115027"/>
        </w:trPr>
        <w:tc>
          <w:tcPr>
            <w:tcW w:w="50" w:type="pct"/>
            <w:vAlign w:val="center"/>
            <w:hideMark/>
          </w:tcPr>
          <w:p w:rsidR="00000000" w:rsidRDefault="00775A8F">
            <w:pPr>
              <w:ind w:firstLine="360"/>
              <w:rPr>
                <w:rFonts w:eastAsia="Times New Roman"/>
              </w:rPr>
            </w:pPr>
          </w:p>
        </w:tc>
        <w:tc>
          <w:tcPr>
            <w:tcW w:w="34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 o</w:t>
            </w:r>
            <w:r>
              <w:rPr>
                <w:rFonts w:eastAsia="Times New Roman"/>
                <w:b/>
                <w:bCs/>
                <w:color w:val="000000"/>
                <w:sz w:val="16"/>
                <w:szCs w:val="16"/>
              </w:rPr>
              <w:t>f</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64511502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billions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645115027"/>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In-force face amount by product: (1</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Universal Life (2</w:t>
            </w:r>
            <w:r>
              <w:rPr>
                <w:rFonts w:eastAsia="Times New Roman"/>
                <w:color w:val="000000"/>
                <w:sz w:val="20"/>
                <w:szCs w:val="20"/>
              </w:rPr>
              <w: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Indexed Universal Lif</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Variable Universal Life (3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Ter</w:t>
            </w:r>
            <w:r>
              <w:rPr>
                <w:rFonts w:eastAsia="Times New Roman"/>
                <w:color w:val="000000"/>
                <w:sz w:val="20"/>
                <w:szCs w:val="20"/>
              </w:rPr>
              <w:t>m</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Whole Lif</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45115027"/>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in-force face amoun</w:t>
            </w:r>
            <w:r>
              <w:rPr>
                <w:rFonts w:eastAsia="Times New Roman"/>
                <w:color w:val="000000"/>
                <w:sz w:val="20"/>
                <w:szCs w:val="20"/>
              </w:rPr>
              <w:t>t</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441.5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417992589"/>
        <w:rPr>
          <w:rFonts w:eastAsia="Times New Roman"/>
        </w:rPr>
      </w:pPr>
      <w:r>
        <w:rPr>
          <w:rFonts w:eastAsia="Times New Roman"/>
          <w:color w:val="000000"/>
          <w:sz w:val="18"/>
          <w:szCs w:val="18"/>
        </w:rPr>
        <w:t>________</w:t>
      </w:r>
      <w:r>
        <w:rPr>
          <w:rFonts w:eastAsia="Times New Roman"/>
          <w:color w:val="000000"/>
          <w:sz w:val="18"/>
          <w:szCs w:val="18"/>
        </w:rPr>
        <w:t>______</w:t>
      </w:r>
      <w:r>
        <w:rPr>
          <w:rFonts w:eastAsia="Times New Roman"/>
          <w:color w:val="000000"/>
          <w:sz w:val="18"/>
          <w:szCs w:val="18"/>
        </w:rPr>
        <w:t>_</w:t>
      </w:r>
    </w:p>
    <w:p w:rsidR="00000000" w:rsidRDefault="00775A8F">
      <w:pPr>
        <w:ind w:hanging="360"/>
        <w:divId w:val="615330615"/>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Includes individual life insurance and does not include employee benefits as it is a start-up business and therefore has immaterial in-force policies</w:t>
      </w:r>
      <w:r>
        <w:rPr>
          <w:rFonts w:eastAsia="Times New Roman"/>
          <w:color w:val="000000"/>
          <w:sz w:val="18"/>
          <w:szCs w:val="18"/>
        </w:rPr>
        <w:t>.</w:t>
      </w:r>
    </w:p>
    <w:p w:rsidR="00000000" w:rsidRDefault="00775A8F">
      <w:pPr>
        <w:ind w:hanging="360"/>
        <w:divId w:val="1330600555"/>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Universal Life includes Guaranteed Universal Life</w:t>
      </w:r>
      <w:r>
        <w:rPr>
          <w:rFonts w:eastAsia="Times New Roman"/>
          <w:color w:val="000000"/>
          <w:sz w:val="18"/>
          <w:szCs w:val="18"/>
        </w:rPr>
        <w:t>.</w:t>
      </w:r>
    </w:p>
    <w:p w:rsidR="00000000" w:rsidRDefault="00775A8F">
      <w:pPr>
        <w:ind w:hanging="360"/>
        <w:divId w:val="1640526450"/>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Variable Universal Life includes VL a</w:t>
      </w:r>
      <w:r>
        <w:rPr>
          <w:rFonts w:eastAsia="Times New Roman"/>
          <w:color w:val="000000"/>
          <w:sz w:val="18"/>
          <w:szCs w:val="18"/>
        </w:rPr>
        <w:t>nd COLI</w:t>
      </w:r>
      <w:r>
        <w:rPr>
          <w:rFonts w:eastAsia="Times New Roman"/>
          <w:color w:val="000000"/>
          <w:sz w:val="18"/>
          <w:szCs w:val="18"/>
        </w:rPr>
        <w:t>.</w:t>
      </w:r>
    </w:p>
    <w:p w:rsidR="00000000" w:rsidRDefault="00775A8F">
      <w:pPr>
        <w:jc w:val="center"/>
        <w:divId w:val="989822873"/>
        <w:rPr>
          <w:rFonts w:eastAsia="Times New Roman"/>
        </w:rPr>
      </w:pPr>
      <w:r>
        <w:rPr>
          <w:rFonts w:eastAsia="Times New Roman"/>
          <w:color w:val="000000"/>
          <w:sz w:val="20"/>
          <w:szCs w:val="20"/>
        </w:rPr>
        <w:t>8</w:t>
      </w:r>
      <w:r>
        <w:rPr>
          <w:rFonts w:eastAsia="Times New Roman"/>
          <w:color w:val="000000"/>
          <w:sz w:val="20"/>
          <w:szCs w:val="20"/>
        </w:rPr>
        <w:t>9</w:t>
      </w:r>
    </w:p>
    <w:p w:rsidR="00000000" w:rsidRDefault="00775A8F">
      <w:pPr>
        <w:rPr>
          <w:rFonts w:eastAsia="Times New Roman"/>
        </w:rPr>
      </w:pPr>
      <w:r>
        <w:rPr>
          <w:rFonts w:eastAsia="Times New Roman"/>
        </w:rPr>
        <w:pict>
          <v:rect id="_x0000_i1115" style="width:0;height:1.5pt" o:hralign="center" o:hrstd="t" o:hr="t" fillcolor="#a0a0a0" stroked="f"/>
        </w:pict>
      </w:r>
    </w:p>
    <w:p w:rsidR="00000000" w:rsidRDefault="00775A8F">
      <w:pPr>
        <w:divId w:val="1282296785"/>
        <w:rPr>
          <w:rFonts w:eastAsia="Times New Roman"/>
        </w:rPr>
      </w:pPr>
    </w:p>
    <w:p w:rsidR="00000000" w:rsidRDefault="00775A8F">
      <w:pPr>
        <w:divId w:val="2032877321"/>
        <w:rPr>
          <w:rFonts w:eastAsia="Times New Roman"/>
        </w:rPr>
      </w:pPr>
      <w:r>
        <w:rPr>
          <w:rFonts w:eastAsia="Times New Roman"/>
          <w:b/>
          <w:bCs/>
          <w:color w:val="000000"/>
          <w:sz w:val="20"/>
          <w:szCs w:val="20"/>
        </w:rPr>
        <w:t>Three Months Ended June 30, 2020 Compared to the Three Months Ended June 30, 2019 for the Protection Solutions Segmen</w:t>
      </w:r>
      <w:r>
        <w:rPr>
          <w:rFonts w:eastAsia="Times New Roman"/>
          <w:b/>
          <w:bCs/>
          <w:color w:val="000000"/>
          <w:sz w:val="20"/>
          <w:szCs w:val="20"/>
        </w:rPr>
        <w:t>t</w:t>
      </w:r>
    </w:p>
    <w:p w:rsidR="00000000" w:rsidRDefault="00775A8F">
      <w:pPr>
        <w:jc w:val="both"/>
        <w:divId w:val="1679237085"/>
        <w:rPr>
          <w:rFonts w:eastAsia="Times New Roman"/>
        </w:rPr>
      </w:pPr>
      <w:r>
        <w:rPr>
          <w:rFonts w:eastAsia="Times New Roman"/>
          <w:b/>
          <w:bCs/>
          <w:i/>
          <w:iCs/>
          <w:color w:val="000000"/>
          <w:sz w:val="20"/>
          <w:szCs w:val="20"/>
          <w:shd w:val="clear" w:color="auto" w:fill="FFFFFF"/>
        </w:rPr>
        <w:t>Operating earnings (loss)</w:t>
      </w:r>
    </w:p>
    <w:p w:rsidR="00000000" w:rsidRDefault="00775A8F">
      <w:pPr>
        <w:ind w:firstLine="360"/>
        <w:divId w:val="1618874047"/>
        <w:rPr>
          <w:rFonts w:eastAsia="Times New Roman"/>
        </w:rPr>
      </w:pPr>
      <w:r>
        <w:rPr>
          <w:rFonts w:eastAsia="Times New Roman"/>
          <w:color w:val="000000"/>
          <w:sz w:val="20"/>
          <w:szCs w:val="20"/>
          <w:shd w:val="clear" w:color="auto" w:fill="FFFFFF"/>
        </w:rPr>
        <w:t>Operating earnings (loss) decreased $118 million to a loss of $12 million during the three months ended June 30, 2020 from earnings of $106 million in the three months ended June 30, 2019 primarily attributable to the following:</w:t>
      </w:r>
    </w:p>
    <w:p w:rsidR="00000000" w:rsidRDefault="00775A8F">
      <w:pPr>
        <w:ind w:hanging="360"/>
        <w:jc w:val="both"/>
        <w:divId w:val="1195997753"/>
        <w:rPr>
          <w:rFonts w:eastAsia="Times New Roman"/>
        </w:rPr>
      </w:pPr>
      <w:r>
        <w:rPr>
          <w:rFonts w:eastAsia="Times New Roman"/>
          <w:color w:val="000000"/>
          <w:sz w:val="20"/>
          <w:szCs w:val="20"/>
        </w:rPr>
        <w:t>•</w:t>
      </w:r>
      <w:r>
        <w:rPr>
          <w:rFonts w:eastAsia="Times New Roman"/>
          <w:color w:val="000000"/>
          <w:sz w:val="20"/>
          <w:szCs w:val="20"/>
        </w:rPr>
        <w:t>Fee-type revenue decreased</w:t>
      </w:r>
      <w:r>
        <w:rPr>
          <w:rFonts w:eastAsia="Times New Roman"/>
          <w:color w:val="000000"/>
          <w:sz w:val="20"/>
          <w:szCs w:val="20"/>
        </w:rPr>
        <w:t xml:space="preserve"> $73 million mainly driven by the premium impact of the USFL and MLICA sale, lower premiums on traditional products (offset in Policyholders’ benefits) as well as higher ceded premiums, and the unfavorable impact on amortization of the initial fee liabilit</w:t>
      </w:r>
      <w:r>
        <w:rPr>
          <w:rFonts w:eastAsia="Times New Roman"/>
          <w:color w:val="000000"/>
          <w:sz w:val="20"/>
          <w:szCs w:val="20"/>
        </w:rPr>
        <w:t>y from reactivity to adverse mortality experience</w:t>
      </w:r>
      <w:r>
        <w:rPr>
          <w:rFonts w:eastAsia="Times New Roman"/>
          <w:color w:val="000000"/>
          <w:sz w:val="20"/>
          <w:szCs w:val="20"/>
        </w:rPr>
        <w:t>.</w:t>
      </w:r>
    </w:p>
    <w:p w:rsidR="00000000" w:rsidRDefault="00775A8F">
      <w:pPr>
        <w:ind w:hanging="360"/>
        <w:jc w:val="both"/>
        <w:divId w:val="32778767"/>
        <w:rPr>
          <w:rFonts w:eastAsia="Times New Roman"/>
        </w:rPr>
      </w:pPr>
      <w:r>
        <w:rPr>
          <w:rFonts w:eastAsia="Times New Roman"/>
          <w:color w:val="000000"/>
          <w:sz w:val="20"/>
          <w:szCs w:val="20"/>
        </w:rPr>
        <w:t>•</w:t>
      </w:r>
      <w:r>
        <w:rPr>
          <w:rFonts w:eastAsia="Times New Roman"/>
          <w:color w:val="000000"/>
          <w:sz w:val="20"/>
          <w:szCs w:val="20"/>
        </w:rPr>
        <w:t>Net investment income decreased $44 million primarily due to losses on our alternative investment portfolio, and the impact of lower assets as a result of the USFL and MLICA sale, partly offset by the Gen</w:t>
      </w:r>
      <w:r>
        <w:rPr>
          <w:rFonts w:eastAsia="Times New Roman"/>
          <w:color w:val="000000"/>
          <w:sz w:val="20"/>
          <w:szCs w:val="20"/>
        </w:rPr>
        <w:t>eral Account investment portfolio optimization</w:t>
      </w:r>
      <w:r>
        <w:rPr>
          <w:rFonts w:eastAsia="Times New Roman"/>
          <w:color w:val="000000"/>
          <w:sz w:val="20"/>
          <w:szCs w:val="20"/>
        </w:rPr>
        <w:t>.</w:t>
      </w:r>
    </w:p>
    <w:p w:rsidR="00000000" w:rsidRDefault="00775A8F">
      <w:pPr>
        <w:ind w:hanging="360"/>
        <w:jc w:val="both"/>
        <w:divId w:val="648099780"/>
        <w:rPr>
          <w:rFonts w:eastAsia="Times New Roman"/>
        </w:rPr>
      </w:pPr>
      <w:r>
        <w:rPr>
          <w:rFonts w:eastAsia="Times New Roman"/>
          <w:color w:val="000000"/>
          <w:sz w:val="20"/>
          <w:szCs w:val="20"/>
        </w:rPr>
        <w:t>•</w:t>
      </w:r>
      <w:r>
        <w:rPr>
          <w:rFonts w:eastAsia="Times New Roman"/>
          <w:color w:val="000000"/>
          <w:sz w:val="20"/>
          <w:szCs w:val="20"/>
        </w:rPr>
        <w:t>Policyholders’ benefits increased $41 million mainly due to adverse mortality experience largely due to the impacts of COVID-19 related claims, partly offset by lower reserve accrual on our traditional produ</w:t>
      </w:r>
      <w:r>
        <w:rPr>
          <w:rFonts w:eastAsia="Times New Roman"/>
          <w:color w:val="000000"/>
          <w:sz w:val="20"/>
          <w:szCs w:val="20"/>
        </w:rPr>
        <w:t>cts (partly offset in fee-type revenue).</w:t>
      </w:r>
      <w:r>
        <w:rPr>
          <w:rFonts w:eastAsia="Times New Roman"/>
          <w:color w:val="000000"/>
          <w:sz w:val="20"/>
          <w:szCs w:val="20"/>
        </w:rPr>
        <w:t xml:space="preserve"> </w:t>
      </w:r>
    </w:p>
    <w:p w:rsidR="00000000" w:rsidRDefault="00775A8F">
      <w:pPr>
        <w:ind w:hanging="360"/>
        <w:jc w:val="both"/>
        <w:divId w:val="2122917835"/>
        <w:rPr>
          <w:rFonts w:eastAsia="Times New Roman"/>
        </w:rPr>
      </w:pPr>
      <w:r>
        <w:rPr>
          <w:rFonts w:eastAsia="Times New Roman"/>
          <w:color w:val="000000"/>
          <w:sz w:val="20"/>
          <w:szCs w:val="20"/>
        </w:rPr>
        <w:t>•</w:t>
      </w:r>
      <w:r>
        <w:rPr>
          <w:rFonts w:eastAsia="Times New Roman"/>
          <w:color w:val="000000"/>
          <w:sz w:val="20"/>
          <w:szCs w:val="20"/>
        </w:rPr>
        <w:t>Interest credited to policyholder’s account balances increased $10 million, mainly due to higher crediting on IUL products</w:t>
      </w:r>
      <w:r>
        <w:rPr>
          <w:rFonts w:eastAsia="Times New Roman"/>
          <w:color w:val="000000"/>
          <w:sz w:val="20"/>
          <w:szCs w:val="20"/>
        </w:rPr>
        <w:t>.</w:t>
      </w:r>
    </w:p>
    <w:p w:rsidR="00000000" w:rsidRDefault="00775A8F">
      <w:pPr>
        <w:ind w:hanging="360"/>
        <w:divId w:val="716243345"/>
        <w:rPr>
          <w:rFonts w:eastAsia="Times New Roman"/>
        </w:rPr>
      </w:pPr>
      <w:r>
        <w:rPr>
          <w:rFonts w:eastAsia="Times New Roman"/>
          <w:color w:val="000000"/>
          <w:sz w:val="20"/>
          <w:szCs w:val="20"/>
        </w:rPr>
        <w:t>•</w:t>
      </w:r>
      <w:r>
        <w:rPr>
          <w:rFonts w:eastAsia="Times New Roman"/>
          <w:color w:val="000000"/>
          <w:sz w:val="20"/>
          <w:szCs w:val="20"/>
        </w:rPr>
        <w:t>Compensation, benefits and other operating costs and expenses increased $6 million mainl</w:t>
      </w:r>
      <w:r>
        <w:rPr>
          <w:rFonts w:eastAsia="Times New Roman"/>
          <w:color w:val="000000"/>
          <w:sz w:val="20"/>
          <w:szCs w:val="20"/>
        </w:rPr>
        <w:t>y due to the positive impact in 2019 of a legal reserve release, partly offset by productivity gains and COVID-19 related expense saves</w:t>
      </w:r>
      <w:r>
        <w:rPr>
          <w:rFonts w:eastAsia="Times New Roman"/>
          <w:color w:val="000000"/>
          <w:sz w:val="20"/>
          <w:szCs w:val="20"/>
        </w:rPr>
        <w:t>.</w:t>
      </w:r>
    </w:p>
    <w:p w:rsidR="00000000" w:rsidRDefault="00775A8F">
      <w:pPr>
        <w:ind w:firstLine="360"/>
        <w:divId w:val="425687105"/>
        <w:rPr>
          <w:rFonts w:eastAsia="Times New Roman"/>
        </w:rPr>
      </w:pPr>
      <w:r>
        <w:rPr>
          <w:rFonts w:eastAsia="Times New Roman"/>
          <w:color w:val="000000"/>
          <w:sz w:val="20"/>
          <w:szCs w:val="20"/>
          <w:shd w:val="clear" w:color="auto" w:fill="FFFFFF"/>
        </w:rPr>
        <w:t>This decrease was partially offset by the following:</w:t>
      </w:r>
    </w:p>
    <w:p w:rsidR="00000000" w:rsidRDefault="00775A8F">
      <w:pPr>
        <w:ind w:hanging="360"/>
        <w:jc w:val="both"/>
        <w:divId w:val="239827364"/>
        <w:rPr>
          <w:rFonts w:eastAsia="Times New Roman"/>
        </w:rPr>
      </w:pPr>
      <w:r>
        <w:rPr>
          <w:rFonts w:eastAsia="Times New Roman"/>
          <w:color w:val="000000"/>
          <w:sz w:val="20"/>
          <w:szCs w:val="20"/>
        </w:rPr>
        <w:t>•</w:t>
      </w:r>
      <w:r>
        <w:rPr>
          <w:rFonts w:eastAsia="Times New Roman"/>
          <w:color w:val="000000"/>
          <w:sz w:val="20"/>
          <w:szCs w:val="20"/>
        </w:rPr>
        <w:t>Amortization of DAC decreased $19 million mainly due to the favor</w:t>
      </w:r>
      <w:r>
        <w:rPr>
          <w:rFonts w:eastAsia="Times New Roman"/>
          <w:color w:val="000000"/>
          <w:sz w:val="20"/>
          <w:szCs w:val="20"/>
        </w:rPr>
        <w:t>able impact of reactivity to adverse mortality experience</w:t>
      </w:r>
      <w:r>
        <w:rPr>
          <w:rFonts w:eastAsia="Times New Roman"/>
          <w:color w:val="000000"/>
          <w:sz w:val="20"/>
          <w:szCs w:val="20"/>
        </w:rPr>
        <w:t>.</w:t>
      </w:r>
    </w:p>
    <w:p w:rsidR="00000000" w:rsidRDefault="00775A8F">
      <w:pPr>
        <w:ind w:hanging="360"/>
        <w:jc w:val="both"/>
        <w:divId w:val="1074548596"/>
        <w:rPr>
          <w:rFonts w:eastAsia="Times New Roman"/>
        </w:rPr>
      </w:pPr>
      <w:r>
        <w:rPr>
          <w:rFonts w:eastAsia="Times New Roman"/>
          <w:color w:val="000000"/>
          <w:sz w:val="20"/>
          <w:szCs w:val="20"/>
        </w:rPr>
        <w:t>•</w:t>
      </w:r>
      <w:r>
        <w:rPr>
          <w:rFonts w:eastAsia="Times New Roman"/>
          <w:color w:val="000000"/>
          <w:sz w:val="20"/>
          <w:szCs w:val="20"/>
        </w:rPr>
        <w:t>Commissions decreased $8 million mainly to lower life sales</w:t>
      </w:r>
      <w:r>
        <w:rPr>
          <w:rFonts w:eastAsia="Times New Roman"/>
          <w:color w:val="000000"/>
          <w:sz w:val="20"/>
          <w:szCs w:val="20"/>
        </w:rPr>
        <w:t>.</w:t>
      </w:r>
    </w:p>
    <w:p w:rsidR="00000000" w:rsidRDefault="00775A8F">
      <w:pPr>
        <w:ind w:hanging="360"/>
        <w:divId w:val="693270926"/>
        <w:rPr>
          <w:rFonts w:eastAsia="Times New Roman"/>
        </w:rPr>
      </w:pPr>
      <w:r>
        <w:rPr>
          <w:rFonts w:eastAsia="Times New Roman"/>
          <w:color w:val="000000"/>
          <w:sz w:val="20"/>
          <w:szCs w:val="20"/>
        </w:rPr>
        <w:t>•</w:t>
      </w:r>
      <w:r>
        <w:rPr>
          <w:rFonts w:eastAsia="Times New Roman"/>
          <w:color w:val="000000"/>
          <w:sz w:val="20"/>
          <w:szCs w:val="20"/>
        </w:rPr>
        <w:t>Income tax expense decreased $25 million due to a pre-tax loss in the three months ended June 30, 2020 compared to pre-tax earnings in</w:t>
      </w:r>
      <w:r>
        <w:rPr>
          <w:rFonts w:eastAsia="Times New Roman"/>
          <w:color w:val="000000"/>
          <w:sz w:val="20"/>
          <w:szCs w:val="20"/>
        </w:rPr>
        <w:t xml:space="preserve"> the three months ended June 30, 2019</w:t>
      </w:r>
      <w:r>
        <w:rPr>
          <w:rFonts w:eastAsia="Times New Roman"/>
          <w:color w:val="000000"/>
          <w:sz w:val="20"/>
          <w:szCs w:val="20"/>
        </w:rPr>
        <w:t>.</w:t>
      </w:r>
    </w:p>
    <w:p w:rsidR="00000000" w:rsidRDefault="00775A8F">
      <w:pPr>
        <w:divId w:val="1867214598"/>
        <w:rPr>
          <w:rFonts w:eastAsia="Times New Roman"/>
        </w:rPr>
      </w:pPr>
      <w:r>
        <w:rPr>
          <w:rFonts w:eastAsia="Times New Roman"/>
          <w:b/>
          <w:bCs/>
          <w:color w:val="000000"/>
          <w:sz w:val="20"/>
          <w:szCs w:val="20"/>
        </w:rPr>
        <w:t>Six Months Ended June 30, 2020 Compared to the Six Months Ended June 30, 2019 for the Protection Solutions Segmen</w:t>
      </w:r>
      <w:r>
        <w:rPr>
          <w:rFonts w:eastAsia="Times New Roman"/>
          <w:b/>
          <w:bCs/>
          <w:color w:val="000000"/>
          <w:sz w:val="20"/>
          <w:szCs w:val="20"/>
        </w:rPr>
        <w:t>t</w:t>
      </w:r>
    </w:p>
    <w:p w:rsidR="00000000" w:rsidRDefault="00775A8F">
      <w:pPr>
        <w:jc w:val="both"/>
        <w:divId w:val="1936395666"/>
        <w:rPr>
          <w:rFonts w:eastAsia="Times New Roman"/>
        </w:rPr>
      </w:pPr>
      <w:r>
        <w:rPr>
          <w:rFonts w:eastAsia="Times New Roman"/>
          <w:b/>
          <w:bCs/>
          <w:i/>
          <w:iCs/>
          <w:color w:val="000000"/>
          <w:sz w:val="20"/>
          <w:szCs w:val="20"/>
        </w:rPr>
        <w:t>Operating earning</w:t>
      </w:r>
      <w:r>
        <w:rPr>
          <w:rFonts w:eastAsia="Times New Roman"/>
          <w:b/>
          <w:bCs/>
          <w:i/>
          <w:iCs/>
          <w:color w:val="000000"/>
          <w:sz w:val="20"/>
          <w:szCs w:val="20"/>
        </w:rPr>
        <w:t>s</w:t>
      </w:r>
    </w:p>
    <w:p w:rsidR="00000000" w:rsidRDefault="00775A8F">
      <w:pPr>
        <w:ind w:firstLine="360"/>
        <w:divId w:val="380861311"/>
        <w:rPr>
          <w:rFonts w:eastAsia="Times New Roman"/>
        </w:rPr>
      </w:pPr>
      <w:r>
        <w:rPr>
          <w:rFonts w:eastAsia="Times New Roman"/>
          <w:color w:val="000000"/>
          <w:sz w:val="20"/>
          <w:szCs w:val="20"/>
          <w:shd w:val="clear" w:color="auto" w:fill="FFFFFF"/>
        </w:rPr>
        <w:t>Operating earnings decreased $129 million to $26 million during the six months ende</w:t>
      </w:r>
      <w:r>
        <w:rPr>
          <w:rFonts w:eastAsia="Times New Roman"/>
          <w:color w:val="000000"/>
          <w:sz w:val="20"/>
          <w:szCs w:val="20"/>
          <w:shd w:val="clear" w:color="auto" w:fill="FFFFFF"/>
        </w:rPr>
        <w:t>d June 30, 2020 from $155 million in the six months ended June 30, 2019 primarily attributable to the following:</w:t>
      </w:r>
    </w:p>
    <w:p w:rsidR="00000000" w:rsidRDefault="00775A8F">
      <w:pPr>
        <w:ind w:hanging="360"/>
        <w:jc w:val="both"/>
        <w:divId w:val="1805344307"/>
        <w:rPr>
          <w:rFonts w:eastAsia="Times New Roman"/>
        </w:rPr>
      </w:pPr>
      <w:r>
        <w:rPr>
          <w:rFonts w:eastAsia="Times New Roman"/>
          <w:color w:val="000000"/>
          <w:sz w:val="20"/>
          <w:szCs w:val="20"/>
        </w:rPr>
        <w:t>•</w:t>
      </w:r>
      <w:r>
        <w:rPr>
          <w:rFonts w:eastAsia="Times New Roman"/>
          <w:color w:val="000000"/>
          <w:sz w:val="20"/>
          <w:szCs w:val="20"/>
        </w:rPr>
        <w:t xml:space="preserve">Policyholders’ benefits increased $91 million mainly due to adverse mortality experience including COVID-19 related claims and an increase in </w:t>
      </w:r>
      <w:r>
        <w:rPr>
          <w:rFonts w:eastAsia="Times New Roman"/>
          <w:color w:val="000000"/>
          <w:sz w:val="20"/>
          <w:szCs w:val="20"/>
        </w:rPr>
        <w:t>term product reserves</w:t>
      </w:r>
      <w:r>
        <w:rPr>
          <w:rFonts w:eastAsia="Times New Roman"/>
          <w:color w:val="000000"/>
          <w:sz w:val="20"/>
          <w:szCs w:val="20"/>
        </w:rPr>
        <w:t>.</w:t>
      </w:r>
    </w:p>
    <w:p w:rsidR="00000000" w:rsidRDefault="00775A8F">
      <w:pPr>
        <w:ind w:hanging="360"/>
        <w:jc w:val="both"/>
        <w:divId w:val="1658609854"/>
        <w:rPr>
          <w:rFonts w:eastAsia="Times New Roman"/>
        </w:rPr>
      </w:pPr>
      <w:r>
        <w:rPr>
          <w:rFonts w:eastAsia="Times New Roman"/>
          <w:color w:val="000000"/>
          <w:sz w:val="20"/>
          <w:szCs w:val="20"/>
        </w:rPr>
        <w:t>•</w:t>
      </w:r>
      <w:r>
        <w:rPr>
          <w:rFonts w:eastAsia="Times New Roman"/>
          <w:color w:val="000000"/>
          <w:sz w:val="20"/>
          <w:szCs w:val="20"/>
        </w:rPr>
        <w:t xml:space="preserve">Fee-type revenue decreased $57 million mainly driven by the premium impact of the USFL and MLICA sale, lower premiums on traditional products (offset in Policyholders’ benefits) as well as higher ceded premiums, and the unfavorable </w:t>
      </w:r>
      <w:r>
        <w:rPr>
          <w:rFonts w:eastAsia="Times New Roman"/>
          <w:color w:val="000000"/>
          <w:sz w:val="20"/>
          <w:szCs w:val="20"/>
        </w:rPr>
        <w:t>impact on amortization of the initial fee liability from reactivity to adverse mortality experience</w:t>
      </w:r>
      <w:r>
        <w:rPr>
          <w:rFonts w:eastAsia="Times New Roman"/>
          <w:color w:val="000000"/>
          <w:sz w:val="20"/>
          <w:szCs w:val="20"/>
        </w:rPr>
        <w:t>.</w:t>
      </w:r>
    </w:p>
    <w:p w:rsidR="00000000" w:rsidRDefault="00775A8F">
      <w:pPr>
        <w:ind w:hanging="360"/>
        <w:divId w:val="1835680639"/>
        <w:rPr>
          <w:rFonts w:eastAsia="Times New Roman"/>
        </w:rPr>
      </w:pPr>
      <w:r>
        <w:rPr>
          <w:rFonts w:eastAsia="Times New Roman"/>
          <w:color w:val="000000"/>
          <w:sz w:val="20"/>
          <w:szCs w:val="20"/>
        </w:rPr>
        <w:t>•</w:t>
      </w:r>
      <w:r>
        <w:rPr>
          <w:rFonts w:eastAsia="Times New Roman"/>
          <w:color w:val="000000"/>
          <w:sz w:val="20"/>
          <w:szCs w:val="20"/>
        </w:rPr>
        <w:t xml:space="preserve">Net investment income decreased $24 million primarily due to losses on our alternative investment portfolio and the impact of lower assets as a result of </w:t>
      </w:r>
      <w:r>
        <w:rPr>
          <w:rFonts w:eastAsia="Times New Roman"/>
          <w:color w:val="000000"/>
          <w:sz w:val="20"/>
          <w:szCs w:val="20"/>
        </w:rPr>
        <w:t>the USFL and MLICA sale, partly offset by the General Account investment portfolio optimization</w:t>
      </w:r>
      <w:r>
        <w:rPr>
          <w:rFonts w:eastAsia="Times New Roman"/>
          <w:color w:val="000000"/>
          <w:sz w:val="20"/>
          <w:szCs w:val="20"/>
        </w:rPr>
        <w:t>.</w:t>
      </w:r>
    </w:p>
    <w:p w:rsidR="00000000" w:rsidRDefault="00775A8F">
      <w:pPr>
        <w:ind w:firstLine="360"/>
        <w:divId w:val="168298975"/>
        <w:rPr>
          <w:rFonts w:eastAsia="Times New Roman"/>
        </w:rPr>
      </w:pPr>
      <w:r>
        <w:rPr>
          <w:rFonts w:eastAsia="Times New Roman"/>
          <w:color w:val="000000"/>
          <w:sz w:val="20"/>
          <w:szCs w:val="20"/>
          <w:shd w:val="clear" w:color="auto" w:fill="FFFFFF"/>
        </w:rPr>
        <w:t>This decrease was partially offset by the following:</w:t>
      </w:r>
    </w:p>
    <w:p w:rsidR="00000000" w:rsidRDefault="00775A8F">
      <w:pPr>
        <w:ind w:hanging="360"/>
        <w:jc w:val="both"/>
        <w:divId w:val="815295537"/>
        <w:rPr>
          <w:rFonts w:eastAsia="Times New Roman"/>
        </w:rPr>
      </w:pPr>
      <w:r>
        <w:rPr>
          <w:rFonts w:eastAsia="Times New Roman"/>
          <w:color w:val="000000"/>
          <w:sz w:val="20"/>
          <w:szCs w:val="20"/>
        </w:rPr>
        <w:t>•</w:t>
      </w:r>
      <w:r>
        <w:rPr>
          <w:rFonts w:eastAsia="Times New Roman"/>
          <w:color w:val="000000"/>
          <w:sz w:val="20"/>
          <w:szCs w:val="20"/>
        </w:rPr>
        <w:t>Amortization of DAC decreased $13 million mainly due to the favorable impact of reactivity to adverse mor</w:t>
      </w:r>
      <w:r>
        <w:rPr>
          <w:rFonts w:eastAsia="Times New Roman"/>
          <w:color w:val="000000"/>
          <w:sz w:val="20"/>
          <w:szCs w:val="20"/>
        </w:rPr>
        <w:t>tality experience, and lower baseline amortization</w:t>
      </w:r>
      <w:r>
        <w:rPr>
          <w:rFonts w:eastAsia="Times New Roman"/>
          <w:color w:val="000000"/>
          <w:sz w:val="20"/>
          <w:szCs w:val="20"/>
        </w:rPr>
        <w:t>.</w:t>
      </w:r>
    </w:p>
    <w:p w:rsidR="00000000" w:rsidRDefault="00775A8F">
      <w:pPr>
        <w:ind w:hanging="360"/>
        <w:divId w:val="812330816"/>
        <w:rPr>
          <w:rFonts w:eastAsia="Times New Roman"/>
        </w:rPr>
      </w:pPr>
      <w:r>
        <w:rPr>
          <w:rFonts w:eastAsia="Times New Roman"/>
          <w:color w:val="000000"/>
          <w:sz w:val="20"/>
          <w:szCs w:val="20"/>
        </w:rPr>
        <w:t>•</w:t>
      </w:r>
      <w:r>
        <w:rPr>
          <w:rFonts w:eastAsia="Times New Roman"/>
          <w:color w:val="000000"/>
          <w:sz w:val="20"/>
          <w:szCs w:val="20"/>
        </w:rPr>
        <w:t>Income tax expense decreased $26 million due to lower pre-tax earnings</w:t>
      </w:r>
      <w:r>
        <w:rPr>
          <w:rFonts w:eastAsia="Times New Roman"/>
          <w:color w:val="000000"/>
          <w:sz w:val="20"/>
          <w:szCs w:val="20"/>
        </w:rPr>
        <w:t>.</w:t>
      </w:r>
    </w:p>
    <w:p w:rsidR="00000000" w:rsidRDefault="00775A8F">
      <w:pPr>
        <w:jc w:val="center"/>
        <w:divId w:val="1329603264"/>
        <w:rPr>
          <w:rFonts w:eastAsia="Times New Roman"/>
        </w:rPr>
      </w:pPr>
      <w:r>
        <w:rPr>
          <w:rFonts w:eastAsia="Times New Roman"/>
          <w:color w:val="000000"/>
          <w:sz w:val="20"/>
          <w:szCs w:val="20"/>
        </w:rPr>
        <w:t>9</w:t>
      </w:r>
      <w:r>
        <w:rPr>
          <w:rFonts w:eastAsia="Times New Roman"/>
          <w:color w:val="000000"/>
          <w:sz w:val="20"/>
          <w:szCs w:val="20"/>
        </w:rPr>
        <w:t>0</w:t>
      </w:r>
    </w:p>
    <w:p w:rsidR="00000000" w:rsidRDefault="00775A8F">
      <w:pPr>
        <w:rPr>
          <w:rFonts w:eastAsia="Times New Roman"/>
        </w:rPr>
      </w:pPr>
      <w:r>
        <w:rPr>
          <w:rFonts w:eastAsia="Times New Roman"/>
        </w:rPr>
        <w:pict>
          <v:rect id="_x0000_i1116" style="width:0;height:1.5pt" o:hralign="center" o:hrstd="t" o:hr="t" fillcolor="#a0a0a0" stroked="f"/>
        </w:pict>
      </w:r>
    </w:p>
    <w:p w:rsidR="00000000" w:rsidRDefault="00775A8F">
      <w:pPr>
        <w:divId w:val="1552040352"/>
        <w:rPr>
          <w:rFonts w:eastAsia="Times New Roman"/>
        </w:rPr>
      </w:pPr>
    </w:p>
    <w:p w:rsidR="00000000" w:rsidRDefault="00775A8F">
      <w:pPr>
        <w:divId w:val="1112827087"/>
        <w:rPr>
          <w:rFonts w:eastAsia="Times New Roman"/>
        </w:rPr>
      </w:pPr>
      <w:r>
        <w:rPr>
          <w:rFonts w:eastAsia="Times New Roman"/>
          <w:b/>
          <w:bCs/>
          <w:color w:val="000000"/>
          <w:sz w:val="20"/>
          <w:szCs w:val="20"/>
        </w:rPr>
        <w:t>Corporate and Othe</w:t>
      </w:r>
      <w:r>
        <w:rPr>
          <w:rFonts w:eastAsia="Times New Roman"/>
          <w:b/>
          <w:bCs/>
          <w:color w:val="000000"/>
          <w:sz w:val="20"/>
          <w:szCs w:val="20"/>
        </w:rPr>
        <w:t>r</w:t>
      </w:r>
    </w:p>
    <w:p w:rsidR="00000000" w:rsidRDefault="00775A8F">
      <w:pPr>
        <w:ind w:firstLine="360"/>
        <w:divId w:val="162160666"/>
        <w:rPr>
          <w:rFonts w:eastAsia="Times New Roman"/>
        </w:rPr>
      </w:pPr>
      <w:r>
        <w:rPr>
          <w:rFonts w:eastAsia="Times New Roman"/>
          <w:color w:val="000000"/>
          <w:sz w:val="20"/>
          <w:szCs w:val="20"/>
        </w:rPr>
        <w:t>Corporate and Other includes some of our financing and investment expenses. It also includes: Equitable Advisors broker-dealer business, the Closed Block, run-off variable annuity reinsurance business, run-off group pension business, run-off health busines</w:t>
      </w:r>
      <w:r>
        <w:rPr>
          <w:rFonts w:eastAsia="Times New Roman"/>
          <w:color w:val="000000"/>
          <w:sz w:val="20"/>
          <w:szCs w:val="20"/>
        </w:rPr>
        <w:t>s, benefit plans for our employees, certain strategic investments and certain unallocated items, including capital and related investments, interest expense and financing fees and corporate expense. AB’s results of operations are reflected in the Investmen</w:t>
      </w:r>
      <w:r>
        <w:rPr>
          <w:rFonts w:eastAsia="Times New Roman"/>
          <w:color w:val="000000"/>
          <w:sz w:val="20"/>
          <w:szCs w:val="20"/>
        </w:rPr>
        <w:t>t Management and Research segment. Accordingly, Corporate and Other does not include any items applicable to AB</w:t>
      </w:r>
      <w:r>
        <w:rPr>
          <w:rFonts w:eastAsia="Times New Roman"/>
          <w:color w:val="000000"/>
          <w:sz w:val="20"/>
          <w:szCs w:val="20"/>
        </w:rPr>
        <w:t>.</w:t>
      </w:r>
    </w:p>
    <w:p w:rsidR="00000000" w:rsidRDefault="00775A8F">
      <w:pPr>
        <w:ind w:firstLine="360"/>
        <w:divId w:val="1810901895"/>
        <w:rPr>
          <w:rFonts w:eastAsia="Times New Roman"/>
        </w:rPr>
      </w:pPr>
      <w:r>
        <w:rPr>
          <w:rFonts w:eastAsia="Times New Roman"/>
          <w:color w:val="000000"/>
          <w:sz w:val="20"/>
          <w:szCs w:val="20"/>
        </w:rPr>
        <w:t>The following table summarizes Operating earnings (loss) of Corporate and Other for the periods presented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4189"/>
        <w:gridCol w:w="36"/>
        <w:gridCol w:w="135"/>
        <w:gridCol w:w="589"/>
        <w:gridCol w:w="85"/>
        <w:gridCol w:w="36"/>
        <w:gridCol w:w="36"/>
        <w:gridCol w:w="36"/>
        <w:gridCol w:w="135"/>
        <w:gridCol w:w="597"/>
        <w:gridCol w:w="85"/>
        <w:gridCol w:w="135"/>
        <w:gridCol w:w="597"/>
        <w:gridCol w:w="85"/>
        <w:gridCol w:w="36"/>
        <w:gridCol w:w="36"/>
        <w:gridCol w:w="36"/>
        <w:gridCol w:w="135"/>
        <w:gridCol w:w="553"/>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5"/>
          <w:divId w:val="174074160"/>
        </w:trPr>
        <w:tc>
          <w:tcPr>
            <w:tcW w:w="50" w:type="pct"/>
            <w:vAlign w:val="center"/>
            <w:hideMark/>
          </w:tcPr>
          <w:p w:rsidR="00000000" w:rsidRDefault="00775A8F">
            <w:pPr>
              <w:ind w:firstLine="360"/>
              <w:rPr>
                <w:rFonts w:eastAsia="Times New Roman"/>
              </w:rPr>
            </w:pPr>
          </w:p>
        </w:tc>
        <w:tc>
          <w:tcPr>
            <w:tcW w:w="275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1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3"/>
          <w:divId w:val="17407416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gridAfter w:val="3"/>
          <w:divId w:val="17407416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bottom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407416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8"/>
            <w:tcBorders>
              <w:top w:val="single" w:sz="8" w:space="0" w:color="000000"/>
            </w:tcBorders>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vAlign w:val="center"/>
            <w:hideMark/>
          </w:tcPr>
          <w:p w:rsidR="00000000" w:rsidRDefault="00775A8F">
            <w:pPr>
              <w:jc w:val="center"/>
              <w:rPr>
                <w:rFonts w:eastAsia="Times New Roman"/>
              </w:rPr>
            </w:pPr>
          </w:p>
        </w:tc>
        <w:tc>
          <w:tcPr>
            <w:tcW w:w="0" w:type="auto"/>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74074160"/>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Operating earnings (loss</w:t>
            </w: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w:t>
            </w: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w:t>
            </w: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(157</w:t>
            </w: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(149</w:t>
            </w: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jc w:val="right"/>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992836576"/>
        <w:rPr>
          <w:rFonts w:eastAsia="Times New Roman"/>
        </w:rPr>
      </w:pPr>
    </w:p>
    <w:p w:rsidR="00000000" w:rsidRDefault="00775A8F">
      <w:pPr>
        <w:divId w:val="7427"/>
        <w:rPr>
          <w:rFonts w:eastAsia="Times New Roman"/>
        </w:rPr>
      </w:pPr>
      <w:r>
        <w:rPr>
          <w:rFonts w:eastAsia="Times New Roman"/>
          <w:b/>
          <w:bCs/>
          <w:color w:val="000000"/>
          <w:sz w:val="20"/>
          <w:szCs w:val="20"/>
        </w:rPr>
        <w:t>General Account Investment Portfoli</w:t>
      </w:r>
      <w:r>
        <w:rPr>
          <w:rFonts w:eastAsia="Times New Roman"/>
          <w:b/>
          <w:bCs/>
          <w:color w:val="000000"/>
          <w:sz w:val="20"/>
          <w:szCs w:val="20"/>
        </w:rPr>
        <w:t>o</w:t>
      </w:r>
    </w:p>
    <w:p w:rsidR="00000000" w:rsidRDefault="00775A8F">
      <w:pPr>
        <w:ind w:firstLine="360"/>
        <w:divId w:val="327440005"/>
        <w:rPr>
          <w:rFonts w:eastAsia="Times New Roman"/>
        </w:rPr>
      </w:pPr>
      <w:r>
        <w:rPr>
          <w:rFonts w:eastAsia="Times New Roman"/>
          <w:color w:val="000000"/>
          <w:sz w:val="20"/>
          <w:szCs w:val="20"/>
        </w:rPr>
        <w:t>The General Account investment portfolio supports the insurance and annuity liabilities o</w:t>
      </w:r>
      <w:r>
        <w:rPr>
          <w:rFonts w:eastAsia="Times New Roman"/>
          <w:color w:val="000000"/>
          <w:sz w:val="20"/>
          <w:szCs w:val="20"/>
        </w:rPr>
        <w:t>f our Individual Retirement, Group Retirement and Protection Solutions businesses. Our General Account investment portfolio investment strategy seeks to achieve sustainable risk-adjusted returns by focusing on principal preservation, investment return, dur</w:t>
      </w:r>
      <w:r>
        <w:rPr>
          <w:rFonts w:eastAsia="Times New Roman"/>
          <w:color w:val="000000"/>
          <w:sz w:val="20"/>
          <w:szCs w:val="20"/>
        </w:rPr>
        <w:t>ation and liquidity requirements by product class and the diversification of risks. Investment activities are undertaken according to investment policy statements that contain internally established guidelines and are required to comply with applicable law</w:t>
      </w:r>
      <w:r>
        <w:rPr>
          <w:rFonts w:eastAsia="Times New Roman"/>
          <w:color w:val="000000"/>
          <w:sz w:val="20"/>
          <w:szCs w:val="20"/>
        </w:rPr>
        <w:t>s and insurance regulations. Risk tolerances are established for credit risk, market risk, liquidity risk and concentration risk across types of issuers and asset classes that seek to mitigate the impact of cash flow variability arising from these risks. T</w:t>
      </w:r>
      <w:r>
        <w:rPr>
          <w:rFonts w:eastAsia="Times New Roman"/>
          <w:color w:val="000000"/>
          <w:sz w:val="20"/>
          <w:szCs w:val="20"/>
        </w:rPr>
        <w:t>he impact of COVID-19 continues to be assessed for potential negative impacts to the performance of mortgage loans and fixed maturities</w:t>
      </w:r>
      <w:r>
        <w:rPr>
          <w:rFonts w:eastAsia="Times New Roman"/>
          <w:color w:val="000000"/>
          <w:sz w:val="20"/>
          <w:szCs w:val="20"/>
        </w:rPr>
        <w:t>.</w:t>
      </w:r>
    </w:p>
    <w:p w:rsidR="00000000" w:rsidRDefault="00775A8F">
      <w:pPr>
        <w:ind w:firstLine="360"/>
        <w:divId w:val="1488327285"/>
        <w:rPr>
          <w:rFonts w:eastAsia="Times New Roman"/>
        </w:rPr>
      </w:pPr>
      <w:r>
        <w:rPr>
          <w:rFonts w:eastAsia="Times New Roman"/>
          <w:color w:val="000000"/>
          <w:sz w:val="20"/>
          <w:szCs w:val="20"/>
        </w:rPr>
        <w:t>The General Account investment portfolio consists largely of investment grade fixed maturities, short-term investments,</w:t>
      </w:r>
      <w:r>
        <w:rPr>
          <w:rFonts w:eastAsia="Times New Roman"/>
          <w:color w:val="000000"/>
          <w:sz w:val="20"/>
          <w:szCs w:val="20"/>
        </w:rPr>
        <w:t xml:space="preserve"> commercial and agricultural mortgage loans, alternative investments and other financial instruments. Fixed maturities include publicly issued corporate bonds, government bonds, privately placed notes and bonds, bonds issued by states and municipalities, m</w:t>
      </w:r>
      <w:r>
        <w:rPr>
          <w:rFonts w:eastAsia="Times New Roman"/>
          <w:color w:val="000000"/>
          <w:sz w:val="20"/>
          <w:szCs w:val="20"/>
        </w:rPr>
        <w:t xml:space="preserve">ortgage-backed securities and asset-backed securities. The General Account investment portfolio also includes credit derivatives to replicate exposure to individual securities or pools of securities as a means of achieving credit exposure similar to bonds </w:t>
      </w:r>
      <w:r>
        <w:rPr>
          <w:rFonts w:eastAsia="Times New Roman"/>
          <w:color w:val="000000"/>
          <w:sz w:val="20"/>
          <w:szCs w:val="20"/>
        </w:rPr>
        <w:t>of the underlying issuer(s) more efficiently. In addition, from time to time we use derivatives for hedging purposes to reduce our exposure to equity markets, interest rates and credit spreads</w:t>
      </w:r>
      <w:r>
        <w:rPr>
          <w:rFonts w:eastAsia="Times New Roman"/>
          <w:color w:val="000000"/>
          <w:sz w:val="20"/>
          <w:szCs w:val="20"/>
        </w:rPr>
        <w:t>.</w:t>
      </w:r>
    </w:p>
    <w:p w:rsidR="00000000" w:rsidRDefault="00775A8F">
      <w:pPr>
        <w:ind w:firstLine="360"/>
        <w:divId w:val="758598694"/>
        <w:rPr>
          <w:rFonts w:eastAsia="Times New Roman"/>
        </w:rPr>
      </w:pPr>
      <w:r>
        <w:rPr>
          <w:rFonts w:eastAsia="Times New Roman"/>
          <w:color w:val="000000"/>
          <w:sz w:val="20"/>
          <w:szCs w:val="20"/>
        </w:rPr>
        <w:t>As part of our asset and liability management strategies, we m</w:t>
      </w:r>
      <w:r>
        <w:rPr>
          <w:rFonts w:eastAsia="Times New Roman"/>
          <w:color w:val="000000"/>
          <w:sz w:val="20"/>
          <w:szCs w:val="20"/>
        </w:rPr>
        <w:t>aintain a weighted average duration for our General Account investment portfolio that is within an acceptable range of the estimated duration of our liabilities given our risk appetite and hedging programs. Our asset and liability management strategies are</w:t>
      </w:r>
      <w:r>
        <w:rPr>
          <w:rFonts w:eastAsia="Times New Roman"/>
          <w:color w:val="000000"/>
          <w:sz w:val="20"/>
          <w:szCs w:val="20"/>
        </w:rPr>
        <w:t xml:space="preserve"> applied to portfolio duration groups within the General Account investment portfolio. For example, we maintain a “short duration” group comprised primarily of investment grade fixed maturity securities that are aligned with the duration of product liabili</w:t>
      </w:r>
      <w:r>
        <w:rPr>
          <w:rFonts w:eastAsia="Times New Roman"/>
          <w:color w:val="000000"/>
          <w:sz w:val="20"/>
          <w:szCs w:val="20"/>
        </w:rPr>
        <w:t>ties with an average duration of less than six years (e.g., our SCS product). As of June 30, 2020 and December 31, 2019, 60% and 62% of the fixed maturities in the short duration group were rated NAIC 1, and 40% and 38% were rated NAIC 2, respectively. Dur</w:t>
      </w:r>
      <w:r>
        <w:rPr>
          <w:rFonts w:eastAsia="Times New Roman"/>
          <w:color w:val="000000"/>
          <w:sz w:val="20"/>
          <w:szCs w:val="20"/>
        </w:rPr>
        <w:t>ing the second quarter of 2020, new purchases from both new money flows and portfolio rebalancing activity were designated as AFS included in fixed maturities. The remaining trading securities in the short duration VA portfolio will be opportunistically re</w:t>
      </w:r>
      <w:r>
        <w:rPr>
          <w:rFonts w:eastAsia="Times New Roman"/>
          <w:color w:val="000000"/>
          <w:sz w:val="20"/>
          <w:szCs w:val="20"/>
        </w:rPr>
        <w:t>balanced to AFS and shown with fixed maturities, which is consistent with other portfolios in our General Account. New AFS assets included in fixed maturities had an amortized cost of $14.5 billion as of June 30, 2020</w:t>
      </w:r>
      <w:r>
        <w:rPr>
          <w:rFonts w:eastAsia="Times New Roman"/>
          <w:color w:val="000000"/>
          <w:sz w:val="20"/>
          <w:szCs w:val="20"/>
        </w:rPr>
        <w:t>.</w:t>
      </w:r>
    </w:p>
    <w:p w:rsidR="00000000" w:rsidRDefault="00775A8F">
      <w:pPr>
        <w:ind w:firstLine="360"/>
        <w:divId w:val="1581792863"/>
        <w:rPr>
          <w:rFonts w:eastAsia="Times New Roman"/>
        </w:rPr>
      </w:pPr>
      <w:r>
        <w:rPr>
          <w:rFonts w:eastAsia="Times New Roman"/>
          <w:color w:val="000000"/>
          <w:sz w:val="20"/>
          <w:szCs w:val="20"/>
        </w:rPr>
        <w:t>The General Account invests in commer</w:t>
      </w:r>
      <w:r>
        <w:rPr>
          <w:rFonts w:eastAsia="Times New Roman"/>
          <w:color w:val="000000"/>
          <w:sz w:val="20"/>
          <w:szCs w:val="20"/>
        </w:rPr>
        <w:t>cial and agricultural mortgage loans, included in the balance sheet as Mortgage loans on real estate, and privately negotiated fixed maturities, included in the balance sheet as fixed maturities AFS. Under certain circumstances, modifications are granted t</w:t>
      </w:r>
      <w:r>
        <w:rPr>
          <w:rFonts w:eastAsia="Times New Roman"/>
          <w:color w:val="000000"/>
          <w:sz w:val="20"/>
          <w:szCs w:val="20"/>
        </w:rPr>
        <w:t xml:space="preserve">o these contracts. These modifications were determined not to be Troubled Debt Restructurings. At June 30, 2020, the General Account had twenty commercial mortgage loans with a carrying value of $830 million in which short term modifications were granted. </w:t>
      </w:r>
      <w:r>
        <w:rPr>
          <w:rFonts w:eastAsia="Times New Roman"/>
          <w:color w:val="000000"/>
          <w:sz w:val="20"/>
          <w:szCs w:val="20"/>
        </w:rPr>
        <w:t>Forbearance agreements reduced mortgage payments for a set time period. The commercial mortgage modifications were a result of the COVID-19 pandemic’s impact on the underlying real estate operations. The General Account did not have any agricultural mortga</w:t>
      </w:r>
      <w:r>
        <w:rPr>
          <w:rFonts w:eastAsia="Times New Roman"/>
          <w:color w:val="000000"/>
          <w:sz w:val="20"/>
          <w:szCs w:val="20"/>
        </w:rPr>
        <w:t xml:space="preserve">ge loans for which modifications were granted at June 30, 2020. At June 30, 2020, the General Account had two privately negotiated fixed maturity modifications with a carrying value of $8 million. The modifications to privately negotiated fixed maturities </w:t>
      </w:r>
      <w:r>
        <w:rPr>
          <w:rFonts w:eastAsia="Times New Roman"/>
          <w:color w:val="000000"/>
          <w:sz w:val="20"/>
          <w:szCs w:val="20"/>
        </w:rPr>
        <w:t>were to allow for the postponement or reduction in interest or principal payments for a defined period. The modifications were agreed upon to support several investments that had operations decline primarily due to the COVID-19 pandemic. The commercial mor</w:t>
      </w:r>
      <w:r>
        <w:rPr>
          <w:rFonts w:eastAsia="Times New Roman"/>
          <w:color w:val="000000"/>
          <w:sz w:val="20"/>
          <w:szCs w:val="20"/>
        </w:rPr>
        <w:t>tgage loans and privately negotiated fixed maturities modifications are 1% of the General Account’s total invested assets.</w:t>
      </w:r>
      <w:r>
        <w:rPr>
          <w:rFonts w:eastAsia="Times New Roman"/>
          <w:color w:val="000000"/>
          <w:sz w:val="20"/>
          <w:szCs w:val="20"/>
        </w:rPr>
        <w:t xml:space="preserve"> </w:t>
      </w:r>
    </w:p>
    <w:p w:rsidR="00000000" w:rsidRDefault="00775A8F">
      <w:pPr>
        <w:divId w:val="1862627491"/>
        <w:rPr>
          <w:rFonts w:eastAsia="Times New Roman"/>
        </w:rPr>
      </w:pPr>
    </w:p>
    <w:p w:rsidR="00000000" w:rsidRDefault="00775A8F">
      <w:pPr>
        <w:rPr>
          <w:rFonts w:eastAsia="Times New Roman"/>
        </w:rPr>
      </w:pPr>
      <w:r>
        <w:rPr>
          <w:rFonts w:eastAsia="Times New Roman"/>
        </w:rPr>
        <w:pict>
          <v:rect id="_x0000_i1117" style="width:0;height:1.5pt" o:hralign="center" o:hrstd="t" o:hr="t" fillcolor="#a0a0a0" stroked="f"/>
        </w:pict>
      </w:r>
    </w:p>
    <w:p w:rsidR="00000000" w:rsidRDefault="00775A8F">
      <w:pPr>
        <w:divId w:val="965351545"/>
        <w:rPr>
          <w:rFonts w:eastAsia="Times New Roman"/>
        </w:rPr>
      </w:pPr>
    </w:p>
    <w:p w:rsidR="00000000" w:rsidRDefault="00775A8F">
      <w:pPr>
        <w:ind w:firstLine="360"/>
        <w:divId w:val="906257463"/>
        <w:rPr>
          <w:rFonts w:eastAsia="Times New Roman"/>
        </w:rPr>
      </w:pPr>
      <w:r>
        <w:rPr>
          <w:rFonts w:eastAsia="Times New Roman"/>
          <w:color w:val="000000"/>
          <w:sz w:val="20"/>
          <w:szCs w:val="20"/>
        </w:rPr>
        <w:t>Investment portfolios are primarily managed by legal entity with dedicated portfolios for ce</w:t>
      </w:r>
      <w:r>
        <w:rPr>
          <w:rFonts w:eastAsia="Times New Roman"/>
          <w:color w:val="000000"/>
          <w:sz w:val="20"/>
          <w:szCs w:val="20"/>
        </w:rPr>
        <w:t>rtain blocks of business. For portfolios that back multiple product groups, investment results are allocated to business segments</w:t>
      </w:r>
      <w:r>
        <w:rPr>
          <w:rFonts w:eastAsia="Times New Roman"/>
          <w:color w:val="000000"/>
          <w:sz w:val="20"/>
          <w:szCs w:val="20"/>
        </w:rPr>
        <w:t>.</w:t>
      </w:r>
    </w:p>
    <w:p w:rsidR="00000000" w:rsidRDefault="00775A8F">
      <w:pPr>
        <w:ind w:firstLine="360"/>
        <w:divId w:val="1120106492"/>
        <w:rPr>
          <w:rFonts w:eastAsia="Times New Roman"/>
        </w:rPr>
      </w:pPr>
      <w:r>
        <w:rPr>
          <w:rFonts w:eastAsia="Times New Roman"/>
          <w:color w:val="000000"/>
          <w:sz w:val="20"/>
          <w:szCs w:val="20"/>
        </w:rPr>
        <w:t>The General Account investment portfolio reflects certain differences from the presentation of the U.S. GAAP Consolidated Fin</w:t>
      </w:r>
      <w:r>
        <w:rPr>
          <w:rFonts w:eastAsia="Times New Roman"/>
          <w:color w:val="000000"/>
          <w:sz w:val="20"/>
          <w:szCs w:val="20"/>
        </w:rPr>
        <w:t>ancial Statements. This presentation is consistent with how we manage the General Account investment portfolio. For further investment information, please refer to Note 3 and Note 4 of the Notes to the Consolidated Financial Statements</w:t>
      </w:r>
      <w:r>
        <w:rPr>
          <w:rFonts w:eastAsia="Times New Roman"/>
          <w:color w:val="000000"/>
          <w:sz w:val="20"/>
          <w:szCs w:val="20"/>
        </w:rPr>
        <w:t>.</w:t>
      </w:r>
    </w:p>
    <w:p w:rsidR="00000000" w:rsidRDefault="00775A8F">
      <w:pPr>
        <w:ind w:firstLine="360"/>
        <w:divId w:val="594900512"/>
        <w:rPr>
          <w:rFonts w:eastAsia="Times New Roman"/>
        </w:rPr>
      </w:pPr>
      <w:r>
        <w:rPr>
          <w:rFonts w:eastAsia="Times New Roman"/>
          <w:color w:val="000000"/>
          <w:sz w:val="20"/>
          <w:szCs w:val="20"/>
        </w:rPr>
        <w:t>The General Account</w:t>
      </w:r>
      <w:r>
        <w:rPr>
          <w:rFonts w:eastAsia="Times New Roman"/>
          <w:color w:val="000000"/>
          <w:sz w:val="20"/>
          <w:szCs w:val="20"/>
        </w:rPr>
        <w:t xml:space="preserve"> adopted CECL effective January 1, 2020. For further information regarding the adoption of CECL, please refer to Note 2 in the Notes to the Consolidated Financial Statements.</w:t>
      </w:r>
      <w:r>
        <w:rPr>
          <w:rFonts w:eastAsia="Times New Roman"/>
          <w:color w:val="000000"/>
          <w:sz w:val="20"/>
          <w:szCs w:val="20"/>
        </w:rPr>
        <w:t xml:space="preserve"> </w:t>
      </w:r>
    </w:p>
    <w:p w:rsidR="00000000" w:rsidRDefault="00775A8F">
      <w:pPr>
        <w:jc w:val="both"/>
        <w:divId w:val="1126777184"/>
        <w:rPr>
          <w:rFonts w:eastAsia="Times New Roman"/>
        </w:rPr>
      </w:pPr>
      <w:r>
        <w:rPr>
          <w:rFonts w:eastAsia="Times New Roman"/>
          <w:b/>
          <w:bCs/>
          <w:i/>
          <w:iCs/>
          <w:color w:val="000000"/>
          <w:sz w:val="20"/>
          <w:szCs w:val="20"/>
        </w:rPr>
        <w:t>Investment Results of the General Account Investment Portfoli</w:t>
      </w:r>
      <w:r>
        <w:rPr>
          <w:rFonts w:eastAsia="Times New Roman"/>
          <w:b/>
          <w:bCs/>
          <w:i/>
          <w:iCs/>
          <w:color w:val="000000"/>
          <w:sz w:val="20"/>
          <w:szCs w:val="20"/>
        </w:rPr>
        <w:t>o</w:t>
      </w:r>
    </w:p>
    <w:p w:rsidR="00000000" w:rsidRDefault="00775A8F">
      <w:pPr>
        <w:ind w:firstLine="360"/>
        <w:divId w:val="140080065"/>
        <w:rPr>
          <w:rFonts w:eastAsia="Times New Roman"/>
        </w:rPr>
      </w:pPr>
      <w:r>
        <w:rPr>
          <w:rFonts w:eastAsia="Times New Roman"/>
          <w:color w:val="000000"/>
          <w:sz w:val="20"/>
          <w:szCs w:val="20"/>
        </w:rPr>
        <w:t>The following table summarizes the General Account investment portfolio results with Non-GAAP Operating Earnings adjustments by asset category for the periods indicated. This presentation is consistent with how we measure investment performance for managem</w:t>
      </w:r>
      <w:r>
        <w:rPr>
          <w:rFonts w:eastAsia="Times New Roman"/>
          <w:color w:val="000000"/>
          <w:sz w:val="20"/>
          <w:szCs w:val="20"/>
        </w:rPr>
        <w:t>ent purposes</w:t>
      </w:r>
      <w:r>
        <w:rPr>
          <w:rFonts w:eastAsia="Times New Roman"/>
          <w:color w:val="000000"/>
          <w:sz w:val="20"/>
          <w:szCs w:val="20"/>
        </w:rPr>
        <w:t>.</w:t>
      </w:r>
    </w:p>
    <w:tbl>
      <w:tblPr>
        <w:tblW w:w="4576" w:type="pct"/>
        <w:tblCellMar>
          <w:top w:w="15" w:type="dxa"/>
          <w:left w:w="15" w:type="dxa"/>
          <w:bottom w:w="15" w:type="dxa"/>
          <w:right w:w="15" w:type="dxa"/>
        </w:tblCellMar>
        <w:tblLook w:val="04A0" w:firstRow="1" w:lastRow="0" w:firstColumn="1" w:lastColumn="0" w:noHBand="0" w:noVBand="1"/>
      </w:tblPr>
      <w:tblGrid>
        <w:gridCol w:w="40"/>
        <w:gridCol w:w="2885"/>
        <w:gridCol w:w="39"/>
        <w:gridCol w:w="50"/>
        <w:gridCol w:w="674"/>
        <w:gridCol w:w="235"/>
        <w:gridCol w:w="36"/>
        <w:gridCol w:w="36"/>
        <w:gridCol w:w="36"/>
        <w:gridCol w:w="135"/>
        <w:gridCol w:w="682"/>
        <w:gridCol w:w="85"/>
        <w:gridCol w:w="36"/>
        <w:gridCol w:w="36"/>
        <w:gridCol w:w="36"/>
        <w:gridCol w:w="42"/>
        <w:gridCol w:w="657"/>
        <w:gridCol w:w="202"/>
        <w:gridCol w:w="36"/>
        <w:gridCol w:w="36"/>
        <w:gridCol w:w="36"/>
        <w:gridCol w:w="135"/>
        <w:gridCol w:w="684"/>
        <w:gridCol w:w="85"/>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18"/>
          <w:divId w:val="915360662"/>
        </w:trPr>
        <w:tc>
          <w:tcPr>
            <w:tcW w:w="50" w:type="pct"/>
            <w:vAlign w:val="center"/>
            <w:hideMark/>
          </w:tcPr>
          <w:p w:rsidR="00000000" w:rsidRDefault="00775A8F">
            <w:pPr>
              <w:ind w:firstLine="360"/>
              <w:rPr>
                <w:rFonts w:eastAsia="Times New Roman"/>
              </w:rPr>
            </w:pPr>
          </w:p>
        </w:tc>
        <w:tc>
          <w:tcPr>
            <w:tcW w:w="212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6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91536066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Three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91536066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2020 (3</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Yiel</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Amount (2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Yiel</w:t>
            </w:r>
            <w:r>
              <w:rPr>
                <w:rFonts w:eastAsia="Times New Roman"/>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Amount (2</w:t>
            </w:r>
            <w:r>
              <w:rPr>
                <w:rFonts w:eastAsia="Times New Roman"/>
                <w:color w:val="000000"/>
                <w:sz w:val="16"/>
                <w:szCs w:val="16"/>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915360662"/>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Fixed Maturities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565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67,302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54,315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Mortgages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12,288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Other Equity Investments (1)</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(18.84</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(72</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1,497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Policy Loans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Cash and Short-term Investments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4,567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Repurchase and funding agreements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Interest expense and othe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assets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(6,700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Invested Assets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82,878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71,020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Short Duration Fixed Maturities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5,755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8,797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Total</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Investment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712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Less: investment fee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(0.11</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Investment Income,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3.20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688</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775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915360662"/>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Ending Net Asset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88,633</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79,817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739285193"/>
        <w:rPr>
          <w:rFonts w:eastAsia="Times New Roman"/>
        </w:rPr>
      </w:pPr>
      <w:r>
        <w:rPr>
          <w:rFonts w:eastAsia="Times New Roman"/>
          <w:color w:val="000000"/>
          <w:sz w:val="20"/>
          <w:szCs w:val="20"/>
        </w:rPr>
        <w:t>9</w:t>
      </w:r>
      <w:r>
        <w:rPr>
          <w:rFonts w:eastAsia="Times New Roman"/>
          <w:color w:val="000000"/>
          <w:sz w:val="20"/>
          <w:szCs w:val="20"/>
        </w:rPr>
        <w:t>2</w:t>
      </w:r>
    </w:p>
    <w:p w:rsidR="00000000" w:rsidRDefault="00775A8F">
      <w:pPr>
        <w:rPr>
          <w:rFonts w:eastAsia="Times New Roman"/>
        </w:rPr>
      </w:pPr>
      <w:r>
        <w:rPr>
          <w:rFonts w:eastAsia="Times New Roman"/>
        </w:rPr>
        <w:pict>
          <v:rect id="_x0000_i1118" style="width:0;height:1.5pt" o:hralign="center" o:hrstd="t" o:hr="t" fillcolor="#a0a0a0" stroked="f"/>
        </w:pict>
      </w:r>
    </w:p>
    <w:p w:rsidR="00000000" w:rsidRDefault="00775A8F">
      <w:pPr>
        <w:divId w:val="1948732286"/>
        <w:rPr>
          <w:rFonts w:eastAsia="Times New Roman"/>
        </w:rPr>
      </w:pPr>
    </w:p>
    <w:tbl>
      <w:tblPr>
        <w:tblW w:w="4605" w:type="pct"/>
        <w:tblCellMar>
          <w:top w:w="15" w:type="dxa"/>
          <w:left w:w="15" w:type="dxa"/>
          <w:bottom w:w="15" w:type="dxa"/>
          <w:right w:w="15" w:type="dxa"/>
        </w:tblCellMar>
        <w:tblLook w:val="04A0" w:firstRow="1" w:lastRow="0" w:firstColumn="1" w:lastColumn="0" w:noHBand="0" w:noVBand="1"/>
      </w:tblPr>
      <w:tblGrid>
        <w:gridCol w:w="40"/>
        <w:gridCol w:w="1482"/>
        <w:gridCol w:w="39"/>
        <w:gridCol w:w="61"/>
        <w:gridCol w:w="443"/>
        <w:gridCol w:w="235"/>
        <w:gridCol w:w="36"/>
        <w:gridCol w:w="36"/>
        <w:gridCol w:w="36"/>
        <w:gridCol w:w="135"/>
        <w:gridCol w:w="615"/>
        <w:gridCol w:w="85"/>
        <w:gridCol w:w="36"/>
        <w:gridCol w:w="36"/>
        <w:gridCol w:w="36"/>
        <w:gridCol w:w="63"/>
        <w:gridCol w:w="441"/>
        <w:gridCol w:w="202"/>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120"/>
        <w:gridCol w:w="120"/>
        <w:gridCol w:w="120"/>
        <w:gridCol w:w="36"/>
        <w:gridCol w:w="36"/>
        <w:gridCol w:w="36"/>
        <w:gridCol w:w="233"/>
        <w:gridCol w:w="233"/>
        <w:gridCol w:w="233"/>
        <w:gridCol w:w="36"/>
        <w:gridCol w:w="36"/>
        <w:gridCol w:w="36"/>
        <w:gridCol w:w="36"/>
        <w:gridCol w:w="36"/>
        <w:gridCol w:w="36"/>
      </w:tblGrid>
      <w:tr w:rsidR="00000000">
        <w:trPr>
          <w:gridAfter w:val="24"/>
          <w:divId w:val="1825126495"/>
        </w:trPr>
        <w:tc>
          <w:tcPr>
            <w:tcW w:w="50" w:type="pct"/>
            <w:vAlign w:val="center"/>
            <w:hideMark/>
          </w:tcPr>
          <w:p w:rsidR="00000000" w:rsidRDefault="00775A8F">
            <w:pPr>
              <w:rPr>
                <w:rFonts w:eastAsia="Times New Roman"/>
              </w:rPr>
            </w:pPr>
          </w:p>
        </w:tc>
        <w:tc>
          <w:tcPr>
            <w:tcW w:w="222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6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8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5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368"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825126495"/>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1"/>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Year Ended December 3</w:t>
            </w:r>
            <w:r>
              <w:rPr>
                <w:rFonts w:eastAsia="Times New Roman"/>
                <w:color w:val="000000"/>
                <w:sz w:val="16"/>
                <w:szCs w:val="16"/>
              </w:rPr>
              <w:t>1</w:t>
            </w:r>
          </w:p>
        </w:tc>
      </w:tr>
      <w:tr w:rsidR="00000000">
        <w:trPr>
          <w:gridAfter w:val="6"/>
          <w:divId w:val="182512649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gridAfter w:val="6"/>
          <w:divId w:val="1825126495"/>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Yiel</w:t>
            </w:r>
            <w:r>
              <w:rPr>
                <w:rFonts w:eastAsia="Times New Roman"/>
                <w:b/>
                <w:bCs/>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Amount (2</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Yiel</w:t>
            </w:r>
            <w:r>
              <w:rPr>
                <w:rFonts w:eastAsia="Times New Roman"/>
                <w:color w:val="000000"/>
                <w:sz w:val="16"/>
                <w:szCs w:val="16"/>
              </w:rPr>
              <w:t>d</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Amount (2</w:t>
            </w:r>
            <w:r>
              <w:rPr>
                <w:rFonts w:eastAsia="Times New Roman"/>
                <w:color w:val="000000"/>
                <w:sz w:val="16"/>
                <w:szCs w:val="16"/>
              </w:rPr>
              <w: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Amount (2</w:t>
            </w:r>
            <w:r>
              <w:rPr>
                <w:rFonts w:eastAsia="Times New Roman"/>
                <w:color w:val="000000"/>
                <w:sz w:val="16"/>
                <w:szCs w:val="16"/>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(Dollars 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825126495"/>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Fixed Maturities</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1,138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67,302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54,315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62,687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Mortgages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4.34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12,288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Other Equity Investments (1)</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(5.66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6.58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1,497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Policy Loans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5.51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3,689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Cash and Short-term Investments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0.04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4,567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1,856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Repurchase and funding agreements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Interest expense and othe</w:t>
            </w:r>
            <w:r>
              <w:rPr>
                <w:rFonts w:eastAsia="Times New Roman"/>
                <w:color w:val="000000"/>
                <w:sz w:val="20"/>
                <w:szCs w:val="20"/>
              </w:rPr>
              <w:t>r</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(46</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assets (liabilities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(6,700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(4,001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(6,909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Invested Assets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1,405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1,322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82,878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71,020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74,983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Short Duration Fixed Maturities</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Income (loss</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Ending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5,755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8,797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Total</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Investment income (loss</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1,501</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1,503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Less: investment fee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(0.12</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(0.08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color w:val="000000"/>
                <w:sz w:val="20"/>
                <w:szCs w:val="20"/>
              </w:rPr>
              <w:t>Investment Income,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1,452</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2,988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825126495"/>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Ending Net Asset</w:t>
            </w:r>
            <w:r>
              <w:rPr>
                <w:rFonts w:eastAsia="Times New Roman"/>
                <w:b/>
                <w:bCs/>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88,633</w:t>
            </w:r>
            <w:r>
              <w:rPr>
                <w:rFonts w:eastAsia="Times New Roman"/>
                <w:b/>
                <w:bCs/>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79,817</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81,156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firstLine="270"/>
        <w:divId w:val="740833777"/>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450"/>
        <w:divId w:val="1867674896"/>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Includes, as of June 30, 2020, June 30, 2019 and December 31, 2019 respectively, $353 million, $209 million and $365 million of other invested assets</w:t>
      </w:r>
      <w:r>
        <w:rPr>
          <w:rFonts w:eastAsia="Times New Roman"/>
          <w:color w:val="000000"/>
          <w:sz w:val="18"/>
          <w:szCs w:val="18"/>
        </w:rPr>
        <w:t>.</w:t>
      </w:r>
    </w:p>
    <w:p w:rsidR="00000000" w:rsidRDefault="00775A8F">
      <w:pPr>
        <w:ind w:hanging="450"/>
        <w:divId w:val="140998900"/>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 xml:space="preserve">Amount for fixed maturities and mortgages represents original cost, reduced </w:t>
      </w:r>
      <w:r>
        <w:rPr>
          <w:rFonts w:eastAsia="Times New Roman"/>
          <w:color w:val="000000"/>
          <w:sz w:val="18"/>
          <w:szCs w:val="18"/>
        </w:rPr>
        <w:t xml:space="preserve">by repayments, write-downs, adjusted amortization of premiums, accretion of discount and allowances. Cost for equity securities represents original cost reduced by write-downs; cost for other limited partnership interests represents original cost adjusted </w:t>
      </w:r>
      <w:r>
        <w:rPr>
          <w:rFonts w:eastAsia="Times New Roman"/>
          <w:color w:val="000000"/>
          <w:sz w:val="18"/>
          <w:szCs w:val="18"/>
        </w:rPr>
        <w:t>for equity in earnings and reduced by distributions</w:t>
      </w:r>
      <w:r>
        <w:rPr>
          <w:rFonts w:eastAsia="Times New Roman"/>
          <w:color w:val="000000"/>
          <w:sz w:val="18"/>
          <w:szCs w:val="18"/>
        </w:rPr>
        <w:t>.</w:t>
      </w:r>
    </w:p>
    <w:p w:rsidR="00000000" w:rsidRDefault="00775A8F">
      <w:pPr>
        <w:jc w:val="both"/>
        <w:divId w:val="1460764460"/>
        <w:rPr>
          <w:rFonts w:eastAsia="Times New Roman"/>
        </w:rPr>
      </w:pPr>
      <w:r>
        <w:rPr>
          <w:rFonts w:eastAsia="Times New Roman"/>
          <w:b/>
          <w:bCs/>
          <w:i/>
          <w:iCs/>
          <w:color w:val="000000"/>
          <w:sz w:val="20"/>
          <w:szCs w:val="20"/>
        </w:rPr>
        <w:t>Fixed Maturitie</w:t>
      </w:r>
      <w:r>
        <w:rPr>
          <w:rFonts w:eastAsia="Times New Roman"/>
          <w:b/>
          <w:bCs/>
          <w:i/>
          <w:iCs/>
          <w:color w:val="000000"/>
          <w:sz w:val="20"/>
          <w:szCs w:val="20"/>
        </w:rPr>
        <w:t>s</w:t>
      </w:r>
    </w:p>
    <w:p w:rsidR="00000000" w:rsidRDefault="00775A8F">
      <w:pPr>
        <w:ind w:firstLine="360"/>
        <w:divId w:val="1803572572"/>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limited below investment grade securities in the General Account investment portfoli</w:t>
      </w:r>
      <w:r>
        <w:rPr>
          <w:rFonts w:eastAsia="Times New Roman"/>
          <w:color w:val="000000"/>
          <w:sz w:val="20"/>
          <w:szCs w:val="20"/>
        </w:rPr>
        <w:t>o consist of “fallen angels,” originally purchased as investment grade, as well as short duration public high yield securities and loans to middle market companies</w:t>
      </w:r>
      <w:r>
        <w:rPr>
          <w:rFonts w:eastAsia="Times New Roman"/>
          <w:color w:val="000000"/>
          <w:sz w:val="20"/>
          <w:szCs w:val="20"/>
        </w:rPr>
        <w:t>.</w:t>
      </w:r>
    </w:p>
    <w:p w:rsidR="00000000" w:rsidRDefault="00775A8F">
      <w:pPr>
        <w:jc w:val="both"/>
        <w:divId w:val="1408917977"/>
        <w:rPr>
          <w:rFonts w:eastAsia="Times New Roman"/>
        </w:rPr>
      </w:pPr>
      <w:r>
        <w:rPr>
          <w:rFonts w:eastAsia="Times New Roman"/>
          <w:b/>
          <w:bCs/>
          <w:i/>
          <w:iCs/>
          <w:color w:val="000000"/>
          <w:sz w:val="20"/>
          <w:szCs w:val="20"/>
        </w:rPr>
        <w:t>Fixed Maturities by Industr</w:t>
      </w:r>
      <w:r>
        <w:rPr>
          <w:rFonts w:eastAsia="Times New Roman"/>
          <w:b/>
          <w:bCs/>
          <w:i/>
          <w:iCs/>
          <w:color w:val="000000"/>
          <w:sz w:val="20"/>
          <w:szCs w:val="20"/>
        </w:rPr>
        <w:t>y</w:t>
      </w:r>
    </w:p>
    <w:p w:rsidR="00000000" w:rsidRDefault="00775A8F">
      <w:pPr>
        <w:ind w:firstLine="360"/>
        <w:divId w:val="1975744633"/>
        <w:rPr>
          <w:rFonts w:eastAsia="Times New Roman"/>
        </w:rPr>
      </w:pPr>
      <w:r>
        <w:rPr>
          <w:rFonts w:eastAsia="Times New Roman"/>
          <w:color w:val="000000"/>
          <w:sz w:val="20"/>
          <w:szCs w:val="20"/>
        </w:rPr>
        <w:t>The following table sets forth these fixed maturities by indus</w:t>
      </w:r>
      <w:r>
        <w:rPr>
          <w:rFonts w:eastAsia="Times New Roman"/>
          <w:color w:val="000000"/>
          <w:sz w:val="20"/>
          <w:szCs w:val="20"/>
        </w:rPr>
        <w:t>try category as of the dates indicated along with their associated gross unrealized gains and losses</w:t>
      </w:r>
      <w:r>
        <w:rPr>
          <w:rFonts w:eastAsia="Times New Roman"/>
          <w:color w:val="000000"/>
          <w:sz w:val="20"/>
          <w:szCs w:val="20"/>
        </w:rPr>
        <w:t>.</w:t>
      </w:r>
    </w:p>
    <w:p w:rsidR="00000000" w:rsidRDefault="00775A8F">
      <w:pPr>
        <w:jc w:val="center"/>
        <w:divId w:val="1682127614"/>
        <w:rPr>
          <w:rFonts w:eastAsia="Times New Roman"/>
        </w:rPr>
      </w:pPr>
      <w:r>
        <w:rPr>
          <w:rFonts w:eastAsia="Times New Roman"/>
          <w:color w:val="000000"/>
          <w:sz w:val="20"/>
          <w:szCs w:val="20"/>
        </w:rPr>
        <w:t>9</w:t>
      </w:r>
      <w:r>
        <w:rPr>
          <w:rFonts w:eastAsia="Times New Roman"/>
          <w:color w:val="000000"/>
          <w:sz w:val="20"/>
          <w:szCs w:val="20"/>
        </w:rPr>
        <w:t>3</w:t>
      </w:r>
    </w:p>
    <w:p w:rsidR="00000000" w:rsidRDefault="00775A8F">
      <w:pPr>
        <w:rPr>
          <w:rFonts w:eastAsia="Times New Roman"/>
        </w:rPr>
      </w:pPr>
      <w:r>
        <w:rPr>
          <w:rFonts w:eastAsia="Times New Roman"/>
        </w:rPr>
        <w:pict>
          <v:rect id="_x0000_i1119" style="width:0;height:1.5pt" o:hralign="center" o:hrstd="t" o:hr="t" fillcolor="#a0a0a0" stroked="f"/>
        </w:pict>
      </w:r>
    </w:p>
    <w:p w:rsidR="00000000" w:rsidRDefault="00775A8F">
      <w:pPr>
        <w:divId w:val="584999677"/>
        <w:rPr>
          <w:rFonts w:eastAsia="Times New Roman"/>
        </w:rPr>
      </w:pPr>
    </w:p>
    <w:p w:rsidR="00000000" w:rsidRDefault="00775A8F">
      <w:pPr>
        <w:jc w:val="center"/>
        <w:rPr>
          <w:rFonts w:eastAsia="Times New Roman"/>
        </w:rPr>
      </w:pPr>
      <w:r>
        <w:rPr>
          <w:rFonts w:eastAsia="Times New Roman"/>
          <w:b/>
          <w:bCs/>
          <w:color w:val="000000"/>
          <w:sz w:val="20"/>
          <w:szCs w:val="20"/>
        </w:rPr>
        <w:t>Fixed Maturities by Industry (1</w:t>
      </w:r>
      <w:r>
        <w:rPr>
          <w:rFonts w:eastAsia="Times New Roman"/>
          <w:b/>
          <w:bCs/>
          <w:color w:val="000000"/>
          <w:sz w:val="20"/>
          <w:szCs w:val="20"/>
        </w:rPr>
        <w:t>)</w:t>
      </w:r>
    </w:p>
    <w:tbl>
      <w:tblPr>
        <w:tblW w:w="4758" w:type="pct"/>
        <w:tblCellMar>
          <w:top w:w="15" w:type="dxa"/>
          <w:left w:w="15" w:type="dxa"/>
          <w:bottom w:w="15" w:type="dxa"/>
          <w:right w:w="15" w:type="dxa"/>
        </w:tblCellMar>
        <w:tblLook w:val="04A0" w:firstRow="1" w:lastRow="0" w:firstColumn="1" w:lastColumn="0" w:noHBand="0" w:noVBand="1"/>
      </w:tblPr>
      <w:tblGrid>
        <w:gridCol w:w="40"/>
        <w:gridCol w:w="1266"/>
        <w:gridCol w:w="40"/>
        <w:gridCol w:w="135"/>
        <w:gridCol w:w="615"/>
        <w:gridCol w:w="85"/>
        <w:gridCol w:w="36"/>
        <w:gridCol w:w="36"/>
        <w:gridCol w:w="36"/>
        <w:gridCol w:w="136"/>
        <w:gridCol w:w="605"/>
        <w:gridCol w:w="85"/>
        <w:gridCol w:w="36"/>
        <w:gridCol w:w="36"/>
        <w:gridCol w:w="36"/>
        <w:gridCol w:w="136"/>
        <w:gridCol w:w="634"/>
        <w:gridCol w:w="85"/>
        <w:gridCol w:w="36"/>
        <w:gridCol w:w="36"/>
        <w:gridCol w:w="36"/>
        <w:gridCol w:w="136"/>
        <w:gridCol w:w="634"/>
        <w:gridCol w:w="85"/>
        <w:gridCol w:w="36"/>
        <w:gridCol w:w="36"/>
        <w:gridCol w:w="36"/>
        <w:gridCol w:w="135"/>
        <w:gridCol w:w="615"/>
        <w:gridCol w:w="85"/>
        <w:gridCol w:w="36"/>
        <w:gridCol w:w="36"/>
        <w:gridCol w:w="36"/>
        <w:gridCol w:w="78"/>
        <w:gridCol w:w="641"/>
        <w:gridCol w:w="23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038042970"/>
        </w:trPr>
        <w:tc>
          <w:tcPr>
            <w:tcW w:w="50" w:type="pct"/>
            <w:vAlign w:val="center"/>
            <w:hideMark/>
          </w:tcPr>
          <w:p w:rsidR="00000000" w:rsidRDefault="00775A8F">
            <w:pPr>
              <w:jc w:val="center"/>
              <w:rPr>
                <w:rFonts w:eastAsia="Times New Roman"/>
              </w:rPr>
            </w:pPr>
          </w:p>
        </w:tc>
        <w:tc>
          <w:tcPr>
            <w:tcW w:w="162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8"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1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4"/>
          <w:divId w:val="103804297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Amortized Cos</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Allowance for Credit Losse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Gain</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Gross Unrealized Losse</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Percentage of Total (%</w:t>
            </w:r>
            <w:r>
              <w:rPr>
                <w:rFonts w:eastAsia="Times New Roman"/>
                <w:b/>
                <w:bCs/>
                <w:color w:val="000000"/>
                <w:sz w:val="16"/>
                <w:szCs w:val="16"/>
              </w:rPr>
              <w:t>)</w:t>
            </w:r>
          </w:p>
        </w:tc>
      </w:tr>
      <w:tr w:rsidR="00000000">
        <w:trPr>
          <w:divId w:val="1038042970"/>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1038042970"/>
        </w:trPr>
        <w:tc>
          <w:tcPr>
            <w:tcW w:w="0" w:type="auto"/>
            <w:gridSpan w:val="3"/>
            <w:tcMar>
              <w:top w:w="30" w:type="dxa"/>
              <w:left w:w="20" w:type="dxa"/>
              <w:bottom w:w="30" w:type="dxa"/>
              <w:right w:w="20" w:type="dxa"/>
            </w:tcMar>
            <w:hideMark/>
          </w:tcPr>
          <w:p w:rsidR="00000000" w:rsidRDefault="00775A8F">
            <w:pPr>
              <w:divId w:val="555245719"/>
              <w:rPr>
                <w:rFonts w:eastAsia="Times New Roman"/>
              </w:rPr>
            </w:pPr>
            <w:r>
              <w:rPr>
                <w:rFonts w:eastAsia="Times New Roman"/>
                <w:b/>
                <w:bCs/>
                <w:color w:val="000000"/>
                <w:sz w:val="20"/>
                <w:szCs w:val="20"/>
              </w:rPr>
              <w:t>As of June 30, 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Corporate Securities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Financ</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14,014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947</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14,940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Manufacturin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13,253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1,382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Utilitie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5,450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595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6,042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6,856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7,435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3,841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4,039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Retail and wholesal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4,036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Transportatio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2,082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2,304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Total corporate securitie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49,309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4,448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156</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53,588</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U.S. governmen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13,120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4,241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17,361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Residential mortgage-backed (2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State &amp; politica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771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836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Commercial mortgage-backe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879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Asset-backed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2,062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2,045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67,315</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8,950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76,039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As of December 31, 2019 (3</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Corporate Securities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Financ</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12,015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12,480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Manufacturin</w:t>
            </w:r>
            <w:r>
              <w:rPr>
                <w:rFonts w:eastAsia="Times New Roman"/>
                <w:color w:val="000000"/>
                <w:sz w:val="20"/>
                <w:szCs w:val="20"/>
              </w:rPr>
              <w:t>g</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13,340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Utilitie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5,293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Service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6,730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Energ</w:t>
            </w:r>
            <w:r>
              <w:rPr>
                <w:rFonts w:eastAsia="Times New Roman"/>
                <w:color w:val="000000"/>
                <w:sz w:val="20"/>
                <w:szCs w:val="20"/>
              </w:rPr>
              <w:t>y</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3,772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Retail and wholesal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3,691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Transportatio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Total corporate securitie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2,358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47,961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U.S. government and agenc</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14,395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15,379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Residential mortgage-backed (2</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501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State &amp; politica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Foreign government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Commercial mortgage-backe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Asset-backed securitie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38042970"/>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62,687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66,090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422986694"/>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884251659"/>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Investment data has been classified based on standard industry categorizations for domestic public holdings and similar classifications by industry for all other holdings</w:t>
      </w:r>
      <w:r>
        <w:rPr>
          <w:rFonts w:eastAsia="Times New Roman"/>
          <w:color w:val="000000"/>
          <w:sz w:val="18"/>
          <w:szCs w:val="18"/>
        </w:rPr>
        <w:t>.</w:t>
      </w:r>
    </w:p>
    <w:p w:rsidR="00000000" w:rsidRDefault="00775A8F">
      <w:pPr>
        <w:ind w:hanging="360"/>
        <w:divId w:val="1556820685"/>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Includes publicly traded agency pass-through securities and collateralized obliga</w:t>
      </w:r>
      <w:r>
        <w:rPr>
          <w:rFonts w:eastAsia="Times New Roman"/>
          <w:color w:val="000000"/>
          <w:sz w:val="18"/>
          <w:szCs w:val="18"/>
        </w:rPr>
        <w:t>tions</w:t>
      </w:r>
      <w:r>
        <w:rPr>
          <w:rFonts w:eastAsia="Times New Roman"/>
          <w:color w:val="000000"/>
          <w:sz w:val="18"/>
          <w:szCs w:val="18"/>
        </w:rPr>
        <w:t>.</w:t>
      </w:r>
    </w:p>
    <w:p w:rsidR="00000000" w:rsidRDefault="00775A8F">
      <w:pPr>
        <w:ind w:hanging="360"/>
        <w:divId w:val="1916545947"/>
        <w:rPr>
          <w:rFonts w:eastAsia="Times New Roman"/>
        </w:rPr>
      </w:pPr>
      <w:r>
        <w:rPr>
          <w:rFonts w:eastAsia="Times New Roman"/>
          <w:color w:val="000000"/>
          <w:sz w:val="18"/>
          <w:szCs w:val="18"/>
        </w:rPr>
        <w:t>(3</w:t>
      </w:r>
      <w:r>
        <w:rPr>
          <w:rFonts w:eastAsia="Times New Roman"/>
          <w:color w:val="000000"/>
          <w:sz w:val="18"/>
          <w:szCs w:val="18"/>
        </w:rPr>
        <w:t>)</w:t>
      </w:r>
      <w:r>
        <w:rPr>
          <w:rFonts w:eastAsia="Times New Roman"/>
          <w:color w:val="000000"/>
          <w:sz w:val="18"/>
          <w:szCs w:val="18"/>
        </w:rPr>
        <w:t>Excludes amounts reclassified as Held-for-Sale</w:t>
      </w:r>
      <w:r>
        <w:rPr>
          <w:rFonts w:eastAsia="Times New Roman"/>
          <w:color w:val="000000"/>
          <w:sz w:val="18"/>
          <w:szCs w:val="18"/>
        </w:rPr>
        <w:t>.</w:t>
      </w:r>
    </w:p>
    <w:p w:rsidR="00000000" w:rsidRDefault="00775A8F">
      <w:pPr>
        <w:jc w:val="center"/>
        <w:divId w:val="1569615352"/>
        <w:rPr>
          <w:rFonts w:eastAsia="Times New Roman"/>
        </w:rPr>
      </w:pPr>
      <w:r>
        <w:rPr>
          <w:rFonts w:eastAsia="Times New Roman"/>
          <w:color w:val="000000"/>
          <w:sz w:val="20"/>
          <w:szCs w:val="20"/>
        </w:rPr>
        <w:t>9</w:t>
      </w:r>
      <w:r>
        <w:rPr>
          <w:rFonts w:eastAsia="Times New Roman"/>
          <w:color w:val="000000"/>
          <w:sz w:val="20"/>
          <w:szCs w:val="20"/>
        </w:rPr>
        <w:t>4</w:t>
      </w:r>
    </w:p>
    <w:p w:rsidR="00000000" w:rsidRDefault="00775A8F">
      <w:pPr>
        <w:rPr>
          <w:rFonts w:eastAsia="Times New Roman"/>
        </w:rPr>
      </w:pPr>
      <w:r>
        <w:rPr>
          <w:rFonts w:eastAsia="Times New Roman"/>
        </w:rPr>
        <w:pict>
          <v:rect id="_x0000_i1120" style="width:0;height:1.5pt" o:hralign="center" o:hrstd="t" o:hr="t" fillcolor="#a0a0a0" stroked="f"/>
        </w:pict>
      </w:r>
    </w:p>
    <w:p w:rsidR="00000000" w:rsidRDefault="00775A8F">
      <w:pPr>
        <w:divId w:val="1696467070"/>
        <w:rPr>
          <w:rFonts w:eastAsia="Times New Roman"/>
        </w:rPr>
      </w:pPr>
    </w:p>
    <w:p w:rsidR="00000000" w:rsidRDefault="00775A8F">
      <w:pPr>
        <w:jc w:val="both"/>
        <w:divId w:val="121196614"/>
        <w:rPr>
          <w:rFonts w:eastAsia="Times New Roman"/>
        </w:rPr>
      </w:pPr>
      <w:r>
        <w:rPr>
          <w:rFonts w:eastAsia="Times New Roman"/>
          <w:b/>
          <w:bCs/>
          <w:i/>
          <w:iCs/>
          <w:color w:val="000000"/>
          <w:sz w:val="20"/>
          <w:szCs w:val="20"/>
        </w:rPr>
        <w:t>Fixed Maturities Credit Qualit</w:t>
      </w:r>
      <w:r>
        <w:rPr>
          <w:rFonts w:eastAsia="Times New Roman"/>
          <w:b/>
          <w:bCs/>
          <w:i/>
          <w:iCs/>
          <w:color w:val="000000"/>
          <w:sz w:val="20"/>
          <w:szCs w:val="20"/>
        </w:rPr>
        <w:t>y</w:t>
      </w:r>
    </w:p>
    <w:p w:rsidR="00000000" w:rsidRDefault="00775A8F">
      <w:pPr>
        <w:ind w:firstLine="360"/>
        <w:divId w:val="937372386"/>
        <w:rPr>
          <w:rFonts w:eastAsia="Times New Roman"/>
        </w:rPr>
      </w:pPr>
      <w:r>
        <w:rPr>
          <w:rFonts w:eastAsia="Times New Roman"/>
          <w:color w:val="000000"/>
          <w:sz w:val="20"/>
          <w:szCs w:val="20"/>
        </w:rPr>
        <w:t>The Securities Valuation Office (“SVO”) of the National Association of Insurance Commissioners (“NAIC”), evaluates the inves</w:t>
      </w:r>
      <w:r>
        <w:rPr>
          <w:rFonts w:eastAsia="Times New Roman"/>
          <w:color w:val="000000"/>
          <w:sz w:val="20"/>
          <w:szCs w:val="20"/>
        </w:rPr>
        <w:t>tments of insurers for regulatory reporting purposes and assigns fixed maturities to one of six categories (“NAIC Designations”). NAIC Designations of “1” or “2” include fixed maturities considered investment grade, which include securities rated Baa3 or h</w:t>
      </w:r>
      <w:r>
        <w:rPr>
          <w:rFonts w:eastAsia="Times New Roman"/>
          <w:color w:val="000000"/>
          <w:sz w:val="20"/>
          <w:szCs w:val="20"/>
        </w:rPr>
        <w:t xml:space="preserve">igher by Moody’s or BBB- or higher by Standard &amp; Poor’s. NAIC Designations of “3” through “6” are referred to as below investment grade, which include securities rated Ba1 or lower by Moody’s and BB+ or lower by Standard &amp; Poor’s. As a result of time lags </w:t>
      </w:r>
      <w:r>
        <w:rPr>
          <w:rFonts w:eastAsia="Times New Roman"/>
          <w:color w:val="000000"/>
          <w:sz w:val="20"/>
          <w:szCs w:val="20"/>
        </w:rPr>
        <w:t>between the funding of investments and the completion of the SVO filing process, the fixed maturity portfolio typically includes securities that have not yet been rated by the SVO as of each balance sheet date. Pending receipt of SVO ratings, the categoriz</w:t>
      </w:r>
      <w:r>
        <w:rPr>
          <w:rFonts w:eastAsia="Times New Roman"/>
          <w:color w:val="000000"/>
          <w:sz w:val="20"/>
          <w:szCs w:val="20"/>
        </w:rPr>
        <w:t>ation of these securities by NAIC designation is based on the expected ratings indicated by internal analysis</w:t>
      </w:r>
      <w:r>
        <w:rPr>
          <w:rFonts w:eastAsia="Times New Roman"/>
          <w:color w:val="000000"/>
          <w:sz w:val="20"/>
          <w:szCs w:val="20"/>
        </w:rPr>
        <w:t>.</w:t>
      </w:r>
    </w:p>
    <w:p w:rsidR="00000000" w:rsidRDefault="00775A8F">
      <w:pPr>
        <w:ind w:firstLine="360"/>
        <w:divId w:val="628701890"/>
        <w:rPr>
          <w:rFonts w:eastAsia="Times New Roman"/>
        </w:rPr>
      </w:pPr>
      <w:r>
        <w:rPr>
          <w:rFonts w:eastAsia="Times New Roman"/>
          <w:color w:val="000000"/>
          <w:sz w:val="20"/>
          <w:szCs w:val="20"/>
        </w:rPr>
        <w:t>The following table sets forth the General Account’</w:t>
      </w:r>
      <w:r>
        <w:rPr>
          <w:rFonts w:eastAsia="Times New Roman"/>
          <w:color w:val="000000"/>
          <w:sz w:val="20"/>
          <w:szCs w:val="20"/>
        </w:rPr>
        <w:t>s fixed maturities portfolio by NAIC rating at the dates indicated</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Fixed Maturitie</w:t>
      </w:r>
      <w:r>
        <w:rPr>
          <w:rFonts w:eastAsia="Times New Roman"/>
          <w:b/>
          <w:bCs/>
          <w:color w:val="000000"/>
          <w:sz w:val="20"/>
          <w:szCs w:val="20"/>
        </w:rPr>
        <w:t>s</w:t>
      </w:r>
    </w:p>
    <w:tbl>
      <w:tblPr>
        <w:tblW w:w="4671" w:type="pct"/>
        <w:tblCellMar>
          <w:top w:w="15" w:type="dxa"/>
          <w:left w:w="15" w:type="dxa"/>
          <w:bottom w:w="15" w:type="dxa"/>
          <w:right w:w="15" w:type="dxa"/>
        </w:tblCellMar>
        <w:tblLook w:val="04A0" w:firstRow="1" w:lastRow="0" w:firstColumn="1" w:lastColumn="0" w:noHBand="0" w:noVBand="1"/>
      </w:tblPr>
      <w:tblGrid>
        <w:gridCol w:w="68"/>
        <w:gridCol w:w="1605"/>
        <w:gridCol w:w="67"/>
        <w:gridCol w:w="36"/>
        <w:gridCol w:w="36"/>
        <w:gridCol w:w="36"/>
        <w:gridCol w:w="57"/>
        <w:gridCol w:w="816"/>
        <w:gridCol w:w="57"/>
        <w:gridCol w:w="36"/>
        <w:gridCol w:w="36"/>
        <w:gridCol w:w="36"/>
        <w:gridCol w:w="135"/>
        <w:gridCol w:w="615"/>
        <w:gridCol w:w="85"/>
        <w:gridCol w:w="36"/>
        <w:gridCol w:w="36"/>
        <w:gridCol w:w="36"/>
        <w:gridCol w:w="135"/>
        <w:gridCol w:w="615"/>
        <w:gridCol w:w="85"/>
        <w:gridCol w:w="36"/>
        <w:gridCol w:w="36"/>
        <w:gridCol w:w="36"/>
        <w:gridCol w:w="136"/>
        <w:gridCol w:w="640"/>
        <w:gridCol w:w="85"/>
        <w:gridCol w:w="36"/>
        <w:gridCol w:w="36"/>
        <w:gridCol w:w="36"/>
        <w:gridCol w:w="136"/>
        <w:gridCol w:w="640"/>
        <w:gridCol w:w="85"/>
        <w:gridCol w:w="36"/>
        <w:gridCol w:w="36"/>
        <w:gridCol w:w="36"/>
        <w:gridCol w:w="135"/>
        <w:gridCol w:w="615"/>
        <w:gridCol w:w="85"/>
        <w:gridCol w:w="36"/>
        <w:gridCol w:w="36"/>
        <w:gridCol w:w="36"/>
        <w:gridCol w:w="135"/>
        <w:gridCol w:w="615"/>
        <w:gridCol w:w="85"/>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3"/>
          <w:divId w:val="363406838"/>
        </w:trPr>
        <w:tc>
          <w:tcPr>
            <w:tcW w:w="50" w:type="pct"/>
            <w:vAlign w:val="center"/>
            <w:hideMark/>
          </w:tcPr>
          <w:p w:rsidR="00000000" w:rsidRDefault="00775A8F">
            <w:pPr>
              <w:jc w:val="center"/>
              <w:rPr>
                <w:rFonts w:eastAsia="Times New Roman"/>
              </w:rPr>
            </w:pPr>
          </w:p>
        </w:tc>
        <w:tc>
          <w:tcPr>
            <w:tcW w:w="118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72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9"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23"/>
          <w:divId w:val="36340683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NAIC Designation</w:t>
            </w:r>
            <w:r>
              <w:rPr>
                <w:rFonts w:eastAsia="Times New Roman"/>
                <w:b/>
                <w:bCs/>
                <w:color w:val="000000"/>
                <w:sz w:val="16"/>
                <w:szCs w:val="16"/>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Rating Agency Equivalen</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w:t>
            </w:r>
            <w:r>
              <w:rPr>
                <w:rFonts w:eastAsia="Times New Roman"/>
                <w:b/>
                <w:bCs/>
                <w:color w:val="000000"/>
                <w:sz w:val="16"/>
                <w:szCs w:val="16"/>
              </w:rPr>
              <w:t>d</w:t>
            </w:r>
          </w:p>
          <w:p w:rsidR="00000000" w:rsidRDefault="00775A8F">
            <w:pPr>
              <w:jc w:val="center"/>
              <w:rPr>
                <w:rFonts w:eastAsia="Times New Roman"/>
              </w:rPr>
            </w:pPr>
            <w:r>
              <w:rPr>
                <w:rFonts w:eastAsia="Times New Roman"/>
                <w:b/>
                <w:bCs/>
                <w:color w:val="000000"/>
                <w:sz w:val="16"/>
                <w:szCs w:val="16"/>
              </w:rPr>
              <w:t>Cos</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Allowance for Credit Losse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w:t>
            </w:r>
            <w:r>
              <w:rPr>
                <w:rFonts w:eastAsia="Times New Roman"/>
                <w:b/>
                <w:bCs/>
                <w:color w:val="000000"/>
                <w:sz w:val="16"/>
                <w:szCs w:val="16"/>
              </w:rPr>
              <w:t>s</w:t>
            </w:r>
          </w:p>
          <w:p w:rsidR="00000000" w:rsidRDefault="00775A8F">
            <w:pPr>
              <w:jc w:val="center"/>
              <w:rPr>
                <w:rFonts w:eastAsia="Times New Roman"/>
              </w:rPr>
            </w:pPr>
            <w:r>
              <w:rPr>
                <w:rFonts w:eastAsia="Times New Roman"/>
                <w:b/>
                <w:bCs/>
                <w:color w:val="000000"/>
                <w:sz w:val="16"/>
                <w:szCs w:val="16"/>
              </w:rPr>
              <w:t>Unrealize</w:t>
            </w:r>
            <w:r>
              <w:rPr>
                <w:rFonts w:eastAsia="Times New Roman"/>
                <w:b/>
                <w:bCs/>
                <w:color w:val="000000"/>
                <w:sz w:val="16"/>
                <w:szCs w:val="16"/>
              </w:rPr>
              <w:t>d</w:t>
            </w:r>
          </w:p>
          <w:p w:rsidR="00000000" w:rsidRDefault="00775A8F">
            <w:pPr>
              <w:jc w:val="center"/>
              <w:rPr>
                <w:rFonts w:eastAsia="Times New Roman"/>
              </w:rPr>
            </w:pPr>
            <w:r>
              <w:rPr>
                <w:rFonts w:eastAsia="Times New Roman"/>
                <w:b/>
                <w:bCs/>
                <w:color w:val="000000"/>
                <w:sz w:val="16"/>
                <w:szCs w:val="16"/>
              </w:rPr>
              <w:t>Gain</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Gros</w:t>
            </w:r>
            <w:r>
              <w:rPr>
                <w:rFonts w:eastAsia="Times New Roman"/>
                <w:b/>
                <w:bCs/>
                <w:color w:val="000000"/>
                <w:sz w:val="16"/>
                <w:szCs w:val="16"/>
              </w:rPr>
              <w:t>s</w:t>
            </w:r>
          </w:p>
          <w:p w:rsidR="00000000" w:rsidRDefault="00775A8F">
            <w:pPr>
              <w:jc w:val="center"/>
              <w:rPr>
                <w:rFonts w:eastAsia="Times New Roman"/>
              </w:rPr>
            </w:pPr>
            <w:r>
              <w:rPr>
                <w:rFonts w:eastAsia="Times New Roman"/>
                <w:b/>
                <w:bCs/>
                <w:color w:val="000000"/>
                <w:sz w:val="16"/>
                <w:szCs w:val="16"/>
              </w:rPr>
              <w:t>Unrealize</w:t>
            </w:r>
            <w:r>
              <w:rPr>
                <w:rFonts w:eastAsia="Times New Roman"/>
                <w:b/>
                <w:bCs/>
                <w:color w:val="000000"/>
                <w:sz w:val="16"/>
                <w:szCs w:val="16"/>
              </w:rPr>
              <w:t>d</w:t>
            </w:r>
          </w:p>
          <w:p w:rsidR="00000000" w:rsidRDefault="00775A8F">
            <w:pPr>
              <w:jc w:val="center"/>
              <w:rPr>
                <w:rFonts w:eastAsia="Times New Roman"/>
              </w:rPr>
            </w:pPr>
            <w:r>
              <w:rPr>
                <w:rFonts w:eastAsia="Times New Roman"/>
                <w:b/>
                <w:bCs/>
                <w:color w:val="000000"/>
                <w:sz w:val="16"/>
                <w:szCs w:val="16"/>
              </w:rPr>
              <w:t>Losse</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p>
        </w:tc>
      </w:tr>
      <w:tr w:rsidR="00000000">
        <w:trPr>
          <w:divId w:val="36340683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2"/>
            <w:vAlign w:val="center"/>
            <w:hideMark/>
          </w:tcPr>
          <w:p w:rsidR="00000000" w:rsidRDefault="00775A8F">
            <w:pPr>
              <w:rPr>
                <w:rFonts w:eastAsia="Times New Roman"/>
                <w:sz w:val="20"/>
                <w:szCs w:val="20"/>
              </w:rPr>
            </w:pPr>
          </w:p>
        </w:tc>
      </w:tr>
      <w:tr w:rsidR="00000000">
        <w:trPr>
          <w:divId w:val="363406838"/>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As of June 30, 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xml:space="preserve">Aaa, Aa, </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44,300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51,154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21,216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2,030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23,203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grad</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65,516</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8,940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74,357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987</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667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49</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Ca</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74</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xml:space="preserve">Ca, </w:t>
            </w:r>
            <w:r>
              <w:rPr>
                <w:rFonts w:eastAsia="Times New Roman"/>
                <w:color w:val="000000"/>
                <w:sz w:val="20"/>
                <w:szCs w:val="20"/>
              </w:rPr>
              <w:t>C</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Below investment grad</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1,799</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114</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1,682</w:t>
            </w:r>
            <w:r>
              <w:rPr>
                <w:rFonts w:eastAsia="Times New Roman"/>
                <w:b/>
                <w:bCs/>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9"/>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Fixed Maturitie</w:t>
            </w:r>
            <w:r>
              <w:rPr>
                <w:rFonts w:eastAsia="Times New Roman"/>
                <w:color w:val="000000"/>
                <w:sz w:val="20"/>
                <w:szCs w:val="20"/>
              </w:rPr>
              <w:t>s</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67,315</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8,950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76,039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As of December 31, 2019 (1</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xml:space="preserve">Aaa, Aa, </w:t>
            </w: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42,770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2,666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45,094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Ba</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18,605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1,105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19,692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Investment grad</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61,375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3,771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360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64,786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Ca</w:t>
            </w:r>
            <w:r>
              <w:rPr>
                <w:rFonts w:eastAsia="Times New Roman"/>
                <w:color w:val="000000"/>
                <w:sz w:val="20"/>
                <w:szCs w:val="20"/>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FFFFFF"/>
            <w:tcMar>
              <w:top w:w="30" w:type="dxa"/>
              <w:left w:w="20" w:type="dxa"/>
              <w:bottom w:w="30" w:type="dxa"/>
              <w:right w:w="20" w:type="dxa"/>
            </w:tcMar>
            <w:hideMark/>
          </w:tcPr>
          <w:p w:rsidR="00000000" w:rsidRDefault="00775A8F">
            <w:pPr>
              <w:jc w:val="right"/>
              <w:rPr>
                <w:rFonts w:eastAsia="Times New Roman"/>
              </w:rPr>
            </w:pPr>
            <w:r>
              <w:rPr>
                <w:rFonts w:eastAsia="Times New Roman"/>
                <w:color w:val="000000"/>
                <w:sz w:val="20"/>
                <w:szCs w:val="20"/>
              </w:rPr>
              <w:t>6...............................</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xml:space="preserve">Ca, </w:t>
            </w:r>
            <w:r>
              <w:rPr>
                <w:rFonts w:eastAsia="Times New Roman"/>
                <w:color w:val="000000"/>
                <w:sz w:val="20"/>
                <w:szCs w:val="20"/>
              </w:rPr>
              <w:t>C</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Below investment grad</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1,304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363406838"/>
        </w:trPr>
        <w:tc>
          <w:tcPr>
            <w:tcW w:w="0" w:type="auto"/>
            <w:gridSpan w:val="9"/>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Fixed Maturitie</w:t>
            </w:r>
            <w:r>
              <w:rPr>
                <w:rFonts w:eastAsia="Times New Roman"/>
                <w:color w:val="000000"/>
                <w:sz w:val="20"/>
                <w:szCs w:val="20"/>
              </w:rPr>
              <w:t>s</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62,687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bottom w:val="double" w:sz="6" w:space="0" w:color="000000"/>
            </w:tcBorders>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383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66,090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ind w:hanging="360"/>
        <w:divId w:val="1528441875"/>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1459912348"/>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Excludes amounts reclassified as Held-for-Sale</w:t>
      </w:r>
      <w:r>
        <w:rPr>
          <w:rFonts w:eastAsia="Times New Roman"/>
          <w:color w:val="000000"/>
          <w:sz w:val="18"/>
          <w:szCs w:val="18"/>
        </w:rPr>
        <w:t>.</w:t>
      </w:r>
    </w:p>
    <w:p w:rsidR="00000000" w:rsidRDefault="00775A8F">
      <w:pPr>
        <w:jc w:val="center"/>
        <w:divId w:val="1261987333"/>
        <w:rPr>
          <w:rFonts w:eastAsia="Times New Roman"/>
        </w:rPr>
      </w:pPr>
      <w:r>
        <w:rPr>
          <w:rFonts w:eastAsia="Times New Roman"/>
          <w:color w:val="000000"/>
          <w:sz w:val="20"/>
          <w:szCs w:val="20"/>
        </w:rPr>
        <w:t>9</w:t>
      </w:r>
      <w:r>
        <w:rPr>
          <w:rFonts w:eastAsia="Times New Roman"/>
          <w:color w:val="000000"/>
          <w:sz w:val="20"/>
          <w:szCs w:val="20"/>
        </w:rPr>
        <w:t>5</w:t>
      </w:r>
    </w:p>
    <w:p w:rsidR="00000000" w:rsidRDefault="00775A8F">
      <w:pPr>
        <w:rPr>
          <w:rFonts w:eastAsia="Times New Roman"/>
        </w:rPr>
      </w:pPr>
      <w:r>
        <w:rPr>
          <w:rFonts w:eastAsia="Times New Roman"/>
        </w:rPr>
        <w:pict>
          <v:rect id="_x0000_i1121" style="width:0;height:1.5pt" o:hralign="center" o:hrstd="t" o:hr="t" fillcolor="#a0a0a0" stroked="f"/>
        </w:pict>
      </w:r>
    </w:p>
    <w:p w:rsidR="00000000" w:rsidRDefault="00775A8F">
      <w:pPr>
        <w:divId w:val="118107223"/>
        <w:rPr>
          <w:rFonts w:eastAsia="Times New Roman"/>
        </w:rPr>
      </w:pPr>
    </w:p>
    <w:p w:rsidR="00000000" w:rsidRDefault="00775A8F">
      <w:pPr>
        <w:jc w:val="both"/>
        <w:divId w:val="493304958"/>
        <w:rPr>
          <w:rFonts w:eastAsia="Times New Roman"/>
        </w:rPr>
      </w:pPr>
      <w:r>
        <w:rPr>
          <w:rFonts w:eastAsia="Times New Roman"/>
          <w:b/>
          <w:bCs/>
          <w:i/>
          <w:iCs/>
          <w:color w:val="000000"/>
          <w:sz w:val="20"/>
          <w:szCs w:val="20"/>
        </w:rPr>
        <w:t>Mortgage Loans</w:t>
      </w:r>
      <w:r>
        <w:rPr>
          <w:rFonts w:eastAsia="Times New Roman"/>
          <w:b/>
          <w:bCs/>
          <w:i/>
          <w:iCs/>
          <w:color w:val="000000"/>
          <w:sz w:val="20"/>
          <w:szCs w:val="20"/>
        </w:rPr>
        <w:t xml:space="preserve"> </w:t>
      </w:r>
    </w:p>
    <w:p w:rsidR="00000000" w:rsidRDefault="00775A8F">
      <w:pPr>
        <w:ind w:firstLine="360"/>
        <w:divId w:val="904488398"/>
        <w:rPr>
          <w:rFonts w:eastAsia="Times New Roman"/>
        </w:rPr>
      </w:pPr>
      <w:r>
        <w:rPr>
          <w:rFonts w:eastAsia="Times New Roman"/>
          <w:color w:val="000000"/>
          <w:sz w:val="20"/>
          <w:szCs w:val="20"/>
        </w:rPr>
        <w:t>The mortgage portfolio primarily consist</w:t>
      </w:r>
      <w:r>
        <w:rPr>
          <w:rFonts w:eastAsia="Times New Roman"/>
          <w:color w:val="000000"/>
          <w:sz w:val="20"/>
          <w:szCs w:val="20"/>
        </w:rPr>
        <w:t>s of commercial and agricultural mortgage loans. The investment strategy for the mortgage loan portfolio emphasizes diversification by property type and geographic location with a primary focus on asset quality. The tables below show the breakdown of the a</w:t>
      </w:r>
      <w:r>
        <w:rPr>
          <w:rFonts w:eastAsia="Times New Roman"/>
          <w:color w:val="000000"/>
          <w:sz w:val="20"/>
          <w:szCs w:val="20"/>
        </w:rPr>
        <w:t>mortized cost of the General Account’s investments in mortgage loans by geographic region and property type as of the dates indicated</w:t>
      </w:r>
      <w:r>
        <w:rPr>
          <w:rFonts w:eastAsia="Times New Roman"/>
          <w:color w:val="000000"/>
          <w:sz w:val="20"/>
          <w:szCs w:val="20"/>
        </w:rPr>
        <w:t>.</w:t>
      </w:r>
    </w:p>
    <w:p w:rsidR="00000000" w:rsidRDefault="00775A8F">
      <w:pPr>
        <w:jc w:val="center"/>
        <w:rPr>
          <w:rFonts w:eastAsia="Times New Roman"/>
        </w:rPr>
      </w:pPr>
      <w:r>
        <w:rPr>
          <w:rFonts w:eastAsia="Times New Roman"/>
          <w:b/>
          <w:bCs/>
          <w:color w:val="000000"/>
          <w:sz w:val="20"/>
          <w:szCs w:val="20"/>
        </w:rPr>
        <w:t>Mortgage Loans by Region and Property Typ</w:t>
      </w:r>
      <w:r>
        <w:rPr>
          <w:rFonts w:eastAsia="Times New Roman"/>
          <w:b/>
          <w:bCs/>
          <w:color w:val="000000"/>
          <w:sz w:val="20"/>
          <w:szCs w:val="20"/>
        </w:rPr>
        <w:t>e</w:t>
      </w:r>
    </w:p>
    <w:tbl>
      <w:tblPr>
        <w:tblW w:w="4839" w:type="pct"/>
        <w:tblCellMar>
          <w:top w:w="15" w:type="dxa"/>
          <w:left w:w="15" w:type="dxa"/>
          <w:bottom w:w="15" w:type="dxa"/>
          <w:right w:w="15" w:type="dxa"/>
        </w:tblCellMar>
        <w:tblLook w:val="04A0" w:firstRow="1" w:lastRow="0" w:firstColumn="1" w:lastColumn="0" w:noHBand="0" w:noVBand="1"/>
      </w:tblPr>
      <w:tblGrid>
        <w:gridCol w:w="40"/>
        <w:gridCol w:w="3101"/>
        <w:gridCol w:w="39"/>
        <w:gridCol w:w="135"/>
        <w:gridCol w:w="615"/>
        <w:gridCol w:w="85"/>
        <w:gridCol w:w="36"/>
        <w:gridCol w:w="36"/>
        <w:gridCol w:w="36"/>
        <w:gridCol w:w="66"/>
        <w:gridCol w:w="647"/>
        <w:gridCol w:w="235"/>
        <w:gridCol w:w="36"/>
        <w:gridCol w:w="36"/>
        <w:gridCol w:w="36"/>
        <w:gridCol w:w="135"/>
        <w:gridCol w:w="615"/>
        <w:gridCol w:w="85"/>
        <w:gridCol w:w="36"/>
        <w:gridCol w:w="36"/>
        <w:gridCol w:w="36"/>
        <w:gridCol w:w="61"/>
        <w:gridCol w:w="604"/>
        <w:gridCol w:w="202"/>
        <w:gridCol w:w="103"/>
        <w:gridCol w:w="103"/>
        <w:gridCol w:w="103"/>
        <w:gridCol w:w="103"/>
        <w:gridCol w:w="103"/>
        <w:gridCol w:w="103"/>
        <w:gridCol w:w="36"/>
        <w:gridCol w:w="36"/>
        <w:gridCol w:w="36"/>
        <w:gridCol w:w="36"/>
        <w:gridCol w:w="36"/>
        <w:gridCol w:w="36"/>
        <w:gridCol w:w="36"/>
        <w:gridCol w:w="36"/>
        <w:gridCol w:w="36"/>
        <w:gridCol w:w="36"/>
        <w:gridCol w:w="36"/>
        <w:gridCol w:w="36"/>
      </w:tblGrid>
      <w:tr w:rsidR="00000000">
        <w:trPr>
          <w:gridAfter w:val="18"/>
          <w:divId w:val="1611086016"/>
        </w:trPr>
        <w:tc>
          <w:tcPr>
            <w:tcW w:w="50" w:type="pct"/>
            <w:vAlign w:val="center"/>
            <w:hideMark/>
          </w:tcPr>
          <w:p w:rsidR="00000000" w:rsidRDefault="00775A8F">
            <w:pPr>
              <w:jc w:val="center"/>
              <w:rPr>
                <w:rFonts w:eastAsia="Times New Roman"/>
              </w:rPr>
            </w:pPr>
          </w:p>
        </w:tc>
        <w:tc>
          <w:tcPr>
            <w:tcW w:w="240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7"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9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gridAfter w:val="6"/>
          <w:divId w:val="161108601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December 31, 201</w:t>
            </w:r>
            <w:r>
              <w:rPr>
                <w:rFonts w:eastAsia="Times New Roman"/>
                <w:color w:val="000000"/>
                <w:sz w:val="16"/>
                <w:szCs w:val="16"/>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gridAfter w:val="6"/>
          <w:divId w:val="161108601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Amortize</w:t>
            </w:r>
            <w:r>
              <w:rPr>
                <w:rFonts w:eastAsia="Times New Roman"/>
                <w:b/>
                <w:bCs/>
                <w:color w:val="000000"/>
                <w:sz w:val="16"/>
                <w:szCs w:val="16"/>
              </w:rPr>
              <w:t>d</w:t>
            </w:r>
          </w:p>
          <w:p w:rsidR="00000000" w:rsidRDefault="00775A8F">
            <w:pPr>
              <w:jc w:val="center"/>
              <w:rPr>
                <w:rFonts w:eastAsia="Times New Roman"/>
              </w:rPr>
            </w:pPr>
            <w:r>
              <w:rPr>
                <w:rFonts w:eastAsia="Times New Roman"/>
                <w:b/>
                <w:bCs/>
                <w:color w:val="000000"/>
                <w:sz w:val="16"/>
                <w:szCs w:val="16"/>
              </w:rPr>
              <w:t>Cos</w:t>
            </w:r>
            <w:r>
              <w:rPr>
                <w:rFonts w:eastAsia="Times New Roman"/>
                <w:b/>
                <w:bCs/>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 of Tota</w:t>
            </w:r>
            <w:r>
              <w:rPr>
                <w:rFonts w:eastAsia="Times New Roman"/>
                <w:b/>
                <w:bCs/>
                <w:color w:val="000000"/>
                <w:sz w:val="16"/>
                <w:szCs w:val="16"/>
              </w:rPr>
              <w:t>l</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Amortize</w:t>
            </w:r>
            <w:r>
              <w:rPr>
                <w:rFonts w:eastAsia="Times New Roman"/>
                <w:color w:val="000000"/>
                <w:sz w:val="16"/>
                <w:szCs w:val="16"/>
              </w:rPr>
              <w:t>d</w:t>
            </w:r>
          </w:p>
          <w:p w:rsidR="00000000" w:rsidRDefault="00775A8F">
            <w:pPr>
              <w:jc w:val="center"/>
              <w:rPr>
                <w:rFonts w:eastAsia="Times New Roman"/>
              </w:rPr>
            </w:pPr>
            <w:r>
              <w:rPr>
                <w:rFonts w:eastAsia="Times New Roman"/>
                <w:color w:val="000000"/>
                <w:sz w:val="16"/>
                <w:szCs w:val="16"/>
              </w:rPr>
              <w:t>Cos</w:t>
            </w:r>
            <w:r>
              <w:rPr>
                <w:rFonts w:eastAsia="Times New Roman"/>
                <w:color w:val="000000"/>
                <w:sz w:val="16"/>
                <w:szCs w:val="16"/>
              </w:rPr>
              <w:t>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 of Tota</w:t>
            </w:r>
            <w:r>
              <w:rPr>
                <w:rFonts w:eastAsia="Times New Roman"/>
                <w:color w:val="000000"/>
                <w:sz w:val="16"/>
                <w:szCs w:val="16"/>
              </w:rPr>
              <w:t>l</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1611086016"/>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By Region</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U.S. Regions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Pacifi</w:t>
            </w:r>
            <w:r>
              <w:rPr>
                <w:rFonts w:eastAsia="Times New Roman"/>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3,676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Middle Atlanti</w:t>
            </w:r>
            <w:r>
              <w:rPr>
                <w:rFonts w:eastAsia="Times New Roman"/>
                <w:color w:val="000000"/>
                <w:sz w:val="20"/>
                <w:szCs w:val="20"/>
              </w:rPr>
              <w:t>c</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3,516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3,220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South Atlanti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1,286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East North Centra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917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906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Mountai</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West North Centra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885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West South Centra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618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New Englan</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512</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135" w:type="dxa"/>
              <w:bottom w:w="30" w:type="dxa"/>
              <w:right w:w="20" w:type="dxa"/>
            </w:tcMar>
            <w:hideMark/>
          </w:tcPr>
          <w:p w:rsidR="00000000" w:rsidRDefault="00775A8F">
            <w:pPr>
              <w:rPr>
                <w:rFonts w:eastAsia="Times New Roman"/>
              </w:rPr>
            </w:pPr>
            <w:r>
              <w:rPr>
                <w:rFonts w:eastAsia="Times New Roman"/>
                <w:color w:val="000000"/>
                <w:sz w:val="20"/>
                <w:szCs w:val="20"/>
              </w:rPr>
              <w:t>East South Centra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Mortgage Loan</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By Property Type</w:t>
            </w: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Offic</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4,171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Multifamil</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3,815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3,768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Agricultural loan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2,743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2,717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Retai</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695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Industria</w:t>
            </w:r>
            <w:r>
              <w:rPr>
                <w:rFonts w:eastAsia="Times New Roman"/>
                <w:color w:val="000000"/>
                <w:sz w:val="20"/>
                <w:szCs w:val="20"/>
              </w:rPr>
              <w:t>l</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Hospitalit</w:t>
            </w:r>
            <w:r>
              <w:rPr>
                <w:rFonts w:eastAsia="Times New Roman"/>
                <w:color w:val="000000"/>
                <w:sz w:val="20"/>
                <w:szCs w:val="20"/>
              </w:rPr>
              <w:t>y</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475</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477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341</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611086016"/>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Total Mortgage Loan</w:t>
            </w:r>
            <w:r>
              <w:rPr>
                <w:rFonts w:eastAsia="Times New Roman"/>
                <w:color w:val="000000"/>
                <w:sz w:val="20"/>
                <w:szCs w:val="20"/>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12,589</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100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12,107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227182087"/>
        <w:rPr>
          <w:rFonts w:eastAsia="Times New Roman"/>
        </w:rPr>
      </w:pPr>
      <w:r>
        <w:rPr>
          <w:rFonts w:eastAsia="Times New Roman"/>
          <w:color w:val="000000"/>
          <w:sz w:val="20"/>
          <w:szCs w:val="20"/>
        </w:rPr>
        <w:t>9</w:t>
      </w:r>
      <w:r>
        <w:rPr>
          <w:rFonts w:eastAsia="Times New Roman"/>
          <w:color w:val="000000"/>
          <w:sz w:val="20"/>
          <w:szCs w:val="20"/>
        </w:rPr>
        <w:t>6</w:t>
      </w:r>
    </w:p>
    <w:p w:rsidR="00000000" w:rsidRDefault="00775A8F">
      <w:pPr>
        <w:rPr>
          <w:rFonts w:eastAsia="Times New Roman"/>
        </w:rPr>
      </w:pPr>
      <w:r>
        <w:rPr>
          <w:rFonts w:eastAsia="Times New Roman"/>
        </w:rPr>
        <w:pict>
          <v:rect id="_x0000_i1122" style="width:0;height:1.5pt" o:hralign="center" o:hrstd="t" o:hr="t" fillcolor="#a0a0a0" stroked="f"/>
        </w:pict>
      </w:r>
    </w:p>
    <w:p w:rsidR="00000000" w:rsidRDefault="00775A8F">
      <w:pPr>
        <w:divId w:val="322898339"/>
        <w:rPr>
          <w:rFonts w:eastAsia="Times New Roman"/>
        </w:rPr>
      </w:pPr>
    </w:p>
    <w:p w:rsidR="00000000" w:rsidRDefault="00775A8F">
      <w:pPr>
        <w:divId w:val="862328520"/>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775A8F">
      <w:pPr>
        <w:ind w:firstLine="360"/>
        <w:divId w:val="92866863"/>
        <w:rPr>
          <w:rFonts w:eastAsia="Times New Roman"/>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financial resources available to sup</w:t>
      </w:r>
      <w:r>
        <w:rPr>
          <w:rFonts w:eastAsia="Times New Roman"/>
          <w:color w:val="000000"/>
          <w:sz w:val="20"/>
          <w:szCs w:val="20"/>
        </w:rPr>
        <w:t>port business operations and future growth. Our ability to generate and maintain sufficient liquidity and capital is dependent on the profitability of our businesses, timing of cash flows related to our investments and products, our ability to access the c</w:t>
      </w:r>
      <w:r>
        <w:rPr>
          <w:rFonts w:eastAsia="Times New Roman"/>
          <w:color w:val="000000"/>
          <w:sz w:val="20"/>
          <w:szCs w:val="20"/>
        </w:rPr>
        <w:t>apital markets, general economic conditions and the alternative sources of liquidity and capital described herein. When considering our liquidity and cash flows, it is important to distinguish between the needs of Holdings and the needs of our insurance an</w:t>
      </w:r>
      <w:r>
        <w:rPr>
          <w:rFonts w:eastAsia="Times New Roman"/>
          <w:color w:val="000000"/>
          <w:sz w:val="20"/>
          <w:szCs w:val="20"/>
        </w:rPr>
        <w:t>d non-insurance subsidiaries. We also distinguish and separately manage the liquidity and capital resources of our retirement and protection businesses, including our Individual Retirement, Group Retirement and Protection Solutions segments, and our Invest</w:t>
      </w:r>
      <w:r>
        <w:rPr>
          <w:rFonts w:eastAsia="Times New Roman"/>
          <w:color w:val="000000"/>
          <w:sz w:val="20"/>
          <w:szCs w:val="20"/>
        </w:rPr>
        <w:t>ment Management and Research segment</w:t>
      </w:r>
      <w:r>
        <w:rPr>
          <w:rFonts w:eastAsia="Times New Roman"/>
          <w:color w:val="000000"/>
          <w:sz w:val="20"/>
          <w:szCs w:val="20"/>
        </w:rPr>
        <w:t>.</w:t>
      </w:r>
    </w:p>
    <w:p w:rsidR="00000000" w:rsidRDefault="00775A8F">
      <w:pPr>
        <w:jc w:val="both"/>
        <w:divId w:val="1300496760"/>
        <w:rPr>
          <w:rFonts w:eastAsia="Times New Roman"/>
        </w:rPr>
      </w:pPr>
      <w:r>
        <w:rPr>
          <w:rFonts w:eastAsia="Times New Roman"/>
          <w:b/>
          <w:bCs/>
          <w:i/>
          <w:iCs/>
          <w:color w:val="000000"/>
          <w:sz w:val="20"/>
          <w:szCs w:val="20"/>
        </w:rPr>
        <w:t>Sources and Uses of Liquidit</w:t>
      </w:r>
      <w:r>
        <w:rPr>
          <w:rFonts w:eastAsia="Times New Roman"/>
          <w:b/>
          <w:bCs/>
          <w:i/>
          <w:iCs/>
          <w:color w:val="000000"/>
          <w:sz w:val="20"/>
          <w:szCs w:val="20"/>
        </w:rPr>
        <w:t>y</w:t>
      </w:r>
      <w:r>
        <w:rPr>
          <w:rFonts w:eastAsia="Times New Roman"/>
          <w:b/>
          <w:bCs/>
          <w:color w:val="000000"/>
          <w:sz w:val="20"/>
          <w:szCs w:val="20"/>
        </w:rPr>
        <w:t xml:space="preserve"> </w:t>
      </w:r>
    </w:p>
    <w:p w:rsidR="00000000" w:rsidRDefault="00775A8F">
      <w:pPr>
        <w:ind w:firstLine="360"/>
        <w:divId w:val="1358894954"/>
        <w:rPr>
          <w:rFonts w:eastAsia="Times New Roman"/>
        </w:rPr>
      </w:pPr>
      <w:r>
        <w:rPr>
          <w:rFonts w:eastAsia="Times New Roman"/>
          <w:color w:val="000000"/>
          <w:sz w:val="20"/>
          <w:szCs w:val="20"/>
        </w:rPr>
        <w:t>The Company had sufficient cash flows from operations to satisfy liquidity requirements</w:t>
      </w:r>
      <w:r>
        <w:rPr>
          <w:rFonts w:eastAsia="Times New Roman"/>
          <w:color w:val="000000"/>
          <w:sz w:val="20"/>
          <w:szCs w:val="20"/>
        </w:rPr>
        <w:t>.</w:t>
      </w:r>
    </w:p>
    <w:p w:rsidR="00000000" w:rsidRDefault="00775A8F">
      <w:pPr>
        <w:divId w:val="1259945104"/>
        <w:rPr>
          <w:rFonts w:eastAsia="Times New Roman"/>
        </w:rPr>
      </w:pPr>
      <w:r>
        <w:rPr>
          <w:rFonts w:eastAsia="Times New Roman"/>
          <w:i/>
          <w:iCs/>
          <w:color w:val="000000"/>
          <w:sz w:val="20"/>
          <w:szCs w:val="20"/>
          <w:u w:val="single"/>
        </w:rPr>
        <w:t>Cash Flows of Holding</w:t>
      </w:r>
      <w:r>
        <w:rPr>
          <w:rFonts w:eastAsia="Times New Roman"/>
          <w:i/>
          <w:iCs/>
          <w:color w:val="000000"/>
          <w:sz w:val="20"/>
          <w:szCs w:val="20"/>
          <w:u w:val="single"/>
        </w:rPr>
        <w:t>s</w:t>
      </w:r>
    </w:p>
    <w:p w:rsidR="00000000" w:rsidRDefault="00775A8F">
      <w:pPr>
        <w:ind w:firstLine="360"/>
        <w:divId w:val="114446952"/>
        <w:rPr>
          <w:rFonts w:eastAsia="Times New Roman"/>
        </w:rPr>
      </w:pPr>
      <w:r>
        <w:rPr>
          <w:rFonts w:eastAsia="Times New Roman"/>
          <w:color w:val="000000"/>
          <w:sz w:val="20"/>
          <w:szCs w:val="20"/>
        </w:rPr>
        <w:t>As a holding company with no business operations of its own, Holdings prima</w:t>
      </w:r>
      <w:r>
        <w:rPr>
          <w:rFonts w:eastAsia="Times New Roman"/>
          <w:color w:val="000000"/>
          <w:sz w:val="20"/>
          <w:szCs w:val="20"/>
        </w:rPr>
        <w:t>rily derives cash flows from dividends from its subsidiaries and distributions related to its economic interest in AB, nearly all of which is currently held outside our insurance company subsidiaries. These principal sources of liquidity are augmented by c</w:t>
      </w:r>
      <w:r>
        <w:rPr>
          <w:rFonts w:eastAsia="Times New Roman"/>
          <w:color w:val="000000"/>
          <w:sz w:val="20"/>
          <w:szCs w:val="20"/>
        </w:rPr>
        <w:t>ash and short-term investments held by Holdings and access to bank lines of credit and the capital markets. The main uses of liquidity for Holdings are interest payments and debt repayment, payment of dividends and other distributions to stockholders, whic</w:t>
      </w:r>
      <w:r>
        <w:rPr>
          <w:rFonts w:eastAsia="Times New Roman"/>
          <w:color w:val="000000"/>
          <w:sz w:val="20"/>
          <w:szCs w:val="20"/>
        </w:rPr>
        <w:t>h may include stock repurchases, and capital contributions, if needed, to our insurance subsidiaries. Our principal sources of liquidity and our capital position are described in the following paragraphs</w:t>
      </w:r>
      <w:r>
        <w:rPr>
          <w:rFonts w:eastAsia="Times New Roman"/>
          <w:color w:val="000000"/>
          <w:sz w:val="20"/>
          <w:szCs w:val="20"/>
        </w:rPr>
        <w:t>.</w:t>
      </w:r>
    </w:p>
    <w:p w:rsidR="00000000" w:rsidRDefault="00775A8F">
      <w:pPr>
        <w:divId w:val="1900357423"/>
        <w:rPr>
          <w:rFonts w:eastAsia="Times New Roman"/>
        </w:rPr>
      </w:pPr>
      <w:r>
        <w:rPr>
          <w:rFonts w:eastAsia="Times New Roman"/>
          <w:b/>
          <w:bCs/>
          <w:color w:val="000000"/>
          <w:sz w:val="20"/>
          <w:szCs w:val="20"/>
        </w:rPr>
        <w:t>Sources and Uses of Holding Company Highly Liquid A</w:t>
      </w:r>
      <w:r>
        <w:rPr>
          <w:rFonts w:eastAsia="Times New Roman"/>
          <w:b/>
          <w:bCs/>
          <w:color w:val="000000"/>
          <w:sz w:val="20"/>
          <w:szCs w:val="20"/>
        </w:rPr>
        <w:t>sset</w:t>
      </w:r>
      <w:r>
        <w:rPr>
          <w:rFonts w:eastAsia="Times New Roman"/>
          <w:b/>
          <w:bCs/>
          <w:color w:val="000000"/>
          <w:sz w:val="20"/>
          <w:szCs w:val="20"/>
        </w:rPr>
        <w:t>s</w:t>
      </w:r>
    </w:p>
    <w:p w:rsidR="00000000" w:rsidRDefault="00775A8F">
      <w:pPr>
        <w:ind w:firstLine="360"/>
        <w:divId w:val="1391080538"/>
        <w:rPr>
          <w:rFonts w:eastAsia="Times New Roman"/>
        </w:rPr>
      </w:pPr>
      <w:r>
        <w:rPr>
          <w:rFonts w:eastAsia="Times New Roman"/>
          <w:color w:val="000000"/>
          <w:sz w:val="20"/>
          <w:szCs w:val="20"/>
        </w:rPr>
        <w:t>The following table sets forth Holding’s principal sources and uses of highly liquid assets, excluding net borrowings from our intercompany liquidity account, for the periods indicated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044"/>
        <w:gridCol w:w="52"/>
        <w:gridCol w:w="135"/>
        <w:gridCol w:w="708"/>
        <w:gridCol w:w="85"/>
        <w:gridCol w:w="36"/>
        <w:gridCol w:w="36"/>
        <w:gridCol w:w="36"/>
        <w:gridCol w:w="135"/>
        <w:gridCol w:w="686"/>
        <w:gridCol w:w="85"/>
        <w:gridCol w:w="36"/>
        <w:gridCol w:w="36"/>
        <w:gridCol w:w="36"/>
        <w:gridCol w:w="36"/>
        <w:gridCol w:w="36"/>
        <w:gridCol w:w="36"/>
      </w:tblGrid>
      <w:tr w:rsidR="00000000">
        <w:trPr>
          <w:gridAfter w:val="6"/>
          <w:divId w:val="1701052521"/>
        </w:trPr>
        <w:tc>
          <w:tcPr>
            <w:tcW w:w="50" w:type="pct"/>
            <w:vAlign w:val="center"/>
            <w:hideMark/>
          </w:tcPr>
          <w:p w:rsidR="00000000" w:rsidRDefault="00775A8F">
            <w:pPr>
              <w:ind w:firstLine="360"/>
              <w:rPr>
                <w:rFonts w:eastAsia="Times New Roman"/>
              </w:rPr>
            </w:pPr>
          </w:p>
        </w:tc>
        <w:tc>
          <w:tcPr>
            <w:tcW w:w="375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70105252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701052521"/>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701052521"/>
        </w:trPr>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Highly Liquid Assets, beginning of perio</w:t>
            </w:r>
            <w:r>
              <w:rPr>
                <w:rFonts w:eastAsia="Times New Roman"/>
                <w:b/>
                <w:bCs/>
                <w:color w:val="000000"/>
                <w:sz w:val="20"/>
                <w:szCs w:val="20"/>
              </w:rPr>
              <w:t>d</w:t>
            </w: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1,589</w:t>
            </w:r>
            <w:r>
              <w:rPr>
                <w:rFonts w:eastAsia="Times New Roman"/>
                <w:b/>
                <w:bCs/>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tcMar>
              <w:top w:w="15" w:type="dxa"/>
              <w:left w:w="20" w:type="dxa"/>
              <w:bottom w:w="15" w:type="dxa"/>
              <w:right w:w="20" w:type="dxa"/>
            </w:tcMar>
            <w:vAlign w:val="bottom"/>
            <w:hideMark/>
          </w:tcPr>
          <w:p w:rsidR="00000000" w:rsidRDefault="00775A8F">
            <w:pPr>
              <w:jc w:val="right"/>
              <w:rPr>
                <w:rFonts w:eastAsia="Times New Roman"/>
              </w:rPr>
            </w:pPr>
          </w:p>
        </w:tc>
        <w:tc>
          <w:tcPr>
            <w:tcW w:w="0" w:type="auto"/>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743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Dividends from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1,750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Repayment of surplus note including interes</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576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Capital contributions to subsidiarie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(335</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142</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b/>
                <w:bCs/>
                <w:color w:val="000000"/>
                <w:sz w:val="20"/>
                <w:szCs w:val="20"/>
              </w:rPr>
              <w:t>Total Business Capital Activit</w:t>
            </w:r>
            <w:r>
              <w:rPr>
                <w:rFonts w:eastAsia="Times New Roman"/>
                <w:b/>
                <w:bCs/>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1,557</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Purchase of treasury share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Retirement of treasury share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(150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Shareholder dividends pai</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(146</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FFFFFF"/>
            <w:tcMar>
              <w:top w:w="30" w:type="dxa"/>
              <w:left w:w="36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Share Repurchases, Dividends and Acquisition Activit</w:t>
            </w:r>
            <w:r>
              <w:rPr>
                <w:rFonts w:eastAsia="Times New Roman"/>
                <w:b/>
                <w:bCs/>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(376</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(891</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Preferred stock dividen</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36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Preferred Stock Activit</w:t>
            </w:r>
            <w:r>
              <w:rPr>
                <w:rFonts w:eastAsia="Times New Roman"/>
                <w:b/>
                <w:bCs/>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(23</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Net decrease (increase) in loans to affiliate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shd w:val="clear" w:color="auto" w:fill="FFFFFF"/>
            <w:tcMar>
              <w:top w:w="30" w:type="dxa"/>
              <w:left w:w="360" w:type="dxa"/>
              <w:bottom w:w="30" w:type="dxa"/>
              <w:right w:w="20" w:type="dxa"/>
            </w:tcMar>
            <w:hideMark/>
          </w:tcPr>
          <w:p w:rsidR="00000000" w:rsidRDefault="00775A8F">
            <w:pPr>
              <w:rPr>
                <w:rFonts w:eastAsia="Times New Roman"/>
              </w:rPr>
            </w:pPr>
            <w:r>
              <w:rPr>
                <w:rFonts w:eastAsia="Times New Roman"/>
                <w:b/>
                <w:bCs/>
                <w:color w:val="000000"/>
                <w:sz w:val="20"/>
                <w:szCs w:val="20"/>
              </w:rPr>
              <w:t>Total Affiliated Debt Activit</w:t>
            </w:r>
            <w:r>
              <w:rPr>
                <w:rFonts w:eastAsia="Times New Roman"/>
                <w:b/>
                <w:bCs/>
                <w:color w:val="000000"/>
                <w:sz w:val="20"/>
                <w:szCs w:val="20"/>
              </w:rPr>
              <w: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(125</w:t>
            </w:r>
            <w:r>
              <w:rPr>
                <w:rFonts w:eastAsia="Times New Roman"/>
                <w:b/>
                <w:bCs/>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701052521"/>
        </w:trPr>
        <w:tc>
          <w:tcPr>
            <w:tcW w:w="0" w:type="auto"/>
            <w:gridSpan w:val="3"/>
            <w:vAlign w:val="center"/>
            <w:hideMark/>
          </w:tcPr>
          <w:p w:rsidR="00000000" w:rsidRDefault="00775A8F">
            <w:pPr>
              <w:jc w:val="right"/>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jc w:val="center"/>
        <w:divId w:val="1144542844"/>
        <w:rPr>
          <w:rFonts w:eastAsia="Times New Roman"/>
        </w:rPr>
      </w:pPr>
      <w:r>
        <w:rPr>
          <w:rFonts w:eastAsia="Times New Roman"/>
          <w:color w:val="000000"/>
          <w:sz w:val="20"/>
          <w:szCs w:val="20"/>
        </w:rPr>
        <w:t>9</w:t>
      </w:r>
      <w:r>
        <w:rPr>
          <w:rFonts w:eastAsia="Times New Roman"/>
          <w:color w:val="000000"/>
          <w:sz w:val="20"/>
          <w:szCs w:val="20"/>
        </w:rPr>
        <w:t>7</w:t>
      </w:r>
    </w:p>
    <w:p w:rsidR="00000000" w:rsidRDefault="00775A8F">
      <w:pPr>
        <w:rPr>
          <w:rFonts w:eastAsia="Times New Roman"/>
        </w:rPr>
      </w:pPr>
      <w:r>
        <w:rPr>
          <w:rFonts w:eastAsia="Times New Roman"/>
        </w:rPr>
        <w:pict>
          <v:rect id="_x0000_i1123" style="width:0;height:1.5pt" o:hralign="center" o:hrstd="t" o:hr="t" fillcolor="#a0a0a0" stroked="f"/>
        </w:pict>
      </w:r>
    </w:p>
    <w:p w:rsidR="00000000" w:rsidRDefault="00775A8F">
      <w:pPr>
        <w:divId w:val="153599439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6044"/>
        <w:gridCol w:w="52"/>
        <w:gridCol w:w="135"/>
        <w:gridCol w:w="708"/>
        <w:gridCol w:w="85"/>
        <w:gridCol w:w="36"/>
        <w:gridCol w:w="36"/>
        <w:gridCol w:w="36"/>
        <w:gridCol w:w="135"/>
        <w:gridCol w:w="686"/>
        <w:gridCol w:w="85"/>
        <w:gridCol w:w="36"/>
        <w:gridCol w:w="36"/>
        <w:gridCol w:w="36"/>
        <w:gridCol w:w="36"/>
        <w:gridCol w:w="36"/>
        <w:gridCol w:w="36"/>
      </w:tblGrid>
      <w:tr w:rsidR="00000000">
        <w:trPr>
          <w:gridAfter w:val="6"/>
          <w:divId w:val="107507269"/>
        </w:trPr>
        <w:tc>
          <w:tcPr>
            <w:tcW w:w="50" w:type="pct"/>
            <w:vAlign w:val="center"/>
            <w:hideMark/>
          </w:tcPr>
          <w:p w:rsidR="00000000" w:rsidRDefault="00775A8F">
            <w:pPr>
              <w:rPr>
                <w:rFonts w:eastAsia="Times New Roman"/>
              </w:rPr>
            </w:pPr>
          </w:p>
        </w:tc>
        <w:tc>
          <w:tcPr>
            <w:tcW w:w="375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5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0750726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Six Months Ended June 30</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07507269"/>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202</w:t>
            </w:r>
            <w:r>
              <w:rPr>
                <w:rFonts w:eastAsia="Times New Roman"/>
                <w:b/>
                <w:bCs/>
                <w:color w:val="000000"/>
                <w:sz w:val="16"/>
                <w:szCs w:val="16"/>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201</w:t>
            </w:r>
            <w:r>
              <w:rPr>
                <w:rFonts w:eastAsia="Times New Roman"/>
                <w:color w:val="000000"/>
                <w:sz w:val="16"/>
                <w:szCs w:val="16"/>
              </w:rPr>
              <w:t>9</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507269"/>
        </w:trPr>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107507269"/>
        </w:trPr>
        <w:tc>
          <w:tcPr>
            <w:tcW w:w="0" w:type="auto"/>
            <w:gridSpan w:val="3"/>
            <w:shd w:val="clear" w:color="auto" w:fill="CCEE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Interest paid on external debt and P-Cap</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(110</w:t>
            </w:r>
            <w:r>
              <w:rPr>
                <w:rFonts w:eastAsia="Times New Roman"/>
                <w:b/>
                <w:bCs/>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507269"/>
        </w:trPr>
        <w:tc>
          <w:tcPr>
            <w:tcW w:w="0" w:type="auto"/>
            <w:gridSpan w:val="3"/>
            <w:shd w:val="clear" w:color="auto" w:fill="FFFFFF"/>
            <w:tcMar>
              <w:top w:w="30" w:type="dxa"/>
              <w:left w:w="225" w:type="dxa"/>
              <w:bottom w:w="30" w:type="dxa"/>
              <w:right w:w="20" w:type="dxa"/>
            </w:tcMar>
            <w:hideMark/>
          </w:tcPr>
          <w:p w:rsidR="00000000" w:rsidRDefault="00775A8F">
            <w:pPr>
              <w:rPr>
                <w:rFonts w:eastAsia="Times New Roman"/>
              </w:rPr>
            </w:pPr>
            <w:r>
              <w:rPr>
                <w:rFonts w:eastAsia="Times New Roman"/>
                <w:color w:val="000000"/>
                <w:sz w:val="20"/>
                <w:szCs w:val="20"/>
              </w:rPr>
              <w:t>Others, ne</w:t>
            </w:r>
            <w:r>
              <w:rPr>
                <w:rFonts w:eastAsia="Times New Roman"/>
                <w:color w:val="000000"/>
                <w:sz w:val="20"/>
                <w:szCs w:val="20"/>
              </w:rPr>
              <w:t>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(70</w:t>
            </w:r>
            <w:r>
              <w:rPr>
                <w:rFonts w:eastAsia="Times New Roman"/>
                <w:b/>
                <w:bCs/>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507269"/>
        </w:trPr>
        <w:tc>
          <w:tcPr>
            <w:tcW w:w="0" w:type="auto"/>
            <w:gridSpan w:val="3"/>
            <w:shd w:val="clear" w:color="auto" w:fill="CCEEFF"/>
            <w:tcMar>
              <w:top w:w="30" w:type="dxa"/>
              <w:left w:w="360" w:type="dxa"/>
              <w:bottom w:w="30" w:type="dxa"/>
              <w:right w:w="20" w:type="dxa"/>
            </w:tcMar>
            <w:hideMark/>
          </w:tcPr>
          <w:p w:rsidR="00000000" w:rsidRDefault="00775A8F">
            <w:pPr>
              <w:rPr>
                <w:rFonts w:eastAsia="Times New Roman"/>
              </w:rPr>
            </w:pPr>
            <w:r>
              <w:rPr>
                <w:rFonts w:eastAsia="Times New Roman"/>
                <w:b/>
                <w:bCs/>
                <w:color w:val="000000"/>
                <w:sz w:val="20"/>
                <w:szCs w:val="20"/>
              </w:rPr>
              <w:t>Total Other Activit</w:t>
            </w:r>
            <w:r>
              <w:rPr>
                <w:rFonts w:eastAsia="Times New Roman"/>
                <w:b/>
                <w:bCs/>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(180</w:t>
            </w:r>
            <w:r>
              <w:rPr>
                <w:rFonts w:eastAsia="Times New Roman"/>
                <w:b/>
                <w:bCs/>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507269"/>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507269"/>
        </w:trPr>
        <w:tc>
          <w:tcPr>
            <w:tcW w:w="0" w:type="auto"/>
            <w:gridSpan w:val="3"/>
            <w:shd w:val="clear" w:color="auto" w:fill="CCEE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Net increase (decrease) in highly liquid asset</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853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(251</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107507269"/>
        </w:trPr>
        <w:tc>
          <w:tcPr>
            <w:tcW w:w="0" w:type="auto"/>
            <w:gridSpan w:val="3"/>
            <w:shd w:val="clear" w:color="auto" w:fill="FFFFFF"/>
            <w:tcMar>
              <w:top w:w="30" w:type="dxa"/>
              <w:left w:w="20" w:type="dxa"/>
              <w:bottom w:w="30" w:type="dxa"/>
              <w:right w:w="20" w:type="dxa"/>
            </w:tcMar>
            <w:hideMark/>
          </w:tcPr>
          <w:p w:rsidR="00000000" w:rsidRDefault="00775A8F">
            <w:pPr>
              <w:rPr>
                <w:rFonts w:eastAsia="Times New Roman"/>
              </w:rPr>
            </w:pPr>
            <w:r>
              <w:rPr>
                <w:rFonts w:eastAsia="Times New Roman"/>
                <w:b/>
                <w:bCs/>
                <w:color w:val="000000"/>
                <w:sz w:val="20"/>
                <w:szCs w:val="20"/>
              </w:rPr>
              <w:t>Highly Liquid Assets, end of perio</w:t>
            </w:r>
            <w:r>
              <w:rPr>
                <w:rFonts w:eastAsia="Times New Roman"/>
                <w:b/>
                <w:bCs/>
                <w:color w:val="000000"/>
                <w:sz w:val="20"/>
                <w:szCs w:val="20"/>
              </w:rPr>
              <w:t>d</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2,442</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492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114911633"/>
        <w:rPr>
          <w:rFonts w:eastAsia="Times New Roman"/>
        </w:rPr>
      </w:pPr>
    </w:p>
    <w:p w:rsidR="00000000" w:rsidRDefault="00775A8F">
      <w:pPr>
        <w:ind w:firstLine="360"/>
        <w:divId w:val="370034046"/>
        <w:rPr>
          <w:rFonts w:eastAsia="Times New Roman"/>
        </w:rPr>
      </w:pPr>
      <w:r>
        <w:rPr>
          <w:rFonts w:eastAsia="Times New Roman"/>
          <w:color w:val="000000"/>
          <w:sz w:val="20"/>
          <w:szCs w:val="20"/>
        </w:rPr>
        <w:t>In the six months ended June 30, 2020, Holdings’ liquid assets increased $0.9 billion. Excluding the amount set aside for the EQH Facility (as described under “—Capital Position of Holdings—Credit Facility with AB”), liquid assets increased $1.0 billion. T</w:t>
      </w:r>
      <w:r>
        <w:rPr>
          <w:rFonts w:eastAsia="Times New Roman"/>
          <w:color w:val="000000"/>
          <w:sz w:val="20"/>
          <w:szCs w:val="20"/>
        </w:rPr>
        <w:t>he resources increased by $1.8 billion due to dividends from our subsidiaries, and the uses are $335 million in capital contributions to subsidiaries, $376 million in shareholders return including dividends and share repurchases</w:t>
      </w:r>
      <w:r>
        <w:rPr>
          <w:rFonts w:eastAsia="Times New Roman"/>
          <w:color w:val="000000"/>
          <w:sz w:val="20"/>
          <w:szCs w:val="20"/>
        </w:rPr>
        <w:t>.</w:t>
      </w:r>
    </w:p>
    <w:p w:rsidR="00000000" w:rsidRDefault="00775A8F">
      <w:pPr>
        <w:divId w:val="2092265493"/>
        <w:rPr>
          <w:rFonts w:eastAsia="Times New Roman"/>
        </w:rPr>
      </w:pPr>
      <w:r>
        <w:rPr>
          <w:rFonts w:eastAsia="Times New Roman"/>
          <w:i/>
          <w:iCs/>
          <w:color w:val="000000"/>
          <w:sz w:val="20"/>
          <w:szCs w:val="20"/>
          <w:u w:val="single"/>
        </w:rPr>
        <w:t>Cash Distributions from Ou</w:t>
      </w:r>
      <w:r>
        <w:rPr>
          <w:rFonts w:eastAsia="Times New Roman"/>
          <w:i/>
          <w:iCs/>
          <w:color w:val="000000"/>
          <w:sz w:val="20"/>
          <w:szCs w:val="20"/>
          <w:u w:val="single"/>
        </w:rPr>
        <w:t>r Subsidiarie</w:t>
      </w:r>
      <w:r>
        <w:rPr>
          <w:rFonts w:eastAsia="Times New Roman"/>
          <w:i/>
          <w:iCs/>
          <w:color w:val="000000"/>
          <w:sz w:val="20"/>
          <w:szCs w:val="20"/>
          <w:u w:val="single"/>
        </w:rPr>
        <w:t>s</w:t>
      </w:r>
    </w:p>
    <w:p w:rsidR="00000000" w:rsidRDefault="00775A8F">
      <w:pPr>
        <w:ind w:firstLine="360"/>
        <w:divId w:val="188417942"/>
        <w:rPr>
          <w:rFonts w:eastAsia="Times New Roman"/>
        </w:rPr>
      </w:pPr>
      <w:r>
        <w:rPr>
          <w:rFonts w:eastAsia="Times New Roman"/>
          <w:color w:val="000000"/>
          <w:sz w:val="20"/>
          <w:szCs w:val="20"/>
        </w:rPr>
        <w:t>In 2019, Holdings and certain of its subsidiaries received cash distributions from AB of $452 million and $1 billion in dividends from Equitable Financial. Also, Holdings received $576 million from Equitable Financial as repayment of princip</w:t>
      </w:r>
      <w:r>
        <w:rPr>
          <w:rFonts w:eastAsia="Times New Roman"/>
          <w:color w:val="000000"/>
          <w:sz w:val="20"/>
          <w:szCs w:val="20"/>
        </w:rPr>
        <w:t>al of $572 million and interest of $4 million related to a $572 million surplus note</w:t>
      </w:r>
      <w:r>
        <w:rPr>
          <w:rFonts w:eastAsia="Times New Roman"/>
          <w:color w:val="000000"/>
          <w:sz w:val="20"/>
          <w:szCs w:val="20"/>
        </w:rPr>
        <w:t>.</w:t>
      </w:r>
    </w:p>
    <w:p w:rsidR="00000000" w:rsidRDefault="00775A8F">
      <w:pPr>
        <w:ind w:firstLine="360"/>
        <w:divId w:val="81730969"/>
        <w:rPr>
          <w:rFonts w:eastAsia="Times New Roman"/>
        </w:rPr>
      </w:pPr>
      <w:r>
        <w:rPr>
          <w:rFonts w:eastAsia="Times New Roman"/>
          <w:color w:val="000000"/>
          <w:sz w:val="20"/>
          <w:szCs w:val="20"/>
        </w:rPr>
        <w:t>Through June 30, 2020, Holdings and certain of its subsidiaries received cash distributions from AB of $285 million and $1.2 billion in dividends from Equitable Financial</w:t>
      </w:r>
      <w:r>
        <w:rPr>
          <w:rFonts w:eastAsia="Times New Roman"/>
          <w:color w:val="000000"/>
          <w:sz w:val="20"/>
          <w:szCs w:val="20"/>
        </w:rPr>
        <w:t>. Also, Holdings received $60 million in distributions from Equitable Advisors. Holdings also received $164 million in distributions from Equitable Financial related to the USFL and MLICA sale proceeds.</w:t>
      </w:r>
      <w:r>
        <w:rPr>
          <w:rFonts w:eastAsia="Times New Roman"/>
          <w:color w:val="000000"/>
          <w:sz w:val="20"/>
          <w:szCs w:val="20"/>
        </w:rPr>
        <w:t xml:space="preserve"> </w:t>
      </w:r>
    </w:p>
    <w:p w:rsidR="00000000" w:rsidRDefault="00775A8F">
      <w:pPr>
        <w:divId w:val="2018464150"/>
        <w:rPr>
          <w:rFonts w:eastAsia="Times New Roman"/>
        </w:rPr>
      </w:pPr>
      <w:r>
        <w:rPr>
          <w:rFonts w:eastAsia="Times New Roman"/>
          <w:i/>
          <w:iCs/>
          <w:color w:val="000000"/>
          <w:sz w:val="20"/>
          <w:szCs w:val="20"/>
          <w:u w:val="single"/>
        </w:rPr>
        <w:t>Distributions from Insurance Subsidiarie</w:t>
      </w:r>
      <w:r>
        <w:rPr>
          <w:rFonts w:eastAsia="Times New Roman"/>
          <w:i/>
          <w:iCs/>
          <w:color w:val="000000"/>
          <w:sz w:val="20"/>
          <w:szCs w:val="20"/>
          <w:u w:val="single"/>
        </w:rPr>
        <w:t>s</w:t>
      </w:r>
    </w:p>
    <w:p w:rsidR="00000000" w:rsidRDefault="00775A8F">
      <w:pPr>
        <w:ind w:firstLine="360"/>
        <w:divId w:val="128595460"/>
        <w:rPr>
          <w:rFonts w:eastAsia="Times New Roman"/>
        </w:rPr>
      </w:pPr>
      <w:r>
        <w:rPr>
          <w:rFonts w:eastAsia="Times New Roman"/>
          <w:color w:val="000000"/>
          <w:sz w:val="20"/>
          <w:szCs w:val="20"/>
        </w:rPr>
        <w:t>Our insura</w:t>
      </w:r>
      <w:r>
        <w:rPr>
          <w:rFonts w:eastAsia="Times New Roman"/>
          <w:color w:val="000000"/>
          <w:sz w:val="20"/>
          <w:szCs w:val="20"/>
        </w:rPr>
        <w:t>nce companies are subject to limitations on the payment of dividends and other transfers of funds to Holdings and other affiliates under applicable insurance law and regulation. Also, more generally, the ability of our insurance subsidiaries to pay dividen</w:t>
      </w:r>
      <w:r>
        <w:rPr>
          <w:rFonts w:eastAsia="Times New Roman"/>
          <w:color w:val="000000"/>
          <w:sz w:val="20"/>
          <w:szCs w:val="20"/>
        </w:rPr>
        <w:t>ds can be affected by market conditions and other factors beyond our control.</w:t>
      </w:r>
      <w:r>
        <w:rPr>
          <w:rFonts w:eastAsia="Times New Roman"/>
          <w:color w:val="000000"/>
          <w:sz w:val="20"/>
          <w:szCs w:val="20"/>
        </w:rPr>
        <w:t xml:space="preserve"> </w:t>
      </w:r>
    </w:p>
    <w:p w:rsidR="00000000" w:rsidRDefault="00775A8F">
      <w:pPr>
        <w:ind w:firstLine="360"/>
        <w:divId w:val="1116371393"/>
        <w:rPr>
          <w:rFonts w:eastAsia="Times New Roman"/>
        </w:rPr>
      </w:pPr>
      <w:r>
        <w:rPr>
          <w:rFonts w:eastAsia="Times New Roman"/>
          <w:color w:val="000000"/>
          <w:sz w:val="20"/>
          <w:szCs w:val="20"/>
        </w:rPr>
        <w:t>Under New York insurance law applicable to Equitable Financial, a domestic stock life insurer may not, without prior approval of the NYDFS, pay a dividend to its stockholders ex</w:t>
      </w:r>
      <w:r>
        <w:rPr>
          <w:rFonts w:eastAsia="Times New Roman"/>
          <w:color w:val="000000"/>
          <w:sz w:val="20"/>
          <w:szCs w:val="20"/>
        </w:rPr>
        <w:t>ceeding an amount calculated based on a statutory formula. This formula would permit Equitable Financial to pay shareholder dividends up to approximately $2.1 billion during 2020. Dividends in excess of this amount require the insurer to file a notice of i</w:t>
      </w:r>
      <w:r>
        <w:rPr>
          <w:rFonts w:eastAsia="Times New Roman"/>
          <w:color w:val="000000"/>
          <w:sz w:val="20"/>
          <w:szCs w:val="20"/>
        </w:rPr>
        <w:t>ts intent to declare the dividends with the NYDFS and prior approval or non-disapproval from the NYDFS</w:t>
      </w:r>
      <w:r>
        <w:rPr>
          <w:rFonts w:eastAsia="Times New Roman"/>
          <w:color w:val="000000"/>
          <w:sz w:val="20"/>
          <w:szCs w:val="20"/>
        </w:rPr>
        <w:t>.</w:t>
      </w:r>
    </w:p>
    <w:p w:rsidR="00000000" w:rsidRDefault="00775A8F">
      <w:pPr>
        <w:divId w:val="450789325"/>
        <w:rPr>
          <w:rFonts w:eastAsia="Times New Roman"/>
        </w:rPr>
      </w:pPr>
      <w:r>
        <w:rPr>
          <w:rFonts w:eastAsia="Times New Roman"/>
          <w:i/>
          <w:iCs/>
          <w:color w:val="000000"/>
          <w:sz w:val="20"/>
          <w:szCs w:val="20"/>
          <w:u w:val="single"/>
        </w:rPr>
        <w:t>Distributions from AllianceBernstei</w:t>
      </w:r>
      <w:r>
        <w:rPr>
          <w:rFonts w:eastAsia="Times New Roman"/>
          <w:i/>
          <w:iCs/>
          <w:color w:val="000000"/>
          <w:sz w:val="20"/>
          <w:szCs w:val="20"/>
          <w:u w:val="single"/>
        </w:rPr>
        <w:t>n</w:t>
      </w:r>
    </w:p>
    <w:p w:rsidR="00000000" w:rsidRDefault="00775A8F">
      <w:pPr>
        <w:ind w:firstLine="360"/>
        <w:divId w:val="140774727"/>
        <w:rPr>
          <w:rFonts w:eastAsia="Times New Roman"/>
        </w:rPr>
      </w:pPr>
      <w:r>
        <w:rPr>
          <w:rFonts w:eastAsia="Times New Roman"/>
          <w:color w:val="000000"/>
          <w:sz w:val="20"/>
          <w:szCs w:val="20"/>
        </w:rPr>
        <w:t>ABLP is required to distribute all of its Available Cash Flow, as defined in the Amended and Restated Partnership A</w:t>
      </w:r>
      <w:r>
        <w:rPr>
          <w:rFonts w:eastAsia="Times New Roman"/>
          <w:color w:val="000000"/>
          <w:sz w:val="20"/>
          <w:szCs w:val="20"/>
        </w:rPr>
        <w:t>greement of ABLP, to the holders of AB Units and to the General Partner. Available Cash Flow is defined as the cash flow received by ABLP from operations minus such amounts as the General Partner determines, in its sole discretion, should be retained by AB</w:t>
      </w:r>
      <w:r>
        <w:rPr>
          <w:rFonts w:eastAsia="Times New Roman"/>
          <w:color w:val="000000"/>
          <w:sz w:val="20"/>
          <w:szCs w:val="20"/>
        </w:rPr>
        <w:t>LP for use in its business, or plus such amounts as the General Partner determines, in its sole discretion, should be released from previously retained cash flow. Distributions by ABLP are made 1% to the General Partner and 99% among the limited partners</w:t>
      </w:r>
      <w:r>
        <w:rPr>
          <w:rFonts w:eastAsia="Times New Roman"/>
          <w:color w:val="000000"/>
          <w:sz w:val="20"/>
          <w:szCs w:val="20"/>
        </w:rPr>
        <w:t>.</w:t>
      </w:r>
    </w:p>
    <w:p w:rsidR="00000000" w:rsidRDefault="00775A8F">
      <w:pPr>
        <w:ind w:firstLine="360"/>
        <w:divId w:val="1791782107"/>
        <w:rPr>
          <w:rFonts w:eastAsia="Times New Roman"/>
        </w:rPr>
      </w:pPr>
      <w:r>
        <w:rPr>
          <w:rFonts w:eastAsia="Times New Roman"/>
          <w:color w:val="000000"/>
          <w:sz w:val="20"/>
          <w:szCs w:val="20"/>
        </w:rPr>
        <w:t>Typically, Available Cash Flow has been the adjusted diluted net income per unit for the quarter multiplied by the number of general and limited partnership interests at the end of the quarter. In future periods, management of AB anticipates that Available</w:t>
      </w:r>
      <w:r>
        <w:rPr>
          <w:rFonts w:eastAsia="Times New Roman"/>
          <w:color w:val="000000"/>
          <w:sz w:val="20"/>
          <w:szCs w:val="20"/>
        </w:rPr>
        <w:t xml:space="preserve"> Cash Flow will be based on adjusted diluted net income per unit, unless management of AB determines, with the concurrence of the Board of Directors of AB, that one or more adjustments that are made for adjusted net income should not be made with respect t</w:t>
      </w:r>
      <w:r>
        <w:rPr>
          <w:rFonts w:eastAsia="Times New Roman"/>
          <w:color w:val="000000"/>
          <w:sz w:val="20"/>
          <w:szCs w:val="20"/>
        </w:rPr>
        <w:t>o the Available Cash Flow calculation</w:t>
      </w:r>
      <w:r>
        <w:rPr>
          <w:rFonts w:eastAsia="Times New Roman"/>
          <w:color w:val="000000"/>
          <w:sz w:val="20"/>
          <w:szCs w:val="20"/>
        </w:rPr>
        <w:t>.</w:t>
      </w:r>
    </w:p>
    <w:p w:rsidR="00000000" w:rsidRDefault="00775A8F">
      <w:pPr>
        <w:ind w:firstLine="360"/>
        <w:divId w:val="1187405966"/>
        <w:rPr>
          <w:rFonts w:eastAsia="Times New Roman"/>
        </w:rPr>
      </w:pPr>
      <w:r>
        <w:rPr>
          <w:rFonts w:eastAsia="Times New Roman"/>
          <w:color w:val="000000"/>
          <w:sz w:val="20"/>
          <w:szCs w:val="20"/>
        </w:rPr>
        <w:t>AB Holding is required to distribute all of its Available Cash Flow, as defined in the Amended and Restated Agreement of Limited Partnership of AB Holding, to holders of AB Holding Units pro rata in accordance with th</w:t>
      </w:r>
      <w:r>
        <w:rPr>
          <w:rFonts w:eastAsia="Times New Roman"/>
          <w:color w:val="000000"/>
          <w:sz w:val="20"/>
          <w:szCs w:val="20"/>
        </w:rPr>
        <w:t>eir percentage interest in AB Holding. Available Cash Flow is defined as the cash distributions AB Holding receives from ABLP minus such amounts as the General Partner determines, in its sole discretion, should be retained by AB Holding for use in its busi</w:t>
      </w:r>
      <w:r>
        <w:rPr>
          <w:rFonts w:eastAsia="Times New Roman"/>
          <w:color w:val="000000"/>
          <w:sz w:val="20"/>
          <w:szCs w:val="20"/>
        </w:rPr>
        <w:t>ness (such as the payment of taxes) or plus such amounts as the General Partner determines, in its sole discretion, should be released from previously retained cash flow. AB Holding is dependent on the quarterly cash distributions it receives from ABLP, wh</w:t>
      </w:r>
      <w:r>
        <w:rPr>
          <w:rFonts w:eastAsia="Times New Roman"/>
          <w:color w:val="000000"/>
          <w:sz w:val="20"/>
          <w:szCs w:val="20"/>
        </w:rPr>
        <w:t>ich is subject to the</w:t>
      </w:r>
      <w:r>
        <w:rPr>
          <w:rFonts w:eastAsia="Times New Roman"/>
          <w:color w:val="000000"/>
          <w:sz w:val="20"/>
          <w:szCs w:val="20"/>
        </w:rPr>
        <w:t xml:space="preserve"> </w:t>
      </w:r>
    </w:p>
    <w:p w:rsidR="00000000" w:rsidRDefault="00775A8F">
      <w:pPr>
        <w:jc w:val="center"/>
        <w:divId w:val="1289700744"/>
        <w:rPr>
          <w:rFonts w:eastAsia="Times New Roman"/>
        </w:rPr>
      </w:pPr>
      <w:r>
        <w:rPr>
          <w:rFonts w:eastAsia="Times New Roman"/>
          <w:color w:val="000000"/>
          <w:sz w:val="20"/>
          <w:szCs w:val="20"/>
        </w:rPr>
        <w:t>9</w:t>
      </w:r>
      <w:r>
        <w:rPr>
          <w:rFonts w:eastAsia="Times New Roman"/>
          <w:color w:val="000000"/>
          <w:sz w:val="20"/>
          <w:szCs w:val="20"/>
        </w:rPr>
        <w:t>8</w:t>
      </w:r>
    </w:p>
    <w:p w:rsidR="00000000" w:rsidRDefault="00775A8F">
      <w:pPr>
        <w:rPr>
          <w:rFonts w:eastAsia="Times New Roman"/>
        </w:rPr>
      </w:pPr>
      <w:r>
        <w:rPr>
          <w:rFonts w:eastAsia="Times New Roman"/>
        </w:rPr>
        <w:pict>
          <v:rect id="_x0000_i1124" style="width:0;height:1.5pt" o:hralign="center" o:hrstd="t" o:hr="t" fillcolor="#a0a0a0" stroked="f"/>
        </w:pict>
      </w:r>
    </w:p>
    <w:p w:rsidR="00000000" w:rsidRDefault="00775A8F">
      <w:pPr>
        <w:divId w:val="369185694"/>
        <w:rPr>
          <w:rFonts w:eastAsia="Times New Roman"/>
        </w:rPr>
      </w:pPr>
    </w:p>
    <w:p w:rsidR="00000000" w:rsidRDefault="00775A8F">
      <w:pPr>
        <w:divId w:val="1488015715"/>
        <w:rPr>
          <w:rFonts w:eastAsia="Times New Roman"/>
        </w:rPr>
      </w:pPr>
      <w:r>
        <w:rPr>
          <w:rFonts w:eastAsia="Times New Roman"/>
          <w:color w:val="000000"/>
          <w:sz w:val="20"/>
          <w:szCs w:val="20"/>
        </w:rPr>
        <w:t>performance of capital markets and other factors beyond our control. Distributions from AB Holding are made pro rata based on the holder’s percentage ownership interest in AB Holding</w:t>
      </w:r>
      <w:r>
        <w:rPr>
          <w:rFonts w:eastAsia="Times New Roman"/>
          <w:color w:val="000000"/>
          <w:sz w:val="20"/>
          <w:szCs w:val="20"/>
        </w:rPr>
        <w:t>.</w:t>
      </w:r>
    </w:p>
    <w:p w:rsidR="00000000" w:rsidRDefault="00775A8F">
      <w:pPr>
        <w:ind w:firstLine="360"/>
        <w:divId w:val="1918517711"/>
        <w:rPr>
          <w:rFonts w:eastAsia="Times New Roman"/>
        </w:rPr>
      </w:pPr>
      <w:r>
        <w:rPr>
          <w:rFonts w:eastAsia="Times New Roman"/>
          <w:color w:val="000000"/>
          <w:sz w:val="20"/>
          <w:szCs w:val="20"/>
        </w:rPr>
        <w:t>As of Ju</w:t>
      </w:r>
      <w:r>
        <w:rPr>
          <w:rFonts w:eastAsia="Times New Roman"/>
          <w:color w:val="000000"/>
          <w:sz w:val="20"/>
          <w:szCs w:val="20"/>
        </w:rPr>
        <w:t>ne 30, 2020, Holdings and its non-insurance company subsidiaries hold approximately 167.5 million AB Units, 4.1 million AB Holding Units and the 1% General Partnership interest in ABLP, while 2.6 million AB Units continue to be held by Equitable America. B</w:t>
      </w:r>
      <w:r>
        <w:rPr>
          <w:rFonts w:eastAsia="Times New Roman"/>
          <w:color w:val="000000"/>
          <w:sz w:val="20"/>
          <w:szCs w:val="20"/>
        </w:rPr>
        <w:t>ecause Equitable America is subject to regulatory restrictions on the amount of dividends it may pay, distributions it receives from AB may not be distributable to Holdings</w:t>
      </w:r>
      <w:r>
        <w:rPr>
          <w:rFonts w:eastAsia="Times New Roman"/>
          <w:color w:val="000000"/>
          <w:sz w:val="20"/>
          <w:szCs w:val="20"/>
        </w:rPr>
        <w:t>.</w:t>
      </w:r>
    </w:p>
    <w:p w:rsidR="00000000" w:rsidRDefault="00775A8F">
      <w:pPr>
        <w:ind w:firstLine="360"/>
        <w:divId w:val="833881421"/>
        <w:rPr>
          <w:rFonts w:eastAsia="Times New Roman"/>
        </w:rPr>
      </w:pPr>
      <w:r>
        <w:rPr>
          <w:rFonts w:eastAsia="Times New Roman"/>
          <w:color w:val="000000"/>
          <w:sz w:val="20"/>
          <w:szCs w:val="20"/>
        </w:rPr>
        <w:t>As of June 30, 2020, the ownership structure of ABLP, including AB Units outstandi</w:t>
      </w:r>
      <w:r>
        <w:rPr>
          <w:rFonts w:eastAsia="Times New Roman"/>
          <w:color w:val="000000"/>
          <w:sz w:val="20"/>
          <w:szCs w:val="20"/>
        </w:rPr>
        <w:t>ng as well as the general partner’s 1% interest, was as follows:</w:t>
      </w:r>
      <w:r>
        <w:rPr>
          <w:rFonts w:eastAsia="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9"/>
        <w:gridCol w:w="6902"/>
        <w:gridCol w:w="59"/>
        <w:gridCol w:w="59"/>
        <w:gridCol w:w="1025"/>
        <w:gridCol w:w="202"/>
      </w:tblGrid>
      <w:tr w:rsidR="00000000">
        <w:trPr>
          <w:divId w:val="2096432841"/>
        </w:trPr>
        <w:tc>
          <w:tcPr>
            <w:tcW w:w="50" w:type="pct"/>
            <w:vAlign w:val="center"/>
            <w:hideMark/>
          </w:tcPr>
          <w:p w:rsidR="00000000" w:rsidRDefault="00775A8F">
            <w:pPr>
              <w:ind w:firstLine="360"/>
              <w:rPr>
                <w:rFonts w:eastAsia="Times New Roman"/>
              </w:rPr>
            </w:pPr>
          </w:p>
        </w:tc>
        <w:tc>
          <w:tcPr>
            <w:tcW w:w="41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63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2096432841"/>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6"/>
                <w:szCs w:val="16"/>
              </w:rPr>
              <w:t>Owne</w:t>
            </w:r>
            <w:r>
              <w:rPr>
                <w:rFonts w:eastAsia="Times New Roman"/>
                <w:b/>
                <w:bCs/>
                <w:color w:val="000000"/>
                <w:sz w:val="16"/>
                <w:szCs w:val="16"/>
              </w:rPr>
              <w:t>r</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Percentage Ownershi</w:t>
            </w:r>
            <w:r>
              <w:rPr>
                <w:rFonts w:eastAsia="Times New Roman"/>
                <w:b/>
                <w:bCs/>
                <w:color w:val="000000"/>
                <w:sz w:val="16"/>
                <w:szCs w:val="16"/>
              </w:rPr>
              <w:t>p</w:t>
            </w:r>
          </w:p>
        </w:tc>
      </w:tr>
      <w:tr w:rsidR="00000000">
        <w:trPr>
          <w:divId w:val="209643284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EQH and its subsidiarie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63.7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r>
      <w:tr w:rsidR="00000000">
        <w:trPr>
          <w:divId w:val="20964328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AB Holdin</w:t>
            </w:r>
            <w:r>
              <w:rPr>
                <w:rFonts w:eastAsia="Times New Roman"/>
                <w:color w:val="000000"/>
                <w:sz w:val="20"/>
                <w:szCs w:val="20"/>
              </w:rPr>
              <w:t>g</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r>
      <w:tr w:rsidR="00000000">
        <w:trPr>
          <w:divId w:val="2096432841"/>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Unaffiliated holder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r>
      <w:tr w:rsidR="00000000">
        <w:trPr>
          <w:divId w:val="2096432841"/>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w:t>
            </w:r>
          </w:p>
        </w:tc>
      </w:tr>
    </w:tbl>
    <w:p w:rsidR="00000000" w:rsidRDefault="00775A8F">
      <w:pPr>
        <w:ind w:firstLine="360"/>
        <w:divId w:val="1233541017"/>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June 30, 2020</w:t>
      </w:r>
      <w:r>
        <w:rPr>
          <w:rFonts w:eastAsia="Times New Roman"/>
          <w:color w:val="000000"/>
          <w:sz w:val="20"/>
          <w:szCs w:val="20"/>
        </w:rPr>
        <w:t>.</w:t>
      </w:r>
    </w:p>
    <w:p w:rsidR="00000000" w:rsidRDefault="00775A8F">
      <w:pPr>
        <w:divId w:val="808589833"/>
        <w:rPr>
          <w:rFonts w:eastAsia="Times New Roman"/>
        </w:rPr>
      </w:pPr>
    </w:p>
    <w:p w:rsidR="00000000" w:rsidRDefault="00775A8F">
      <w:pPr>
        <w:divId w:val="1591233819"/>
        <w:rPr>
          <w:rFonts w:eastAsia="Times New Roman"/>
        </w:rPr>
      </w:pPr>
      <w:r>
        <w:rPr>
          <w:rFonts w:eastAsia="Times New Roman"/>
          <w:i/>
          <w:iCs/>
          <w:color w:val="000000"/>
          <w:sz w:val="20"/>
          <w:szCs w:val="20"/>
          <w:u w:val="single"/>
        </w:rPr>
        <w:t>Holdings Credit Facilities</w:t>
      </w:r>
      <w:r>
        <w:rPr>
          <w:rFonts w:eastAsia="Times New Roman"/>
          <w:i/>
          <w:iCs/>
          <w:color w:val="000000"/>
          <w:sz w:val="20"/>
          <w:szCs w:val="20"/>
          <w:u w:val="single"/>
        </w:rPr>
        <w:t xml:space="preserve"> </w:t>
      </w:r>
    </w:p>
    <w:p w:rsidR="00000000" w:rsidRDefault="00775A8F">
      <w:pPr>
        <w:ind w:firstLine="360"/>
        <w:divId w:val="287980277"/>
        <w:rPr>
          <w:rFonts w:eastAsia="Times New Roman"/>
        </w:rPr>
      </w:pPr>
      <w:r>
        <w:rPr>
          <w:rFonts w:eastAsia="Times New Roman"/>
          <w:color w:val="000000"/>
          <w:sz w:val="20"/>
          <w:szCs w:val="20"/>
        </w:rPr>
        <w:t>We have a $2.5 </w:t>
      </w:r>
      <w:r>
        <w:rPr>
          <w:rFonts w:eastAsia="Times New Roman"/>
          <w:color w:val="000000"/>
          <w:sz w:val="20"/>
          <w:szCs w:val="20"/>
        </w:rPr>
        <w:t>billion five-year senior unsecured revolving credit facility (the “Credit Facility”), which may provide significant support to our liquidity position when alternative sources of credit are limited. In addition to the Credit Facility, we have letter of cred</w:t>
      </w:r>
      <w:r>
        <w:rPr>
          <w:rFonts w:eastAsia="Times New Roman"/>
          <w:color w:val="000000"/>
          <w:sz w:val="20"/>
          <w:szCs w:val="20"/>
        </w:rPr>
        <w:t>it facilities with an aggregate principal amount of approximately $1.9 billion (the “LOC Facilities”), primarily to be used to support our life insurance business reinsured to EQ AZ Life Re in April 2018.</w:t>
      </w:r>
      <w:r>
        <w:rPr>
          <w:rFonts w:eastAsia="Times New Roman"/>
          <w:color w:val="000000"/>
          <w:sz w:val="20"/>
          <w:szCs w:val="20"/>
        </w:rPr>
        <w:t xml:space="preserve"> </w:t>
      </w:r>
    </w:p>
    <w:p w:rsidR="00000000" w:rsidRDefault="00775A8F">
      <w:pPr>
        <w:ind w:firstLine="360"/>
        <w:divId w:val="1854565330"/>
        <w:rPr>
          <w:rFonts w:eastAsia="Times New Roman"/>
        </w:rPr>
      </w:pPr>
      <w:r>
        <w:rPr>
          <w:rFonts w:eastAsia="Times New Roman"/>
          <w:color w:val="000000"/>
          <w:sz w:val="20"/>
          <w:szCs w:val="20"/>
        </w:rPr>
        <w:t>The Credit Facilities and LOC Facilities contain c</w:t>
      </w:r>
      <w:r>
        <w:rPr>
          <w:rFonts w:eastAsia="Times New Roman"/>
          <w:color w:val="000000"/>
          <w:sz w:val="20"/>
          <w:szCs w:val="20"/>
        </w:rPr>
        <w:t>ertain administrative, reporting, legal and financial covenants, including requirements to maintain a specified minimum consolidated net worth and to maintain a ratio of indebtedness to total capitalization not in excess of a specified percentage, and limi</w:t>
      </w:r>
      <w:r>
        <w:rPr>
          <w:rFonts w:eastAsia="Times New Roman"/>
          <w:color w:val="000000"/>
          <w:sz w:val="20"/>
          <w:szCs w:val="20"/>
        </w:rPr>
        <w:t>tations on the dollar amount of indebtedness that may be incurred by our subsidiaries and the dollar amount of secured indebtedness that may be incurred by us, which could restrict our operations and use of funds. The right to borrow funds under the Credit</w:t>
      </w:r>
      <w:r>
        <w:rPr>
          <w:rFonts w:eastAsia="Times New Roman"/>
          <w:color w:val="000000"/>
          <w:sz w:val="20"/>
          <w:szCs w:val="20"/>
        </w:rPr>
        <w:t xml:space="preserve"> Facility and LOC Facilities is subject to the fulfillment of certain conditions, including compliance with all covenants, and the ability to borrow thereunder is also subject to the continued ability of the lenders that are or will be parties to the facil</w:t>
      </w:r>
      <w:r>
        <w:rPr>
          <w:rFonts w:eastAsia="Times New Roman"/>
          <w:color w:val="000000"/>
          <w:sz w:val="20"/>
          <w:szCs w:val="20"/>
        </w:rPr>
        <w:t>ities to provide funds. As of June 30, 2020, we were in compliance with these covenants. For additional information regarding the covenants in the facilities and the conditions to borrowing thereunder, see “Part I Item 1A-Risk Factors” in the Annual Report</w:t>
      </w:r>
      <w:r>
        <w:rPr>
          <w:rFonts w:eastAsia="Times New Roman"/>
          <w:color w:val="000000"/>
          <w:sz w:val="20"/>
          <w:szCs w:val="20"/>
        </w:rPr>
        <w:t xml:space="preserve"> on Form 10-K for the year ended December 31, 2019</w:t>
      </w:r>
      <w:r>
        <w:rPr>
          <w:rFonts w:eastAsia="Times New Roman"/>
          <w:color w:val="000000"/>
          <w:sz w:val="20"/>
          <w:szCs w:val="20"/>
        </w:rPr>
        <w:t>.</w:t>
      </w:r>
    </w:p>
    <w:p w:rsidR="00000000" w:rsidRDefault="00775A8F">
      <w:pPr>
        <w:divId w:val="1939632643"/>
        <w:rPr>
          <w:rFonts w:eastAsia="Times New Roman"/>
        </w:rPr>
      </w:pPr>
      <w:r>
        <w:rPr>
          <w:rFonts w:eastAsia="Times New Roman"/>
          <w:i/>
          <w:iCs/>
          <w:color w:val="000000"/>
          <w:sz w:val="20"/>
          <w:szCs w:val="20"/>
          <w:u w:val="single"/>
        </w:rPr>
        <w:t>Contingent Funding Arrangements</w:t>
      </w:r>
      <w:r>
        <w:rPr>
          <w:rFonts w:eastAsia="Times New Roman"/>
          <w:i/>
          <w:iCs/>
          <w:color w:val="000000"/>
          <w:sz w:val="20"/>
          <w:szCs w:val="20"/>
          <w:u w:val="single"/>
        </w:rPr>
        <w:t xml:space="preserve"> </w:t>
      </w:r>
    </w:p>
    <w:p w:rsidR="00000000" w:rsidRDefault="00775A8F">
      <w:pPr>
        <w:ind w:firstLine="360"/>
        <w:divId w:val="2039430475"/>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w:t>
      </w:r>
      <w:r>
        <w:rPr>
          <w:rFonts w:eastAsia="Times New Roman"/>
          <w:color w:val="000000"/>
          <w:sz w:val="20"/>
          <w:szCs w:val="20"/>
        </w:rPr>
        <w:t>usts (as defined below), Pine Street Trust I, a Delaware statutory trust (the “2029 Trust”), completed the issuance and sale of 600,000 of its Pre-Capitalized Trust Securities redeemable February 15, 2029 (the “2029 P-Caps”) for an aggregate purchase price</w:t>
      </w:r>
      <w:r>
        <w:rPr>
          <w:rFonts w:eastAsia="Times New Roman"/>
          <w:color w:val="000000"/>
          <w:sz w:val="20"/>
          <w:szCs w:val="20"/>
        </w:rPr>
        <w:t xml:space="preserve"> of $600 million and Pine Street Trust II, a Delaware statutory trust (the “2049 Trust” and, together with the 2029 Trust, the “Trusts”), completed the issuance and sale of 400,000 of its Pre-Capitalized Trust Securities redeemable February 15, 2049 (the “</w:t>
      </w:r>
      <w:r>
        <w:rPr>
          <w:rFonts w:eastAsia="Times New Roman"/>
          <w:color w:val="000000"/>
          <w:sz w:val="20"/>
          <w:szCs w:val="20"/>
        </w:rPr>
        <w:t xml:space="preserve">2049 P-Caps” and, together with the 2029 P-Caps, the “P-Caps”) for an aggregate purchase price of $400 million, in each case to qualified institutional buyers in reliance on Rule 144A that are also “qualified purchasers” for purposes of Section 3(c)(7) of </w:t>
      </w:r>
      <w:r>
        <w:rPr>
          <w:rFonts w:eastAsia="Times New Roman"/>
          <w:color w:val="000000"/>
          <w:sz w:val="20"/>
          <w:szCs w:val="20"/>
        </w:rPr>
        <w:t xml:space="preserve">the Investment Company Act of 1940, as amended. The P-Caps are a contingent funding arrangement that, upon Holdings’ election, gives Holdings the right over a ten-year period (in the case of the 2029 Trust) or over a thirty-year period (in the case of the </w:t>
      </w:r>
      <w:r>
        <w:rPr>
          <w:rFonts w:eastAsia="Times New Roman"/>
          <w:color w:val="000000"/>
          <w:sz w:val="20"/>
          <w:szCs w:val="20"/>
        </w:rPr>
        <w:t>2049 Trust) to issue senior notes to the Trusts. The Trusts each invested the proceeds from the sale of their P-Caps in separate portfolios of principal and/or interest strips of U.S. Treasury securities</w:t>
      </w:r>
      <w:r>
        <w:rPr>
          <w:rFonts w:eastAsia="Times New Roman"/>
          <w:color w:val="000000"/>
          <w:sz w:val="20"/>
          <w:szCs w:val="20"/>
        </w:rPr>
        <w:t>.</w:t>
      </w:r>
    </w:p>
    <w:p w:rsidR="00000000" w:rsidRDefault="00775A8F">
      <w:pPr>
        <w:divId w:val="1994916238"/>
        <w:rPr>
          <w:rFonts w:eastAsia="Times New Roman"/>
        </w:rPr>
      </w:pPr>
      <w:r>
        <w:rPr>
          <w:rFonts w:eastAsia="Times New Roman"/>
          <w:i/>
          <w:iCs/>
          <w:color w:val="000000"/>
          <w:sz w:val="20"/>
          <w:szCs w:val="20"/>
          <w:u w:val="single"/>
        </w:rPr>
        <w:t>Series A Fixed Rate Noncumulative Perpetual Preferr</w:t>
      </w:r>
      <w:r>
        <w:rPr>
          <w:rFonts w:eastAsia="Times New Roman"/>
          <w:i/>
          <w:iCs/>
          <w:color w:val="000000"/>
          <w:sz w:val="20"/>
          <w:szCs w:val="20"/>
          <w:u w:val="single"/>
        </w:rPr>
        <w:t>ed Stock</w:t>
      </w:r>
      <w:r>
        <w:rPr>
          <w:rFonts w:eastAsia="Times New Roman"/>
          <w:i/>
          <w:iCs/>
          <w:color w:val="000000"/>
          <w:sz w:val="20"/>
          <w:szCs w:val="20"/>
          <w:u w:val="single"/>
        </w:rPr>
        <w:t xml:space="preserve"> </w:t>
      </w:r>
    </w:p>
    <w:p w:rsidR="00000000" w:rsidRDefault="00775A8F">
      <w:pPr>
        <w:ind w:firstLine="360"/>
        <w:divId w:val="547032419"/>
        <w:rPr>
          <w:rFonts w:eastAsia="Times New Roman"/>
        </w:rPr>
      </w:pPr>
      <w:r>
        <w:rPr>
          <w:rFonts w:eastAsia="Times New Roman"/>
          <w:color w:val="000000"/>
          <w:sz w:val="20"/>
          <w:szCs w:val="20"/>
        </w:rPr>
        <w:t>In November and December 2019, Holdings issued a total of 32 million depositary shares, each representing a 1/1,000th interest in share of Holdings’ Series A Fixed Rate Noncumulative Perpetual Preferred Stock (“Series A Preferred Stock”), $1.00 p</w:t>
      </w:r>
      <w:r>
        <w:rPr>
          <w:rFonts w:eastAsia="Times New Roman"/>
          <w:color w:val="000000"/>
          <w:sz w:val="20"/>
          <w:szCs w:val="20"/>
        </w:rPr>
        <w:t>ar value per share, with a liquidation preference of $25,000 per share of Series A Preferred Stock, for aggregate net cash</w:t>
      </w:r>
      <w:r>
        <w:rPr>
          <w:rFonts w:eastAsia="Times New Roman"/>
          <w:color w:val="000000"/>
          <w:sz w:val="20"/>
          <w:szCs w:val="20"/>
        </w:rPr>
        <w:t xml:space="preserve"> </w:t>
      </w:r>
    </w:p>
    <w:p w:rsidR="00000000" w:rsidRDefault="00775A8F">
      <w:pPr>
        <w:jc w:val="center"/>
        <w:divId w:val="601036208"/>
        <w:rPr>
          <w:rFonts w:eastAsia="Times New Roman"/>
        </w:rPr>
      </w:pPr>
      <w:r>
        <w:rPr>
          <w:rFonts w:eastAsia="Times New Roman"/>
          <w:color w:val="000000"/>
          <w:sz w:val="20"/>
          <w:szCs w:val="20"/>
        </w:rPr>
        <w:t>9</w:t>
      </w:r>
      <w:r>
        <w:rPr>
          <w:rFonts w:eastAsia="Times New Roman"/>
          <w:color w:val="000000"/>
          <w:sz w:val="20"/>
          <w:szCs w:val="20"/>
        </w:rPr>
        <w:t>9</w:t>
      </w:r>
    </w:p>
    <w:p w:rsidR="00000000" w:rsidRDefault="00775A8F">
      <w:pPr>
        <w:rPr>
          <w:rFonts w:eastAsia="Times New Roman"/>
        </w:rPr>
      </w:pPr>
      <w:r>
        <w:rPr>
          <w:rFonts w:eastAsia="Times New Roman"/>
        </w:rPr>
        <w:pict>
          <v:rect id="_x0000_i1125" style="width:0;height:1.5pt" o:hralign="center" o:hrstd="t" o:hr="t" fillcolor="#a0a0a0" stroked="f"/>
        </w:pict>
      </w:r>
    </w:p>
    <w:p w:rsidR="00000000" w:rsidRDefault="00775A8F">
      <w:pPr>
        <w:divId w:val="1694527858"/>
        <w:rPr>
          <w:rFonts w:eastAsia="Times New Roman"/>
        </w:rPr>
      </w:pPr>
    </w:p>
    <w:p w:rsidR="00000000" w:rsidRDefault="00775A8F">
      <w:pPr>
        <w:divId w:val="977685648"/>
        <w:rPr>
          <w:rFonts w:eastAsia="Times New Roman"/>
        </w:rPr>
      </w:pPr>
      <w:r>
        <w:rPr>
          <w:rFonts w:eastAsia="Times New Roman"/>
          <w:color w:val="000000"/>
          <w:sz w:val="20"/>
          <w:szCs w:val="20"/>
        </w:rPr>
        <w:t>proceeds of $775 million ($800 million gross). The Series A Preferred Stock ranks senior t</w:t>
      </w:r>
      <w:r>
        <w:rPr>
          <w:rFonts w:eastAsia="Times New Roman"/>
          <w:color w:val="000000"/>
          <w:sz w:val="20"/>
          <w:szCs w:val="20"/>
        </w:rPr>
        <w:t>o Holdings common stock with respect to the payment of dividends and liquidation. Holdings will pay dividends on the Series A Preferred Stock on a noncumulative basis only when, as and if declared by Holdings’ Board of Directors (or a duly authorized commi</w:t>
      </w:r>
      <w:r>
        <w:rPr>
          <w:rFonts w:eastAsia="Times New Roman"/>
          <w:color w:val="000000"/>
          <w:sz w:val="20"/>
          <w:szCs w:val="20"/>
        </w:rPr>
        <w:t>ttee of the board) and will be payable quarterly in arrears, at an annual rate of 5.25% on the stated amount per share. The Series A Preferred Stock is redeemable at Holdings’ option in whole or in part, on or after December 15, 2024, at a redemption price</w:t>
      </w:r>
      <w:r>
        <w:rPr>
          <w:rFonts w:eastAsia="Times New Roman"/>
          <w:color w:val="000000"/>
          <w:sz w:val="20"/>
          <w:szCs w:val="20"/>
        </w:rPr>
        <w:t xml:space="preserve"> of $25,000 per share of Series A Preferred Stock, plus declared and unpaid dividends. Prior to December 25, 2024, the Series A Preferred Stock is redeemable at Holdings’ option, in whole but not in part, within 90 days of the occurrence of certain rating </w:t>
      </w:r>
      <w:r>
        <w:rPr>
          <w:rFonts w:eastAsia="Times New Roman"/>
          <w:color w:val="000000"/>
          <w:sz w:val="20"/>
          <w:szCs w:val="20"/>
        </w:rPr>
        <w:t>agency events at a redemption price equal to $25,500 per share, plus declared and unpaid dividends or certain regulatory capital events at a redemption price equal to $25,000 per share, plus any declared and unpaid dividends</w:t>
      </w:r>
      <w:r>
        <w:rPr>
          <w:rFonts w:eastAsia="Times New Roman"/>
          <w:color w:val="000000"/>
          <w:sz w:val="20"/>
          <w:szCs w:val="20"/>
        </w:rPr>
        <w:t>.</w:t>
      </w:r>
    </w:p>
    <w:p w:rsidR="00000000" w:rsidRDefault="00775A8F">
      <w:pPr>
        <w:jc w:val="both"/>
        <w:divId w:val="1505170059"/>
        <w:rPr>
          <w:rFonts w:eastAsia="Times New Roman"/>
        </w:rPr>
      </w:pPr>
      <w:r>
        <w:rPr>
          <w:rFonts w:eastAsia="Times New Roman"/>
          <w:b/>
          <w:bCs/>
          <w:i/>
          <w:iCs/>
          <w:color w:val="000000"/>
          <w:sz w:val="20"/>
          <w:szCs w:val="20"/>
        </w:rPr>
        <w:t>Capital Position of Holding</w:t>
      </w:r>
      <w:r>
        <w:rPr>
          <w:rFonts w:eastAsia="Times New Roman"/>
          <w:b/>
          <w:bCs/>
          <w:i/>
          <w:iCs/>
          <w:color w:val="000000"/>
          <w:sz w:val="20"/>
          <w:szCs w:val="20"/>
        </w:rPr>
        <w:t>s</w:t>
      </w:r>
    </w:p>
    <w:p w:rsidR="00000000" w:rsidRDefault="00775A8F">
      <w:pPr>
        <w:ind w:firstLine="360"/>
        <w:divId w:val="1557201396"/>
        <w:rPr>
          <w:rFonts w:eastAsia="Times New Roman"/>
        </w:rPr>
      </w:pPr>
      <w:r>
        <w:rPr>
          <w:rFonts w:eastAsia="Times New Roman"/>
          <w:color w:val="000000"/>
          <w:sz w:val="20"/>
          <w:szCs w:val="20"/>
        </w:rPr>
        <w:t>W</w:t>
      </w:r>
      <w:r>
        <w:rPr>
          <w:rFonts w:eastAsia="Times New Roman"/>
          <w:color w:val="000000"/>
          <w:sz w:val="20"/>
          <w:szCs w:val="20"/>
        </w:rPr>
        <w:t>e manage our capital position to maintain financial strength and credit ratings that facilitate the distribution of our products and provide our desired level of access to the bank and capital markets. Our capital position is supported by the ability of ou</w:t>
      </w:r>
      <w:r>
        <w:rPr>
          <w:rFonts w:eastAsia="Times New Roman"/>
          <w:color w:val="000000"/>
          <w:sz w:val="20"/>
          <w:szCs w:val="20"/>
        </w:rPr>
        <w:t>r subsidiaries to generate cash flows and distribute cash to us and our ability to effectively manage the risk of our businesses and to borrow funds and raise capital to meet our operating and growth needs</w:t>
      </w:r>
      <w:r>
        <w:rPr>
          <w:rFonts w:eastAsia="Times New Roman"/>
          <w:color w:val="000000"/>
          <w:sz w:val="20"/>
          <w:szCs w:val="20"/>
        </w:rPr>
        <w:t>.</w:t>
      </w:r>
    </w:p>
    <w:p w:rsidR="00000000" w:rsidRDefault="00775A8F">
      <w:pPr>
        <w:divId w:val="2029259727"/>
        <w:rPr>
          <w:rFonts w:eastAsia="Times New Roman"/>
        </w:rPr>
      </w:pPr>
      <w:r>
        <w:rPr>
          <w:rFonts w:eastAsia="Times New Roman"/>
          <w:i/>
          <w:iCs/>
          <w:color w:val="000000"/>
          <w:sz w:val="20"/>
          <w:szCs w:val="20"/>
          <w:u w:val="single"/>
        </w:rPr>
        <w:t>Capital Management</w:t>
      </w:r>
      <w:r>
        <w:rPr>
          <w:rFonts w:eastAsia="Times New Roman"/>
          <w:i/>
          <w:iCs/>
          <w:color w:val="000000"/>
          <w:sz w:val="20"/>
          <w:szCs w:val="20"/>
          <w:u w:val="single"/>
        </w:rPr>
        <w:t xml:space="preserve"> </w:t>
      </w:r>
    </w:p>
    <w:p w:rsidR="00000000" w:rsidRDefault="00775A8F">
      <w:pPr>
        <w:ind w:firstLine="360"/>
        <w:divId w:val="59910904"/>
        <w:rPr>
          <w:rFonts w:eastAsia="Times New Roman"/>
        </w:rPr>
      </w:pPr>
      <w:r>
        <w:rPr>
          <w:rFonts w:eastAsia="Times New Roman"/>
          <w:color w:val="000000"/>
          <w:sz w:val="20"/>
          <w:szCs w:val="20"/>
        </w:rPr>
        <w:t>Our Board and senior manageme</w:t>
      </w:r>
      <w:r>
        <w:rPr>
          <w:rFonts w:eastAsia="Times New Roman"/>
          <w:color w:val="000000"/>
          <w:sz w:val="20"/>
          <w:szCs w:val="20"/>
        </w:rPr>
        <w:t>nt are directly involved in the development of our capital management policies. Accordingly, capital actions, including proposed changes to the annual capital plan, capital targets and capital policies, are approved by the Board</w:t>
      </w:r>
      <w:r>
        <w:rPr>
          <w:rFonts w:eastAsia="Times New Roman"/>
          <w:color w:val="000000"/>
          <w:sz w:val="20"/>
          <w:szCs w:val="20"/>
        </w:rPr>
        <w:t>.</w:t>
      </w:r>
    </w:p>
    <w:p w:rsidR="00000000" w:rsidRDefault="00775A8F">
      <w:pPr>
        <w:divId w:val="243026889"/>
        <w:rPr>
          <w:rFonts w:eastAsia="Times New Roman"/>
        </w:rPr>
      </w:pPr>
      <w:r>
        <w:rPr>
          <w:rFonts w:eastAsia="Times New Roman"/>
          <w:i/>
          <w:iCs/>
          <w:color w:val="000000"/>
          <w:sz w:val="20"/>
          <w:szCs w:val="20"/>
          <w:u w:val="single"/>
        </w:rPr>
        <w:t>Dividends Declared and Pai</w:t>
      </w:r>
      <w:r>
        <w:rPr>
          <w:rFonts w:eastAsia="Times New Roman"/>
          <w:i/>
          <w:iCs/>
          <w:color w:val="000000"/>
          <w:sz w:val="20"/>
          <w:szCs w:val="20"/>
          <w:u w:val="single"/>
        </w:rPr>
        <w:t>d</w:t>
      </w:r>
    </w:p>
    <w:p w:rsidR="00000000" w:rsidRDefault="00775A8F">
      <w:pPr>
        <w:ind w:firstLine="360"/>
        <w:divId w:val="20017006"/>
        <w:rPr>
          <w:rFonts w:eastAsia="Times New Roman"/>
        </w:rPr>
      </w:pPr>
      <w:r>
        <w:rPr>
          <w:rFonts w:eastAsia="Times New Roman"/>
          <w:color w:val="000000"/>
          <w:sz w:val="20"/>
          <w:szCs w:val="20"/>
        </w:rPr>
        <w:t>The declaration and payment of future dividends is subject to the discretion of our Board of Directors and depends on our financial condition, results of operations, cash requirements, future prospects, regulatory restrictions on the payment of dividends</w:t>
      </w:r>
      <w:r>
        <w:rPr>
          <w:rFonts w:eastAsia="Times New Roman"/>
          <w:color w:val="000000"/>
          <w:sz w:val="20"/>
          <w:szCs w:val="20"/>
        </w:rPr>
        <w:t xml:space="preserve"> by Holdings’ insurance subsidiaries and other factors deemed relevant by the Board.</w:t>
      </w:r>
      <w:r>
        <w:rPr>
          <w:rFonts w:eastAsia="Times New Roman"/>
          <w:color w:val="000000"/>
          <w:sz w:val="20"/>
          <w:szCs w:val="20"/>
        </w:rPr>
        <w:t> </w:t>
      </w:r>
    </w:p>
    <w:p w:rsidR="00000000" w:rsidRDefault="00775A8F">
      <w:pPr>
        <w:ind w:firstLine="360"/>
        <w:divId w:val="15884121"/>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Preferred Stock for the las</w:t>
      </w:r>
      <w:r>
        <w:rPr>
          <w:rFonts w:eastAsia="Times New Roman"/>
          <w:color w:val="000000"/>
          <w:sz w:val="20"/>
          <w:szCs w:val="20"/>
        </w:rPr>
        <w:t>t proceeding dividend period. For additional information on the Series A Preferred Stock, see “Series A Fixed Rate Noncumulative Perpetual Preferred Stock.</w:t>
      </w:r>
      <w:r>
        <w:rPr>
          <w:rFonts w:eastAsia="Times New Roman"/>
          <w:color w:val="000000"/>
          <w:sz w:val="20"/>
          <w:szCs w:val="20"/>
        </w:rPr>
        <w:t>”</w:t>
      </w:r>
    </w:p>
    <w:p w:rsidR="00000000" w:rsidRDefault="00775A8F">
      <w:pPr>
        <w:ind w:firstLine="360"/>
        <w:divId w:val="1838305142"/>
        <w:rPr>
          <w:rFonts w:eastAsia="Times New Roman"/>
        </w:rPr>
      </w:pPr>
      <w:r>
        <w:rPr>
          <w:rFonts w:eastAsia="Times New Roman"/>
          <w:color w:val="000000"/>
          <w:sz w:val="20"/>
          <w:szCs w:val="20"/>
        </w:rPr>
        <w:t>In 2019, Holdings paid a total of $285 million in cash dividends to stockholders</w:t>
      </w:r>
      <w:r>
        <w:rPr>
          <w:rFonts w:eastAsia="Times New Roman"/>
          <w:color w:val="000000"/>
          <w:sz w:val="20"/>
          <w:szCs w:val="20"/>
        </w:rPr>
        <w:t>.</w:t>
      </w:r>
    </w:p>
    <w:p w:rsidR="00000000" w:rsidRDefault="00775A8F">
      <w:pPr>
        <w:ind w:firstLine="360"/>
        <w:divId w:val="297299514"/>
        <w:rPr>
          <w:rFonts w:eastAsia="Times New Roman"/>
        </w:rPr>
      </w:pPr>
      <w:r>
        <w:rPr>
          <w:rFonts w:eastAsia="Times New Roman"/>
          <w:color w:val="000000"/>
          <w:sz w:val="20"/>
          <w:szCs w:val="20"/>
        </w:rPr>
        <w:t>On February 26, 2</w:t>
      </w:r>
      <w:r>
        <w:rPr>
          <w:rFonts w:eastAsia="Times New Roman"/>
          <w:color w:val="000000"/>
          <w:sz w:val="20"/>
          <w:szCs w:val="20"/>
        </w:rPr>
        <w:t>020, Holdings’ Board of Directors declared a cash dividend on Holdings’ common stock of $0.15 per share, payable on March 16, 2020 to shareholders of record as of March 9, 2020.</w:t>
      </w:r>
      <w:r>
        <w:rPr>
          <w:rFonts w:eastAsia="Times New Roman"/>
          <w:color w:val="000000"/>
          <w:sz w:val="20"/>
          <w:szCs w:val="20"/>
        </w:rPr>
        <w:t xml:space="preserve"> </w:t>
      </w:r>
    </w:p>
    <w:p w:rsidR="00000000" w:rsidRDefault="00775A8F">
      <w:pPr>
        <w:ind w:firstLine="360"/>
        <w:divId w:val="1313948666"/>
        <w:rPr>
          <w:rFonts w:eastAsia="Times New Roman"/>
        </w:rPr>
      </w:pPr>
      <w:r>
        <w:rPr>
          <w:rFonts w:eastAsia="Times New Roman"/>
          <w:color w:val="000000"/>
          <w:sz w:val="20"/>
          <w:szCs w:val="20"/>
        </w:rPr>
        <w:t>On May 20, 2020, Holdings’ Board of Directors declared a cash dividend on Hol</w:t>
      </w:r>
      <w:r>
        <w:rPr>
          <w:rFonts w:eastAsia="Times New Roman"/>
          <w:color w:val="000000"/>
          <w:sz w:val="20"/>
          <w:szCs w:val="20"/>
        </w:rPr>
        <w:t>dings’ common stock of $0.17 per share, payable on June 15, 2020 to shareholders of record as of June 5, 200</w:t>
      </w:r>
      <w:r>
        <w:rPr>
          <w:rFonts w:eastAsia="Times New Roman"/>
          <w:color w:val="000000"/>
          <w:sz w:val="20"/>
          <w:szCs w:val="20"/>
        </w:rPr>
        <w:t>.</w:t>
      </w:r>
    </w:p>
    <w:p w:rsidR="00000000" w:rsidRDefault="00775A8F">
      <w:pPr>
        <w:ind w:firstLine="360"/>
        <w:divId w:val="1867979985"/>
        <w:rPr>
          <w:rFonts w:eastAsia="Times New Roman"/>
        </w:rPr>
      </w:pPr>
      <w:r>
        <w:rPr>
          <w:rFonts w:eastAsia="Times New Roman"/>
          <w:color w:val="000000"/>
          <w:sz w:val="20"/>
          <w:szCs w:val="20"/>
        </w:rPr>
        <w:t xml:space="preserve">On February 26, 2020, Holdings’ Board of Directors declared a cash dividend of $393.741 per share on the Company’s Series A Preferred Stock, with </w:t>
      </w:r>
      <w:r>
        <w:rPr>
          <w:rFonts w:eastAsia="Times New Roman"/>
          <w:color w:val="000000"/>
          <w:sz w:val="20"/>
          <w:szCs w:val="20"/>
        </w:rPr>
        <w:t>a liquidation preference of $25,000 per share, which are represented by depositary shares, each representing a 1/1,000th interest in a share of Series A Preferred Stock, holders of which will receive approximately $0.39 per depositary share. The dividend w</w:t>
      </w:r>
      <w:r>
        <w:rPr>
          <w:rFonts w:eastAsia="Times New Roman"/>
          <w:color w:val="000000"/>
          <w:sz w:val="20"/>
          <w:szCs w:val="20"/>
        </w:rPr>
        <w:t>as paid on March 16, 2020 to holders of record as of March 5, 2020</w:t>
      </w:r>
      <w:r>
        <w:rPr>
          <w:rFonts w:eastAsia="Times New Roman"/>
          <w:color w:val="000000"/>
          <w:sz w:val="20"/>
          <w:szCs w:val="20"/>
        </w:rPr>
        <w:t>.</w:t>
      </w:r>
    </w:p>
    <w:p w:rsidR="00000000" w:rsidRDefault="00775A8F">
      <w:pPr>
        <w:ind w:firstLine="360"/>
        <w:divId w:val="462620820"/>
        <w:rPr>
          <w:rFonts w:eastAsia="Times New Roman"/>
        </w:rPr>
      </w:pPr>
      <w:r>
        <w:rPr>
          <w:rFonts w:eastAsia="Times New Roman"/>
          <w:color w:val="000000"/>
          <w:sz w:val="20"/>
          <w:szCs w:val="20"/>
        </w:rPr>
        <w:t>On May 20, 2020, Holdings’ Board of Directors declared a cash dividend of $328.125 per share on the Company’</w:t>
      </w:r>
      <w:r>
        <w:rPr>
          <w:rFonts w:eastAsia="Times New Roman"/>
          <w:color w:val="000000"/>
          <w:sz w:val="20"/>
          <w:szCs w:val="20"/>
        </w:rPr>
        <w:t>s Series A Preferred Stock, with a liquidation preference of $25,000 per share, which are represented by depositary shares, each representing a 1/1,000th interest in a share of Series A Preferred Stock, holders of which will receive approximately $0.33 per</w:t>
      </w:r>
      <w:r>
        <w:rPr>
          <w:rFonts w:eastAsia="Times New Roman"/>
          <w:color w:val="000000"/>
          <w:sz w:val="20"/>
          <w:szCs w:val="20"/>
        </w:rPr>
        <w:t xml:space="preserve"> depositary share. The dividend was paid on June 15, 2020 to holders of record as of June 5, 200</w:t>
      </w:r>
      <w:r>
        <w:rPr>
          <w:rFonts w:eastAsia="Times New Roman"/>
          <w:color w:val="000000"/>
          <w:sz w:val="20"/>
          <w:szCs w:val="20"/>
        </w:rPr>
        <w:t>.</w:t>
      </w:r>
    </w:p>
    <w:p w:rsidR="00000000" w:rsidRDefault="00775A8F">
      <w:pPr>
        <w:divId w:val="681008988"/>
        <w:rPr>
          <w:rFonts w:eastAsia="Times New Roman"/>
        </w:rPr>
      </w:pPr>
      <w:r>
        <w:rPr>
          <w:rFonts w:eastAsia="Times New Roman"/>
          <w:i/>
          <w:iCs/>
          <w:color w:val="000000"/>
          <w:sz w:val="20"/>
          <w:szCs w:val="20"/>
          <w:u w:val="single"/>
        </w:rPr>
        <w:t>Share Repurchase Program</w:t>
      </w:r>
      <w:r>
        <w:rPr>
          <w:rFonts w:eastAsia="Times New Roman"/>
          <w:i/>
          <w:iCs/>
          <w:color w:val="000000"/>
          <w:sz w:val="20"/>
          <w:szCs w:val="20"/>
          <w:u w:val="single"/>
        </w:rPr>
        <w:t>s</w:t>
      </w:r>
    </w:p>
    <w:p w:rsidR="00000000" w:rsidRDefault="00775A8F">
      <w:pPr>
        <w:ind w:firstLine="360"/>
        <w:divId w:val="1783456531"/>
        <w:rPr>
          <w:rFonts w:eastAsia="Times New Roman"/>
        </w:rPr>
      </w:pPr>
      <w:r>
        <w:rPr>
          <w:rFonts w:eastAsia="Times New Roman"/>
          <w:color w:val="000000"/>
          <w:sz w:val="20"/>
          <w:szCs w:val="20"/>
        </w:rPr>
        <w:t>In 2019, Holdings repurchased approximately 65.6 million shares of its common stock</w:t>
      </w:r>
      <w:r>
        <w:rPr>
          <w:rFonts w:eastAsia="Times New Roman"/>
          <w:color w:val="000000"/>
          <w:sz w:val="20"/>
          <w:szCs w:val="20"/>
        </w:rPr>
        <w:t>.</w:t>
      </w:r>
    </w:p>
    <w:p w:rsidR="00000000" w:rsidRDefault="00775A8F">
      <w:pPr>
        <w:ind w:firstLine="360"/>
        <w:divId w:val="1659534014"/>
        <w:rPr>
          <w:rFonts w:eastAsia="Times New Roman"/>
        </w:rPr>
      </w:pPr>
      <w:r>
        <w:rPr>
          <w:rFonts w:eastAsia="Times New Roman"/>
          <w:color w:val="000000"/>
          <w:sz w:val="20"/>
          <w:szCs w:val="20"/>
        </w:rPr>
        <w:t>On February 26, 2020, Holdings’ Board of Direct</w:t>
      </w:r>
      <w:r>
        <w:rPr>
          <w:rFonts w:eastAsia="Times New Roman"/>
          <w:color w:val="000000"/>
          <w:sz w:val="20"/>
          <w:szCs w:val="20"/>
        </w:rPr>
        <w:t>ors authorized an increase of $600 million to the capacity of its existing $400 million share repurchase program (the “2020 Program”). Under this program, Holdings may, from time to time through March 31, 2021, purchase its common stock through various mea</w:t>
      </w:r>
      <w:r>
        <w:rPr>
          <w:rFonts w:eastAsia="Times New Roman"/>
          <w:color w:val="000000"/>
          <w:sz w:val="20"/>
          <w:szCs w:val="20"/>
        </w:rPr>
        <w:t>ns</w:t>
      </w:r>
      <w:r>
        <w:rPr>
          <w:rFonts w:eastAsia="Times New Roman"/>
          <w:color w:val="000000"/>
          <w:sz w:val="20"/>
          <w:szCs w:val="20"/>
        </w:rPr>
        <w:t>.</w:t>
      </w:r>
    </w:p>
    <w:p w:rsidR="00000000" w:rsidRDefault="00775A8F">
      <w:pPr>
        <w:ind w:firstLine="360"/>
        <w:divId w:val="2092703461"/>
        <w:rPr>
          <w:rFonts w:eastAsia="Times New Roman"/>
        </w:rPr>
      </w:pPr>
      <w:r>
        <w:rPr>
          <w:rFonts w:eastAsia="Times New Roman"/>
          <w:color w:val="000000"/>
          <w:sz w:val="20"/>
          <w:szCs w:val="20"/>
        </w:rPr>
        <w:t>During the three and six months ended June 30, 2020 , Holdings repurchased 1.3 million and 14.9 million shares, respectively, of its common stock</w:t>
      </w:r>
      <w:r>
        <w:rPr>
          <w:rFonts w:eastAsia="Times New Roman"/>
          <w:color w:val="000000"/>
          <w:sz w:val="20"/>
          <w:szCs w:val="20"/>
        </w:rPr>
        <w:t>.</w:t>
      </w:r>
    </w:p>
    <w:p w:rsidR="00000000" w:rsidRDefault="00775A8F">
      <w:pPr>
        <w:jc w:val="center"/>
        <w:divId w:val="1196652287"/>
        <w:rPr>
          <w:rFonts w:eastAsia="Times New Roman"/>
        </w:rPr>
      </w:pPr>
      <w:r>
        <w:rPr>
          <w:rFonts w:eastAsia="Times New Roman"/>
          <w:color w:val="000000"/>
          <w:sz w:val="20"/>
          <w:szCs w:val="20"/>
        </w:rPr>
        <w:t>10</w:t>
      </w:r>
      <w:r>
        <w:rPr>
          <w:rFonts w:eastAsia="Times New Roman"/>
          <w:color w:val="000000"/>
          <w:sz w:val="20"/>
          <w:szCs w:val="20"/>
        </w:rPr>
        <w:t>0</w:t>
      </w:r>
    </w:p>
    <w:p w:rsidR="00000000" w:rsidRDefault="00775A8F">
      <w:pPr>
        <w:rPr>
          <w:rFonts w:eastAsia="Times New Roman"/>
        </w:rPr>
      </w:pPr>
      <w:r>
        <w:rPr>
          <w:rFonts w:eastAsia="Times New Roman"/>
        </w:rPr>
        <w:pict>
          <v:rect id="_x0000_i1126" style="width:0;height:1.5pt" o:hralign="center" o:hrstd="t" o:hr="t" fillcolor="#a0a0a0" stroked="f"/>
        </w:pict>
      </w:r>
    </w:p>
    <w:p w:rsidR="00000000" w:rsidRDefault="00775A8F">
      <w:pPr>
        <w:divId w:val="893001931"/>
        <w:rPr>
          <w:rFonts w:eastAsia="Times New Roman"/>
        </w:rPr>
      </w:pPr>
    </w:p>
    <w:p w:rsidR="00000000" w:rsidRDefault="00775A8F">
      <w:pPr>
        <w:ind w:firstLine="360"/>
        <w:divId w:val="1833794060"/>
        <w:rPr>
          <w:rFonts w:eastAsia="Times New Roman"/>
        </w:rPr>
      </w:pPr>
      <w:r>
        <w:rPr>
          <w:rFonts w:eastAsia="Times New Roman"/>
          <w:color w:val="000000"/>
          <w:sz w:val="20"/>
          <w:szCs w:val="20"/>
        </w:rPr>
        <w:t>As of June 30, 2020, Holdings had a remaining capacity of approximately $370 million remaining in the 2020 Program</w:t>
      </w:r>
      <w:r>
        <w:rPr>
          <w:rFonts w:eastAsia="Times New Roman"/>
          <w:color w:val="000000"/>
          <w:sz w:val="20"/>
          <w:szCs w:val="20"/>
        </w:rPr>
        <w:t>.</w:t>
      </w:r>
    </w:p>
    <w:p w:rsidR="00000000" w:rsidRDefault="00775A8F">
      <w:pPr>
        <w:divId w:val="1158614976"/>
        <w:rPr>
          <w:rFonts w:eastAsia="Times New Roman"/>
        </w:rPr>
      </w:pPr>
      <w:r>
        <w:rPr>
          <w:rFonts w:eastAsia="Times New Roman"/>
          <w:i/>
          <w:iCs/>
          <w:color w:val="000000"/>
          <w:sz w:val="20"/>
          <w:szCs w:val="20"/>
          <w:u w:val="single"/>
        </w:rPr>
        <w:t>Credit Facility with A</w:t>
      </w:r>
      <w:r>
        <w:rPr>
          <w:rFonts w:eastAsia="Times New Roman"/>
          <w:i/>
          <w:iCs/>
          <w:color w:val="000000"/>
          <w:sz w:val="20"/>
          <w:szCs w:val="20"/>
          <w:u w:val="single"/>
        </w:rPr>
        <w:t>B</w:t>
      </w:r>
    </w:p>
    <w:p w:rsidR="00000000" w:rsidRDefault="00775A8F">
      <w:pPr>
        <w:ind w:firstLine="360"/>
        <w:divId w:val="1447231683"/>
        <w:rPr>
          <w:rFonts w:eastAsia="Times New Roman"/>
        </w:rPr>
      </w:pPr>
      <w:r>
        <w:rPr>
          <w:rFonts w:eastAsia="Times New Roman"/>
          <w:color w:val="000000"/>
          <w:sz w:val="20"/>
          <w:szCs w:val="20"/>
        </w:rPr>
        <w:t>On November 4, 2019, Holdings made available to AB a $900 million committed, u</w:t>
      </w:r>
      <w:r>
        <w:rPr>
          <w:rFonts w:eastAsia="Times New Roman"/>
          <w:color w:val="000000"/>
          <w:sz w:val="20"/>
          <w:szCs w:val="20"/>
        </w:rPr>
        <w:t xml:space="preserve">nsecured senior credit facility (the “EQH Facility”). The EQH Facility matures on November 4, 2024 and is available for AB’s general business purposes. Borrowings by AB under the EQH Facility generally bear interest at a rate per annum based on prevailing </w:t>
      </w:r>
      <w:r>
        <w:rPr>
          <w:rFonts w:eastAsia="Times New Roman"/>
          <w:color w:val="000000"/>
          <w:sz w:val="20"/>
          <w:szCs w:val="20"/>
        </w:rPr>
        <w:t>overnight commercial paper rates. For additional information regarding the EQH Facility, see “Sources and Uses of Liquidity of our Investment Management and Research Segment.</w:t>
      </w:r>
      <w:r>
        <w:rPr>
          <w:rFonts w:eastAsia="Times New Roman"/>
          <w:color w:val="000000"/>
          <w:sz w:val="20"/>
          <w:szCs w:val="20"/>
        </w:rPr>
        <w:t>”</w:t>
      </w:r>
    </w:p>
    <w:p w:rsidR="00000000" w:rsidRDefault="00775A8F">
      <w:pPr>
        <w:jc w:val="both"/>
        <w:divId w:val="789279045"/>
        <w:rPr>
          <w:rFonts w:eastAsia="Times New Roman"/>
        </w:rPr>
      </w:pPr>
      <w:r>
        <w:rPr>
          <w:rFonts w:eastAsia="Times New Roman"/>
          <w:b/>
          <w:bCs/>
          <w:i/>
          <w:iCs/>
          <w:color w:val="000000"/>
          <w:sz w:val="20"/>
          <w:szCs w:val="20"/>
        </w:rPr>
        <w:t>Sources and Uses of Liquidity of Our Insurance Subsidiarie</w:t>
      </w:r>
      <w:r>
        <w:rPr>
          <w:rFonts w:eastAsia="Times New Roman"/>
          <w:b/>
          <w:bCs/>
          <w:i/>
          <w:iCs/>
          <w:color w:val="000000"/>
          <w:sz w:val="20"/>
          <w:szCs w:val="20"/>
        </w:rPr>
        <w:t>s</w:t>
      </w:r>
    </w:p>
    <w:p w:rsidR="00000000" w:rsidRDefault="00775A8F">
      <w:pPr>
        <w:ind w:firstLine="360"/>
        <w:divId w:val="298536089"/>
        <w:rPr>
          <w:rFonts w:eastAsia="Times New Roman"/>
        </w:rPr>
      </w:pPr>
      <w:r>
        <w:rPr>
          <w:rFonts w:eastAsia="Times New Roman"/>
          <w:color w:val="000000"/>
          <w:sz w:val="20"/>
          <w:szCs w:val="20"/>
        </w:rPr>
        <w:t>The principal source</w:t>
      </w:r>
      <w:r>
        <w:rPr>
          <w:rFonts w:eastAsia="Times New Roman"/>
          <w:color w:val="000000"/>
          <w:sz w:val="20"/>
          <w:szCs w:val="20"/>
        </w:rPr>
        <w:t>s of liquidity for our insurance subsidiaries are premiums, investment and fee income, deposits associated with our insurance and annuity operations, cash and invested assets, as well as internal borrowings. The principal uses of that liquidity include ben</w:t>
      </w:r>
      <w:r>
        <w:rPr>
          <w:rFonts w:eastAsia="Times New Roman"/>
          <w:color w:val="000000"/>
          <w:sz w:val="20"/>
          <w:szCs w:val="20"/>
        </w:rPr>
        <w:t>efits, claims and dividends paid to policyholders and payments to policyholders in connection with surrenders and withdrawals. Other uses of liquidity include commissions, general and administrative expenses, purchases of investments, the payment of divide</w:t>
      </w:r>
      <w:r>
        <w:rPr>
          <w:rFonts w:eastAsia="Times New Roman"/>
          <w:color w:val="000000"/>
          <w:sz w:val="20"/>
          <w:szCs w:val="20"/>
        </w:rPr>
        <w:t>nds to Holdings and hedging activity. Certain of our insurance subsidiaries’ principal sources and uses of liquidity are described in the paragraphs that follow</w:t>
      </w:r>
      <w:r>
        <w:rPr>
          <w:rFonts w:eastAsia="Times New Roman"/>
          <w:color w:val="000000"/>
          <w:sz w:val="20"/>
          <w:szCs w:val="20"/>
        </w:rPr>
        <w:t>.</w:t>
      </w:r>
    </w:p>
    <w:p w:rsidR="00000000" w:rsidRDefault="00775A8F">
      <w:pPr>
        <w:ind w:firstLine="360"/>
        <w:divId w:val="904874309"/>
        <w:rPr>
          <w:rFonts w:eastAsia="Times New Roman"/>
        </w:rPr>
      </w:pPr>
      <w:r>
        <w:rPr>
          <w:rFonts w:eastAsia="Times New Roman"/>
          <w:color w:val="000000"/>
          <w:sz w:val="20"/>
          <w:szCs w:val="20"/>
        </w:rPr>
        <w:t>We manage the liquidity of our insurance subsidiaries with the objective of ensuring that they</w:t>
      </w:r>
      <w:r>
        <w:rPr>
          <w:rFonts w:eastAsia="Times New Roman"/>
          <w:color w:val="000000"/>
          <w:sz w:val="20"/>
          <w:szCs w:val="20"/>
        </w:rPr>
        <w:t xml:space="preserve"> can meet payment obligations linked to our Individual Retirement, Group Retirement and Protection Solutions businesses and to their outstanding debt and derivative positions, including in our hedging programs, without support from Holdings. We employ an a</w:t>
      </w:r>
      <w:r>
        <w:rPr>
          <w:rFonts w:eastAsia="Times New Roman"/>
          <w:color w:val="000000"/>
          <w:sz w:val="20"/>
          <w:szCs w:val="20"/>
        </w:rPr>
        <w:t>sset/liability management approach specific to the requirements of each of our insurance businesses. We measure liquidity against internally-developed benchmarks that consider the characteristics of our asset portfolio and the liabilities that it supports.</w:t>
      </w:r>
      <w:r>
        <w:rPr>
          <w:rFonts w:eastAsia="Times New Roman"/>
          <w:color w:val="000000"/>
          <w:sz w:val="20"/>
          <w:szCs w:val="20"/>
        </w:rPr>
        <w:t xml:space="preserve"> We consider attributes of the various categories of our liquid assets (for example, type of asset and credit quality) in calculating internal liquidity indicators for our insurance and reinsurance operations. Our liquidity benchmarks are established for v</w:t>
      </w:r>
      <w:r>
        <w:rPr>
          <w:rFonts w:eastAsia="Times New Roman"/>
          <w:color w:val="000000"/>
          <w:sz w:val="20"/>
          <w:szCs w:val="20"/>
        </w:rPr>
        <w:t>arious stress scenarios and durations, including company-specific and market-wide events. The scenarios we use to evaluate the liquidity of our subsidiaries are defined to allow operating entities to operate without support from Holdings.</w:t>
      </w:r>
      <w:r>
        <w:rPr>
          <w:rFonts w:eastAsia="Times New Roman"/>
          <w:color w:val="000000"/>
          <w:sz w:val="20"/>
          <w:szCs w:val="20"/>
        </w:rPr>
        <w:t xml:space="preserve"> </w:t>
      </w:r>
    </w:p>
    <w:p w:rsidR="00000000" w:rsidRDefault="00775A8F">
      <w:pPr>
        <w:divId w:val="1854957573"/>
        <w:rPr>
          <w:rFonts w:eastAsia="Times New Roman"/>
        </w:rPr>
      </w:pPr>
      <w:r>
        <w:rPr>
          <w:rFonts w:eastAsia="Times New Roman"/>
          <w:i/>
          <w:iCs/>
          <w:color w:val="000000"/>
          <w:sz w:val="20"/>
          <w:szCs w:val="20"/>
          <w:u w:val="single"/>
        </w:rPr>
        <w:t>Liquid Asset</w:t>
      </w:r>
      <w:r>
        <w:rPr>
          <w:rFonts w:eastAsia="Times New Roman"/>
          <w:i/>
          <w:iCs/>
          <w:color w:val="000000"/>
          <w:sz w:val="20"/>
          <w:szCs w:val="20"/>
          <w:u w:val="single"/>
        </w:rPr>
        <w:t>s</w:t>
      </w:r>
    </w:p>
    <w:p w:rsidR="00000000" w:rsidRDefault="00775A8F">
      <w:pPr>
        <w:ind w:firstLine="360"/>
        <w:divId w:val="693534127"/>
        <w:rPr>
          <w:rFonts w:eastAsia="Times New Roman"/>
        </w:rPr>
      </w:pPr>
      <w:r>
        <w:rPr>
          <w:rFonts w:eastAsia="Times New Roman"/>
          <w:color w:val="000000"/>
          <w:sz w:val="20"/>
          <w:szCs w:val="20"/>
        </w:rPr>
        <w:t>Th</w:t>
      </w:r>
      <w:r>
        <w:rPr>
          <w:rFonts w:eastAsia="Times New Roman"/>
          <w:color w:val="000000"/>
          <w:sz w:val="20"/>
          <w:szCs w:val="20"/>
        </w:rPr>
        <w:t>e investment portfolios of our insurance subsidiaries are a significant component of our overall liquidity. Liquid assets include cash and cash equivalents, short-term investments, U.S. Treasury fixed maturities, fixed maturities that are not designated as</w:t>
      </w:r>
      <w:r>
        <w:rPr>
          <w:rFonts w:eastAsia="Times New Roman"/>
          <w:color w:val="000000"/>
          <w:sz w:val="20"/>
          <w:szCs w:val="20"/>
        </w:rPr>
        <w:t xml:space="preserve"> held-to-maturity and public equity securities. We believe that our business operations and the liquidity profile of our assets provide sufficient liquidity under reasonably foreseeable stress scenarios for each of our insurance subsidiaries</w:t>
      </w:r>
      <w:r>
        <w:rPr>
          <w:rFonts w:eastAsia="Times New Roman"/>
          <w:color w:val="000000"/>
          <w:sz w:val="20"/>
          <w:szCs w:val="20"/>
        </w:rPr>
        <w:t>.</w:t>
      </w:r>
    </w:p>
    <w:p w:rsidR="00000000" w:rsidRDefault="00775A8F">
      <w:pPr>
        <w:ind w:firstLine="360"/>
        <w:divId w:val="1308821420"/>
        <w:rPr>
          <w:rFonts w:eastAsia="Times New Roman"/>
        </w:rPr>
      </w:pPr>
      <w:r>
        <w:rPr>
          <w:rFonts w:eastAsia="Times New Roman"/>
          <w:color w:val="000000"/>
          <w:sz w:val="20"/>
          <w:szCs w:val="20"/>
        </w:rPr>
        <w:t>See “—General</w:t>
      </w:r>
      <w:r>
        <w:rPr>
          <w:rFonts w:eastAsia="Times New Roman"/>
          <w:color w:val="000000"/>
          <w:sz w:val="20"/>
          <w:szCs w:val="20"/>
        </w:rPr>
        <w:t xml:space="preserve"> Account Investment Portfolio” and Note 3 and Note 4 for a description of our retirement and protection businesses’ portfolio of liquid assets</w:t>
      </w:r>
      <w:r>
        <w:rPr>
          <w:rFonts w:eastAsia="Times New Roman"/>
          <w:color w:val="000000"/>
          <w:sz w:val="20"/>
          <w:szCs w:val="20"/>
        </w:rPr>
        <w:t>.</w:t>
      </w:r>
    </w:p>
    <w:p w:rsidR="00000000" w:rsidRDefault="00775A8F">
      <w:pPr>
        <w:divId w:val="1476069461"/>
        <w:rPr>
          <w:rFonts w:eastAsia="Times New Roman"/>
        </w:rPr>
      </w:pPr>
      <w:r>
        <w:rPr>
          <w:rFonts w:eastAsia="Times New Roman"/>
          <w:i/>
          <w:iCs/>
          <w:color w:val="000000"/>
          <w:sz w:val="20"/>
          <w:szCs w:val="20"/>
          <w:u w:val="single"/>
        </w:rPr>
        <w:t>Hedging Activitie</w:t>
      </w:r>
      <w:r>
        <w:rPr>
          <w:rFonts w:eastAsia="Times New Roman"/>
          <w:i/>
          <w:iCs/>
          <w:color w:val="000000"/>
          <w:sz w:val="20"/>
          <w:szCs w:val="20"/>
          <w:u w:val="single"/>
        </w:rPr>
        <w:t>s</w:t>
      </w:r>
    </w:p>
    <w:p w:rsidR="00000000" w:rsidRDefault="00775A8F">
      <w:pPr>
        <w:ind w:firstLine="360"/>
        <w:divId w:val="774136959"/>
        <w:rPr>
          <w:rFonts w:eastAsia="Times New Roman"/>
        </w:rPr>
      </w:pPr>
      <w:r>
        <w:rPr>
          <w:rFonts w:eastAsia="Times New Roman"/>
          <w:color w:val="000000"/>
          <w:sz w:val="20"/>
          <w:szCs w:val="20"/>
        </w:rPr>
        <w:t xml:space="preserve">Because the future claims exposure on our insurance products, and in particular our variable </w:t>
      </w:r>
      <w:r>
        <w:rPr>
          <w:rFonts w:eastAsia="Times New Roman"/>
          <w:color w:val="000000"/>
          <w:sz w:val="20"/>
          <w:szCs w:val="20"/>
        </w:rPr>
        <w:t>annuity products with GMxB features, is sensitive to movements in the equity markets and interest rates, we have in place various hedging and reinsurance programs that are designed to mitigate the economic risks of movements in the equity markets and inter</w:t>
      </w:r>
      <w:r>
        <w:rPr>
          <w:rFonts w:eastAsia="Times New Roman"/>
          <w:color w:val="000000"/>
          <w:sz w:val="20"/>
          <w:szCs w:val="20"/>
        </w:rPr>
        <w:t>est rates. We use derivatives as part of our overall asset/liability risk management program primarily to reduce exposures to equity market and interest rate risks. In addition, we use credit derivatives to replicate exposure to individual securities or po</w:t>
      </w:r>
      <w:r>
        <w:rPr>
          <w:rFonts w:eastAsia="Times New Roman"/>
          <w:color w:val="000000"/>
          <w:sz w:val="20"/>
          <w:szCs w:val="20"/>
        </w:rPr>
        <w:t>ols of securities as a means of achieving credit exposure similar to bonds of the underlying issuer(s) more efficiently. The derivative contracts are an integral part of our risk management program, especially for the management of our variable annuities p</w:t>
      </w:r>
      <w:r>
        <w:rPr>
          <w:rFonts w:eastAsia="Times New Roman"/>
          <w:color w:val="000000"/>
          <w:sz w:val="20"/>
          <w:szCs w:val="20"/>
        </w:rPr>
        <w:t>rogram, and are collectively managed to reduce the economic impact of unfavorable movements in capital markets. These derivative transactions require liquidity to meet payment obligations such as payments for periodic settlements, purchases, maturities and</w:t>
      </w:r>
      <w:r>
        <w:rPr>
          <w:rFonts w:eastAsia="Times New Roman"/>
          <w:color w:val="000000"/>
          <w:sz w:val="20"/>
          <w:szCs w:val="20"/>
        </w:rPr>
        <w:t xml:space="preserve"> terminations as well as liquid assets pledged as collateral related to any decline in the net estimated fair value. Collateral calls represent one of our biggest drivers for liquidity needs for our insurance subsidiaries. Our derivatives contracts reside </w:t>
      </w:r>
      <w:r>
        <w:rPr>
          <w:rFonts w:eastAsia="Times New Roman"/>
          <w:color w:val="000000"/>
          <w:sz w:val="20"/>
          <w:szCs w:val="20"/>
        </w:rPr>
        <w:t>primarily within Equitable Financial, which has a significantly large investment portfolio</w:t>
      </w:r>
      <w:r>
        <w:rPr>
          <w:rFonts w:eastAsia="Times New Roman"/>
          <w:color w:val="000000"/>
          <w:sz w:val="20"/>
          <w:szCs w:val="20"/>
        </w:rPr>
        <w:t>.</w:t>
      </w:r>
    </w:p>
    <w:p w:rsidR="00000000" w:rsidRDefault="00775A8F">
      <w:pPr>
        <w:jc w:val="center"/>
        <w:divId w:val="228200420"/>
        <w:rPr>
          <w:rFonts w:eastAsia="Times New Roman"/>
        </w:rPr>
      </w:pPr>
      <w:r>
        <w:rPr>
          <w:rFonts w:eastAsia="Times New Roman"/>
          <w:color w:val="000000"/>
          <w:sz w:val="20"/>
          <w:szCs w:val="20"/>
        </w:rPr>
        <w:t>10</w:t>
      </w:r>
      <w:r>
        <w:rPr>
          <w:rFonts w:eastAsia="Times New Roman"/>
          <w:color w:val="000000"/>
          <w:sz w:val="20"/>
          <w:szCs w:val="20"/>
        </w:rPr>
        <w:t>1</w:t>
      </w:r>
    </w:p>
    <w:p w:rsidR="00000000" w:rsidRDefault="00775A8F">
      <w:pPr>
        <w:rPr>
          <w:rFonts w:eastAsia="Times New Roman"/>
        </w:rPr>
      </w:pPr>
      <w:r>
        <w:rPr>
          <w:rFonts w:eastAsia="Times New Roman"/>
        </w:rPr>
        <w:pict>
          <v:rect id="_x0000_i1127" style="width:0;height:1.5pt" o:hralign="center" o:hrstd="t" o:hr="t" fillcolor="#a0a0a0" stroked="f"/>
        </w:pict>
      </w:r>
    </w:p>
    <w:p w:rsidR="00000000" w:rsidRDefault="00775A8F">
      <w:pPr>
        <w:divId w:val="539634180"/>
        <w:rPr>
          <w:rFonts w:eastAsia="Times New Roman"/>
        </w:rPr>
      </w:pPr>
    </w:p>
    <w:p w:rsidR="00000000" w:rsidRDefault="00775A8F">
      <w:pPr>
        <w:divId w:val="2110083743"/>
        <w:rPr>
          <w:rFonts w:eastAsia="Times New Roman"/>
        </w:rPr>
      </w:pPr>
    </w:p>
    <w:p w:rsidR="00000000" w:rsidRDefault="00775A8F">
      <w:pPr>
        <w:divId w:val="1121072564"/>
        <w:rPr>
          <w:rFonts w:eastAsia="Times New Roman"/>
        </w:rPr>
      </w:pPr>
      <w:r>
        <w:rPr>
          <w:rFonts w:eastAsia="Times New Roman"/>
          <w:i/>
          <w:iCs/>
          <w:color w:val="000000"/>
          <w:sz w:val="20"/>
          <w:szCs w:val="20"/>
          <w:u w:val="single"/>
        </w:rPr>
        <w:t>FHLB Membershi</w:t>
      </w:r>
      <w:r>
        <w:rPr>
          <w:rFonts w:eastAsia="Times New Roman"/>
          <w:i/>
          <w:iCs/>
          <w:color w:val="000000"/>
          <w:sz w:val="20"/>
          <w:szCs w:val="20"/>
          <w:u w:val="single"/>
        </w:rPr>
        <w:t>p</w:t>
      </w:r>
      <w:r>
        <w:rPr>
          <w:rFonts w:eastAsia="Times New Roman"/>
          <w:b/>
          <w:bCs/>
          <w:i/>
          <w:iCs/>
          <w:color w:val="000000"/>
          <w:sz w:val="20"/>
          <w:szCs w:val="20"/>
        </w:rPr>
        <w:t xml:space="preserve"> </w:t>
      </w:r>
    </w:p>
    <w:p w:rsidR="00000000" w:rsidRDefault="00775A8F">
      <w:pPr>
        <w:ind w:firstLine="360"/>
        <w:divId w:val="1141847852"/>
        <w:rPr>
          <w:rFonts w:eastAsia="Times New Roman"/>
        </w:rPr>
      </w:pPr>
      <w:r>
        <w:rPr>
          <w:rFonts w:eastAsia="Times New Roman"/>
          <w:color w:val="000000"/>
          <w:sz w:val="20"/>
          <w:szCs w:val="20"/>
        </w:rPr>
        <w:t>Equitable Financial is a member of the Federal Home Loan Bank of New York (“FHLBNY”), which provides Eq</w:t>
      </w:r>
      <w:r>
        <w:rPr>
          <w:rFonts w:eastAsia="Times New Roman"/>
          <w:color w:val="000000"/>
          <w:sz w:val="20"/>
          <w:szCs w:val="20"/>
        </w:rPr>
        <w:t>uitable Financial with access to collateralized borrowings and other FHLBNY products. At June 30, 2020, we had $4.9 billion of short-term outstanding funding agreements and $1.8 billion of long-term outstanding funding agreements issued to the FHLBNY and h</w:t>
      </w:r>
      <w:r>
        <w:rPr>
          <w:rFonts w:eastAsia="Times New Roman"/>
          <w:color w:val="000000"/>
          <w:sz w:val="20"/>
          <w:szCs w:val="20"/>
        </w:rPr>
        <w:t>ad posted $8.6 billion securities as collateral for funding agreements. In addition, Equitable Financial implemented a hedge to lock in the funding agreements borrowing rate, and $8 million of hedge impact was reported as funding agreement carrying value.</w:t>
      </w:r>
      <w:r>
        <w:rPr>
          <w:rFonts w:eastAsia="Times New Roman"/>
          <w:color w:val="000000"/>
          <w:sz w:val="20"/>
          <w:szCs w:val="20"/>
        </w:rPr>
        <w:t xml:space="preserve"> </w:t>
      </w:r>
    </w:p>
    <w:p w:rsidR="00000000" w:rsidRDefault="00775A8F">
      <w:pPr>
        <w:ind w:firstLine="360"/>
        <w:divId w:val="747964305"/>
        <w:rPr>
          <w:rFonts w:eastAsia="Times New Roman"/>
        </w:rPr>
      </w:pPr>
      <w:r>
        <w:rPr>
          <w:rFonts w:eastAsia="Times New Roman"/>
          <w:color w:val="000000"/>
          <w:sz w:val="20"/>
          <w:szCs w:val="20"/>
        </w:rPr>
        <w:t>Equitable America is a member of the Federal Home Loan Bank of San Francisco</w:t>
      </w:r>
      <w:r>
        <w:rPr>
          <w:rFonts w:eastAsia="Times New Roman"/>
          <w:color w:val="000000"/>
          <w:sz w:val="20"/>
          <w:szCs w:val="20"/>
        </w:rPr>
        <w:t>.</w:t>
      </w:r>
    </w:p>
    <w:p w:rsidR="00000000" w:rsidRDefault="00775A8F">
      <w:pPr>
        <w:divId w:val="1401368052"/>
        <w:rPr>
          <w:rFonts w:eastAsia="Times New Roman"/>
        </w:rPr>
      </w:pPr>
      <w:r>
        <w:rPr>
          <w:rFonts w:eastAsia="Times New Roman"/>
          <w:b/>
          <w:bCs/>
          <w:color w:val="000000"/>
          <w:sz w:val="20"/>
          <w:szCs w:val="20"/>
        </w:rPr>
        <w:t>Sources and Uses of Liquidity of our Investment Management and Research Segmen</w:t>
      </w:r>
      <w:r>
        <w:rPr>
          <w:rFonts w:eastAsia="Times New Roman"/>
          <w:b/>
          <w:bCs/>
          <w:color w:val="000000"/>
          <w:sz w:val="20"/>
          <w:szCs w:val="20"/>
        </w:rPr>
        <w:t>t</w:t>
      </w:r>
    </w:p>
    <w:p w:rsidR="00000000" w:rsidRDefault="00775A8F">
      <w:pPr>
        <w:ind w:firstLine="360"/>
        <w:divId w:val="1938364970"/>
        <w:rPr>
          <w:rFonts w:eastAsia="Times New Roman"/>
        </w:rPr>
      </w:pPr>
      <w:r>
        <w:rPr>
          <w:rFonts w:eastAsia="Times New Roman"/>
          <w:color w:val="000000"/>
          <w:sz w:val="20"/>
          <w:szCs w:val="20"/>
        </w:rPr>
        <w:t>The principal sources of liquidity for our Investment Management and Research business include in</w:t>
      </w:r>
      <w:r>
        <w:rPr>
          <w:rFonts w:eastAsia="Times New Roman"/>
          <w:color w:val="000000"/>
          <w:sz w:val="20"/>
          <w:szCs w:val="20"/>
        </w:rPr>
        <w:t xml:space="preserve">vestment management fees and borrowings under its credit facilities and commercial paper program. The principal uses of liquidity include general and administrative expenses, business financing and distributions to holders of AB Units and AB Holding Units </w:t>
      </w:r>
      <w:r>
        <w:rPr>
          <w:rFonts w:eastAsia="Times New Roman"/>
          <w:color w:val="000000"/>
          <w:sz w:val="20"/>
          <w:szCs w:val="20"/>
        </w:rPr>
        <w:t>plus interest and debt service. The primary liquidity risk for our fee-based Investment Management and Research business is its profitability, which is impacted by market conditions and our investment management performance</w:t>
      </w:r>
      <w:r>
        <w:rPr>
          <w:rFonts w:eastAsia="Times New Roman"/>
          <w:color w:val="000000"/>
          <w:sz w:val="20"/>
          <w:szCs w:val="20"/>
        </w:rPr>
        <w:t>.</w:t>
      </w:r>
    </w:p>
    <w:p w:rsidR="00000000" w:rsidRDefault="00775A8F">
      <w:pPr>
        <w:jc w:val="both"/>
        <w:divId w:val="1326594450"/>
        <w:rPr>
          <w:rFonts w:eastAsia="Times New Roman"/>
        </w:rPr>
      </w:pPr>
      <w:r>
        <w:rPr>
          <w:rFonts w:eastAsia="Times New Roman"/>
          <w:b/>
          <w:bCs/>
          <w:i/>
          <w:iCs/>
          <w:color w:val="000000"/>
          <w:sz w:val="20"/>
          <w:szCs w:val="20"/>
        </w:rPr>
        <w:t>AB Credit Facilit</w:t>
      </w:r>
      <w:r>
        <w:rPr>
          <w:rFonts w:eastAsia="Times New Roman"/>
          <w:b/>
          <w:bCs/>
          <w:i/>
          <w:iCs/>
          <w:color w:val="000000"/>
          <w:sz w:val="20"/>
          <w:szCs w:val="20"/>
        </w:rPr>
        <w:t>y</w:t>
      </w:r>
    </w:p>
    <w:p w:rsidR="00000000" w:rsidRDefault="00775A8F">
      <w:pPr>
        <w:ind w:firstLine="360"/>
        <w:divId w:val="519971561"/>
        <w:rPr>
          <w:rFonts w:eastAsia="Times New Roman"/>
        </w:rPr>
      </w:pPr>
      <w:r>
        <w:rPr>
          <w:rFonts w:eastAsia="Times New Roman"/>
          <w:color w:val="000000"/>
          <w:sz w:val="20"/>
          <w:szCs w:val="20"/>
        </w:rPr>
        <w:t>AB has a $80</w:t>
      </w:r>
      <w:r>
        <w:rPr>
          <w:rFonts w:eastAsia="Times New Roman"/>
          <w:color w:val="000000"/>
          <w:sz w:val="20"/>
          <w:szCs w:val="20"/>
        </w:rPr>
        <w:t>0 million committed, unsecured senior revolving credit facility (the “AB Credit Facility”) that matures on September 27, 2023. The credit facility provides for possible increases in the principal amount by up to an aggregate incremental amount of $200 mill</w:t>
      </w:r>
      <w:r>
        <w:rPr>
          <w:rFonts w:eastAsia="Times New Roman"/>
          <w:color w:val="000000"/>
          <w:sz w:val="20"/>
          <w:szCs w:val="20"/>
        </w:rPr>
        <w:t>ion. Any such increase is subject to the consent of the affected lenders. The AB Credit Facility is available for AB’s business purposes, including the support of AB’s commercial paper program. AB can draw directly under the AB Credit Facility and AB manag</w:t>
      </w:r>
      <w:r>
        <w:rPr>
          <w:rFonts w:eastAsia="Times New Roman"/>
          <w:color w:val="000000"/>
          <w:sz w:val="20"/>
          <w:szCs w:val="20"/>
        </w:rPr>
        <w:t>ement may draw on the AB Credit Facility from time to time.</w:t>
      </w:r>
      <w:r>
        <w:rPr>
          <w:rFonts w:eastAsia="Times New Roman"/>
          <w:color w:val="000000"/>
          <w:sz w:val="20"/>
          <w:szCs w:val="20"/>
        </w:rPr>
        <w:t xml:space="preserve"> </w:t>
      </w:r>
    </w:p>
    <w:p w:rsidR="00000000" w:rsidRDefault="00775A8F">
      <w:pPr>
        <w:ind w:firstLine="360"/>
        <w:divId w:val="1353217080"/>
        <w:rPr>
          <w:rFonts w:eastAsia="Times New Roman"/>
        </w:rPr>
      </w:pPr>
      <w:r>
        <w:rPr>
          <w:rFonts w:eastAsia="Times New Roman"/>
          <w:color w:val="000000"/>
          <w:sz w:val="20"/>
          <w:szCs w:val="20"/>
        </w:rPr>
        <w:t>The AB Credit Facility contains affirmative, negative and financial covenants, which are customary for facilities of this type, including restrictions on dispositions of assets, restrictions on l</w:t>
      </w:r>
      <w:r>
        <w:rPr>
          <w:rFonts w:eastAsia="Times New Roman"/>
          <w:color w:val="000000"/>
          <w:sz w:val="20"/>
          <w:szCs w:val="20"/>
        </w:rPr>
        <w:t xml:space="preserve">iens, a minimum interest coverage ratio and a maximum leverage ratio. As of June 30, 2020, AB was in compliance with these covenants. The AB Credit Facility also includes customary events of default (with customary grace periods, as applicable), including </w:t>
      </w:r>
      <w:r>
        <w:rPr>
          <w:rFonts w:eastAsia="Times New Roman"/>
          <w:color w:val="000000"/>
          <w:sz w:val="20"/>
          <w:szCs w:val="20"/>
        </w:rPr>
        <w:t>provisions under which, upon the occurrence of an event of default, all outstanding loans may be accelerated and/or lender’s commitments may be terminated. Also, under such provisions, upon the occurrence of certain insolvency- or bankruptcy-related events</w:t>
      </w:r>
      <w:r>
        <w:rPr>
          <w:rFonts w:eastAsia="Times New Roman"/>
          <w:color w:val="000000"/>
          <w:sz w:val="20"/>
          <w:szCs w:val="20"/>
        </w:rPr>
        <w:t xml:space="preserve"> of default, all amounts payable under the AB Credit Facility would automatically become immediately due and payable, and the lender’s commitments automatically would terminate.</w:t>
      </w:r>
      <w:r>
        <w:rPr>
          <w:rFonts w:eastAsia="Times New Roman"/>
          <w:color w:val="000000"/>
          <w:sz w:val="20"/>
          <w:szCs w:val="20"/>
        </w:rPr>
        <w:t xml:space="preserve"> </w:t>
      </w:r>
    </w:p>
    <w:p w:rsidR="00000000" w:rsidRDefault="00775A8F">
      <w:pPr>
        <w:ind w:firstLine="360"/>
        <w:divId w:val="869805252"/>
        <w:rPr>
          <w:rFonts w:eastAsia="Times New Roman"/>
        </w:rPr>
      </w:pPr>
      <w:r>
        <w:rPr>
          <w:rFonts w:eastAsia="Times New Roman"/>
          <w:color w:val="000000"/>
          <w:sz w:val="20"/>
          <w:szCs w:val="20"/>
        </w:rPr>
        <w:t xml:space="preserve">Amounts under the AB Credit Facility may be borrowed, repaid and re-borrowed </w:t>
      </w:r>
      <w:r>
        <w:rPr>
          <w:rFonts w:eastAsia="Times New Roman"/>
          <w:color w:val="000000"/>
          <w:sz w:val="20"/>
          <w:szCs w:val="20"/>
        </w:rPr>
        <w:t>by us from time to time until the maturity of the facility. Voluntary prepayments and commitment reductions requested by us are permitted at any time without a fee (other than customary breakage costs relating to the prepayment of any drawn loans) upon pro</w:t>
      </w:r>
      <w:r>
        <w:rPr>
          <w:rFonts w:eastAsia="Times New Roman"/>
          <w:color w:val="000000"/>
          <w:sz w:val="20"/>
          <w:szCs w:val="20"/>
        </w:rPr>
        <w:t>per notice and subject to a minimum dollar requirement. Borrowings under the AB Credit Facility bear interest at a rate per annum, which will be, at AB’s option, a rate equal to an applicable margin, which is subject to adjustment based on the credit ratin</w:t>
      </w:r>
      <w:r>
        <w:rPr>
          <w:rFonts w:eastAsia="Times New Roman"/>
          <w:color w:val="000000"/>
          <w:sz w:val="20"/>
          <w:szCs w:val="20"/>
        </w:rPr>
        <w:t>gs of AB, plus one of the following indices: London Interbank Offered Rate; a floating base rate; or the Federal Funds rate</w:t>
      </w:r>
      <w:r>
        <w:rPr>
          <w:rFonts w:eastAsia="Times New Roman"/>
          <w:color w:val="000000"/>
          <w:sz w:val="20"/>
          <w:szCs w:val="20"/>
        </w:rPr>
        <w:t>.</w:t>
      </w:r>
    </w:p>
    <w:p w:rsidR="00000000" w:rsidRDefault="00775A8F">
      <w:pPr>
        <w:ind w:firstLine="360"/>
        <w:divId w:val="2116629087"/>
        <w:rPr>
          <w:rFonts w:eastAsia="Times New Roman"/>
        </w:rPr>
      </w:pPr>
      <w:r>
        <w:rPr>
          <w:rFonts w:eastAsia="Times New Roman"/>
          <w:color w:val="000000"/>
          <w:sz w:val="20"/>
          <w:szCs w:val="20"/>
        </w:rPr>
        <w:t>As of June </w:t>
      </w:r>
      <w:r>
        <w:rPr>
          <w:rFonts w:eastAsia="Times New Roman"/>
          <w:color w:val="000000"/>
          <w:sz w:val="20"/>
          <w:szCs w:val="20"/>
        </w:rPr>
        <w:t>30, 2020, and December 31, 2019, AB had no amounts outstanding under the AB Credit Facility. During the six months ended June 30, 2020 and the full year 2019, AB did not draw upon the AB Credit Facility.</w:t>
      </w:r>
      <w:r>
        <w:rPr>
          <w:rFonts w:eastAsia="Times New Roman"/>
          <w:color w:val="000000"/>
          <w:sz w:val="20"/>
          <w:szCs w:val="20"/>
        </w:rPr>
        <w:t xml:space="preserve"> </w:t>
      </w:r>
    </w:p>
    <w:p w:rsidR="00000000" w:rsidRDefault="00775A8F">
      <w:pPr>
        <w:jc w:val="both"/>
        <w:divId w:val="74209961"/>
        <w:rPr>
          <w:rFonts w:eastAsia="Times New Roman"/>
        </w:rPr>
      </w:pPr>
      <w:r>
        <w:rPr>
          <w:rFonts w:eastAsia="Times New Roman"/>
          <w:b/>
          <w:bCs/>
          <w:i/>
          <w:iCs/>
          <w:color w:val="000000"/>
          <w:sz w:val="20"/>
          <w:szCs w:val="20"/>
        </w:rPr>
        <w:t>EQH Facilit</w:t>
      </w:r>
      <w:r>
        <w:rPr>
          <w:rFonts w:eastAsia="Times New Roman"/>
          <w:b/>
          <w:bCs/>
          <w:i/>
          <w:iCs/>
          <w:color w:val="000000"/>
          <w:sz w:val="20"/>
          <w:szCs w:val="20"/>
        </w:rPr>
        <w:t>y</w:t>
      </w:r>
    </w:p>
    <w:p w:rsidR="00000000" w:rsidRDefault="00775A8F">
      <w:pPr>
        <w:ind w:firstLine="360"/>
        <w:divId w:val="806699057"/>
        <w:rPr>
          <w:rFonts w:eastAsia="Times New Roman"/>
        </w:rPr>
      </w:pPr>
      <w:r>
        <w:rPr>
          <w:rFonts w:eastAsia="Times New Roman"/>
          <w:color w:val="000000"/>
          <w:sz w:val="20"/>
          <w:szCs w:val="20"/>
        </w:rPr>
        <w:t>In addition to the AB Credit Facility,</w:t>
      </w:r>
      <w:r>
        <w:rPr>
          <w:rFonts w:eastAsia="Times New Roman"/>
          <w:color w:val="000000"/>
          <w:sz w:val="20"/>
          <w:szCs w:val="20"/>
        </w:rPr>
        <w:t xml:space="preserve"> AB has the EQH Facility with Holdings. The EQH Facility matures on November 4, 2024 and is available for AB’s general business purposes. Borrowings under the EQH Facility generally bear interest at a rate per annum based on prevailing overnight commercial</w:t>
      </w:r>
      <w:r>
        <w:rPr>
          <w:rFonts w:eastAsia="Times New Roman"/>
          <w:color w:val="000000"/>
          <w:sz w:val="20"/>
          <w:szCs w:val="20"/>
        </w:rPr>
        <w:t xml:space="preserve"> paper rates</w:t>
      </w:r>
      <w:r>
        <w:rPr>
          <w:rFonts w:eastAsia="Times New Roman"/>
          <w:color w:val="000000"/>
          <w:sz w:val="20"/>
          <w:szCs w:val="20"/>
        </w:rPr>
        <w:t>.</w:t>
      </w:r>
    </w:p>
    <w:p w:rsidR="00000000" w:rsidRDefault="00775A8F">
      <w:pPr>
        <w:ind w:firstLine="360"/>
        <w:divId w:val="856844726"/>
        <w:rPr>
          <w:rFonts w:eastAsia="Times New Roman"/>
        </w:rPr>
      </w:pPr>
      <w:r>
        <w:rPr>
          <w:rFonts w:eastAsia="Times New Roman"/>
          <w:color w:val="000000"/>
          <w:sz w:val="20"/>
          <w:szCs w:val="20"/>
        </w:rPr>
        <w:t>The EQH Facility contains affirmative, negative and financial covenants which are substantially similar to those in AB’s committed bank facilities. The EQH Facility also includes customary events of default substantially similar to those in A</w:t>
      </w:r>
      <w:r>
        <w:rPr>
          <w:rFonts w:eastAsia="Times New Roman"/>
          <w:color w:val="000000"/>
          <w:sz w:val="20"/>
          <w:szCs w:val="20"/>
        </w:rPr>
        <w:t>B’s committed bank facilities, including provisions under which, upon the occurrence of an event of default, all outstanding loans may be accelerated and/or the lender’s commitment may be terminated.</w:t>
      </w:r>
      <w:r>
        <w:rPr>
          <w:rFonts w:eastAsia="Times New Roman"/>
          <w:color w:val="000000"/>
          <w:sz w:val="20"/>
          <w:szCs w:val="20"/>
        </w:rPr>
        <w:t xml:space="preserve"> </w:t>
      </w:r>
    </w:p>
    <w:p w:rsidR="00000000" w:rsidRDefault="00775A8F">
      <w:pPr>
        <w:jc w:val="center"/>
        <w:divId w:val="107897478"/>
        <w:rPr>
          <w:rFonts w:eastAsia="Times New Roman"/>
        </w:rPr>
      </w:pPr>
      <w:r>
        <w:rPr>
          <w:rFonts w:eastAsia="Times New Roman"/>
          <w:color w:val="000000"/>
          <w:sz w:val="20"/>
          <w:szCs w:val="20"/>
        </w:rPr>
        <w:t>10</w:t>
      </w:r>
      <w:r>
        <w:rPr>
          <w:rFonts w:eastAsia="Times New Roman"/>
          <w:color w:val="000000"/>
          <w:sz w:val="20"/>
          <w:szCs w:val="20"/>
        </w:rPr>
        <w:t>2</w:t>
      </w:r>
    </w:p>
    <w:p w:rsidR="00000000" w:rsidRDefault="00775A8F">
      <w:pPr>
        <w:rPr>
          <w:rFonts w:eastAsia="Times New Roman"/>
        </w:rPr>
      </w:pPr>
      <w:r>
        <w:rPr>
          <w:rFonts w:eastAsia="Times New Roman"/>
        </w:rPr>
        <w:pict>
          <v:rect id="_x0000_i1128" style="width:0;height:1.5pt" o:hralign="center" o:hrstd="t" o:hr="t" fillcolor="#a0a0a0" stroked="f"/>
        </w:pict>
      </w:r>
    </w:p>
    <w:p w:rsidR="00000000" w:rsidRDefault="00775A8F">
      <w:pPr>
        <w:divId w:val="1663654006"/>
        <w:rPr>
          <w:rFonts w:eastAsia="Times New Roman"/>
        </w:rPr>
      </w:pPr>
    </w:p>
    <w:p w:rsidR="00000000" w:rsidRDefault="00775A8F">
      <w:pPr>
        <w:ind w:firstLine="360"/>
        <w:divId w:val="1512839271"/>
        <w:rPr>
          <w:rFonts w:eastAsia="Times New Roman"/>
        </w:rPr>
      </w:pPr>
      <w:r>
        <w:rPr>
          <w:rFonts w:eastAsia="Times New Roman"/>
          <w:color w:val="000000"/>
          <w:sz w:val="20"/>
          <w:szCs w:val="20"/>
        </w:rPr>
        <w:t>Amounts under the EQH Facility may be borrowed, repaid and re-borrowed by AB from time to time until the maturity of the facility. AB or Holdings may reduce or terminate the commitment at any time without penalty upon proper notice. Holdings also may termi</w:t>
      </w:r>
      <w:r>
        <w:rPr>
          <w:rFonts w:eastAsia="Times New Roman"/>
          <w:color w:val="000000"/>
          <w:sz w:val="20"/>
          <w:szCs w:val="20"/>
        </w:rPr>
        <w:t>nate the facility immediately upon a change of control of AB’s general partner.</w:t>
      </w:r>
      <w:r>
        <w:rPr>
          <w:rFonts w:eastAsia="Times New Roman"/>
          <w:color w:val="000000"/>
          <w:sz w:val="20"/>
          <w:szCs w:val="20"/>
        </w:rPr>
        <w:t xml:space="preserve"> </w:t>
      </w:r>
    </w:p>
    <w:p w:rsidR="00000000" w:rsidRDefault="00775A8F">
      <w:pPr>
        <w:ind w:firstLine="360"/>
        <w:divId w:val="1199703212"/>
        <w:rPr>
          <w:rFonts w:eastAsia="Times New Roman"/>
        </w:rPr>
      </w:pPr>
      <w:r>
        <w:rPr>
          <w:rFonts w:eastAsia="Times New Roman"/>
          <w:color w:val="000000"/>
          <w:sz w:val="20"/>
          <w:szCs w:val="20"/>
        </w:rPr>
        <w:t>As of June 30, 2020 and December 31, 2019, AB had $685 million and $560 million, respectively, outstanding under the EQH Facility with interest rates of approximately 0.2% and</w:t>
      </w:r>
      <w:r>
        <w:rPr>
          <w:rFonts w:eastAsia="Times New Roman"/>
          <w:color w:val="000000"/>
          <w:sz w:val="20"/>
          <w:szCs w:val="20"/>
        </w:rPr>
        <w:t xml:space="preserve"> 1.6%, respectively. Average daily borrowing of the EQH Facility for the six months ended June 30, 2020 and for the 57 days it was available in 2019 were $591 million and $359 million, respectively, with a weighted average interest rate of approximately 0.</w:t>
      </w:r>
      <w:r>
        <w:rPr>
          <w:rFonts w:eastAsia="Times New Roman"/>
          <w:color w:val="000000"/>
          <w:sz w:val="20"/>
          <w:szCs w:val="20"/>
        </w:rPr>
        <w:t>7% and 1.6% respectively</w:t>
      </w:r>
      <w:r>
        <w:rPr>
          <w:rFonts w:eastAsia="Times New Roman"/>
          <w:color w:val="000000"/>
          <w:sz w:val="20"/>
          <w:szCs w:val="20"/>
        </w:rPr>
        <w:t>.</w:t>
      </w:r>
    </w:p>
    <w:p w:rsidR="00000000" w:rsidRDefault="00775A8F">
      <w:pPr>
        <w:jc w:val="both"/>
        <w:divId w:val="1426270557"/>
        <w:rPr>
          <w:rFonts w:eastAsia="Times New Roman"/>
        </w:rPr>
      </w:pPr>
      <w:r>
        <w:rPr>
          <w:rFonts w:eastAsia="Times New Roman"/>
          <w:b/>
          <w:bCs/>
          <w:i/>
          <w:iCs/>
          <w:color w:val="000000"/>
          <w:sz w:val="20"/>
          <w:szCs w:val="20"/>
        </w:rPr>
        <w:t>Commercial Pape</w:t>
      </w:r>
      <w:r>
        <w:rPr>
          <w:rFonts w:eastAsia="Times New Roman"/>
          <w:b/>
          <w:bCs/>
          <w:i/>
          <w:iCs/>
          <w:color w:val="000000"/>
          <w:sz w:val="20"/>
          <w:szCs w:val="20"/>
        </w:rPr>
        <w:t>r</w:t>
      </w:r>
    </w:p>
    <w:p w:rsidR="00000000" w:rsidRDefault="00775A8F">
      <w:pPr>
        <w:ind w:firstLine="360"/>
        <w:divId w:val="1571695318"/>
        <w:rPr>
          <w:rFonts w:eastAsia="Times New Roman"/>
        </w:rPr>
      </w:pPr>
      <w:r>
        <w:rPr>
          <w:rFonts w:eastAsia="Times New Roman"/>
          <w:color w:val="000000"/>
          <w:sz w:val="20"/>
          <w:szCs w:val="20"/>
        </w:rPr>
        <w:t xml:space="preserve">As of June 30, 2020 and December 31, 2019 AB had no commercial paper outstanding. The commercial paper is short term in nature, and as such, recorded value is estimated to approximate fair value (and considered a </w:t>
      </w:r>
      <w:r>
        <w:rPr>
          <w:rFonts w:eastAsia="Times New Roman"/>
          <w:color w:val="000000"/>
          <w:sz w:val="20"/>
          <w:szCs w:val="20"/>
        </w:rPr>
        <w:t>Level 2 security in the fair value hierarchy). Average daily borrowings of commercial paper during the six months ended June 30, 2020 and during the 317 days commercial paper was outstanding in 2019 were $91 million and $439 million, respectively, with wei</w:t>
      </w:r>
      <w:r>
        <w:rPr>
          <w:rFonts w:eastAsia="Times New Roman"/>
          <w:color w:val="000000"/>
          <w:sz w:val="20"/>
          <w:szCs w:val="20"/>
        </w:rPr>
        <w:t>ghted average interest rates of approximately 0.7% and 2.6%, respectively</w:t>
      </w:r>
      <w:r>
        <w:rPr>
          <w:rFonts w:eastAsia="Times New Roman"/>
          <w:color w:val="000000"/>
          <w:sz w:val="20"/>
          <w:szCs w:val="20"/>
        </w:rPr>
        <w:t>.</w:t>
      </w:r>
    </w:p>
    <w:p w:rsidR="00000000" w:rsidRDefault="00775A8F">
      <w:pPr>
        <w:jc w:val="both"/>
        <w:divId w:val="1677731080"/>
        <w:rPr>
          <w:rFonts w:eastAsia="Times New Roman"/>
        </w:rPr>
      </w:pPr>
      <w:r>
        <w:rPr>
          <w:rFonts w:eastAsia="Times New Roman"/>
          <w:b/>
          <w:bCs/>
          <w:i/>
          <w:iCs/>
          <w:color w:val="000000"/>
          <w:sz w:val="20"/>
          <w:szCs w:val="20"/>
        </w:rPr>
        <w:t>AB Revolve</w:t>
      </w:r>
      <w:r>
        <w:rPr>
          <w:rFonts w:eastAsia="Times New Roman"/>
          <w:b/>
          <w:bCs/>
          <w:i/>
          <w:iCs/>
          <w:color w:val="000000"/>
          <w:sz w:val="20"/>
          <w:szCs w:val="20"/>
        </w:rPr>
        <w:t>r</w:t>
      </w:r>
    </w:p>
    <w:p w:rsidR="00000000" w:rsidRDefault="00775A8F">
      <w:pPr>
        <w:ind w:firstLine="360"/>
        <w:divId w:val="965695720"/>
        <w:rPr>
          <w:rFonts w:eastAsia="Times New Roman"/>
        </w:rPr>
      </w:pPr>
      <w:r>
        <w:rPr>
          <w:rFonts w:eastAsia="Times New Roman"/>
          <w:color w:val="000000"/>
          <w:sz w:val="20"/>
          <w:szCs w:val="20"/>
        </w:rPr>
        <w:t xml:space="preserve">AB has a $200 million committed, unsecured senior revolving credit facility (the “AB Revolver”) with a leading international bank, maturing on November 16, 2021. The AB </w:t>
      </w:r>
      <w:r>
        <w:rPr>
          <w:rFonts w:eastAsia="Times New Roman"/>
          <w:color w:val="000000"/>
          <w:sz w:val="20"/>
          <w:szCs w:val="20"/>
        </w:rPr>
        <w:t xml:space="preserve">Revolver is available for AB’s business purposes, including the provision of additional liquidity to meet funding requirements. AB can draw directly under the AB Revolver and management expects to draw on the AB Revolver from time to time. The AB Revolver </w:t>
      </w:r>
      <w:r>
        <w:rPr>
          <w:rFonts w:eastAsia="Times New Roman"/>
          <w:color w:val="000000"/>
          <w:sz w:val="20"/>
          <w:szCs w:val="20"/>
        </w:rPr>
        <w:t>contains affirmative, negative and financial covenants that are identical to those of the AB Credit Facility. As of both June 30, 2020 and December 31, 2019, AB had no amount outstanding under the AB Revolver. Average daily borrowings of the AB Revolver du</w:t>
      </w:r>
      <w:r>
        <w:rPr>
          <w:rFonts w:eastAsia="Times New Roman"/>
          <w:color w:val="000000"/>
          <w:sz w:val="20"/>
          <w:szCs w:val="20"/>
        </w:rPr>
        <w:t>ring the first six months ended June 30, 2020 and full year 2019 were $19 million and $24 million, respectively, with weighted average interest rates of approximately 1.7% and 3.2%, respectively</w:t>
      </w:r>
      <w:r>
        <w:rPr>
          <w:rFonts w:eastAsia="Times New Roman"/>
          <w:color w:val="000000"/>
          <w:sz w:val="20"/>
          <w:szCs w:val="20"/>
        </w:rPr>
        <w:t>.</w:t>
      </w:r>
    </w:p>
    <w:p w:rsidR="00000000" w:rsidRDefault="00775A8F">
      <w:pPr>
        <w:ind w:firstLine="360"/>
        <w:divId w:val="1611745285"/>
        <w:rPr>
          <w:rFonts w:eastAsia="Times New Roman"/>
        </w:rPr>
      </w:pPr>
      <w:r>
        <w:rPr>
          <w:rFonts w:eastAsia="Times New Roman"/>
          <w:color w:val="000000"/>
          <w:sz w:val="20"/>
          <w:szCs w:val="20"/>
        </w:rPr>
        <w:t>In addition, AB currently has three uncommitted lines of cre</w:t>
      </w:r>
      <w:r>
        <w:rPr>
          <w:rFonts w:eastAsia="Times New Roman"/>
          <w:color w:val="000000"/>
          <w:sz w:val="20"/>
          <w:szCs w:val="20"/>
        </w:rPr>
        <w:t>dit with three financial institutions. Two of these lines of credit permit AB to borrow up to an aggregate of $175 million, while the other line has no stated limit. As of June 30, 2020 and December 31, 2019, AB had no outstanding balance on these lines of</w:t>
      </w:r>
      <w:r>
        <w:rPr>
          <w:rFonts w:eastAsia="Times New Roman"/>
          <w:color w:val="000000"/>
          <w:sz w:val="20"/>
          <w:szCs w:val="20"/>
        </w:rPr>
        <w:t xml:space="preserve"> credit. Average daily borrowings on the lines of credit during the six months ended June 30, 2020 and full year 2019 were $2 million and $2 million, respectively, with weighted average interest rates of approximately 1.5% and 1.9%, respectively</w:t>
      </w:r>
      <w:r>
        <w:rPr>
          <w:rFonts w:eastAsia="Times New Roman"/>
          <w:color w:val="000000"/>
          <w:sz w:val="20"/>
          <w:szCs w:val="20"/>
        </w:rPr>
        <w:t>.</w:t>
      </w:r>
    </w:p>
    <w:p w:rsidR="00000000" w:rsidRDefault="00775A8F">
      <w:pPr>
        <w:divId w:val="1952467562"/>
        <w:rPr>
          <w:rFonts w:eastAsia="Times New Roman"/>
        </w:rPr>
      </w:pPr>
      <w:r>
        <w:rPr>
          <w:rFonts w:eastAsia="Times New Roman"/>
          <w:b/>
          <w:bCs/>
          <w:color w:val="000000"/>
          <w:sz w:val="20"/>
          <w:szCs w:val="20"/>
        </w:rPr>
        <w:t>Statutory</w:t>
      </w:r>
      <w:r>
        <w:rPr>
          <w:rFonts w:eastAsia="Times New Roman"/>
          <w:b/>
          <w:bCs/>
          <w:color w:val="000000"/>
          <w:sz w:val="20"/>
          <w:szCs w:val="20"/>
        </w:rPr>
        <w:t xml:space="preserve"> Capital of Our Insurance Subsidiarie</w:t>
      </w:r>
      <w:r>
        <w:rPr>
          <w:rFonts w:eastAsia="Times New Roman"/>
          <w:b/>
          <w:bCs/>
          <w:color w:val="000000"/>
          <w:sz w:val="20"/>
          <w:szCs w:val="20"/>
        </w:rPr>
        <w:t>s</w:t>
      </w:r>
    </w:p>
    <w:p w:rsidR="00000000" w:rsidRDefault="00775A8F">
      <w:pPr>
        <w:ind w:firstLine="360"/>
        <w:divId w:val="1753694302"/>
        <w:rPr>
          <w:rFonts w:eastAsia="Times New Roman"/>
        </w:rPr>
      </w:pPr>
      <w:r>
        <w:rPr>
          <w:rFonts w:eastAsia="Times New Roman"/>
          <w:color w:val="000000"/>
          <w:sz w:val="20"/>
          <w:szCs w:val="20"/>
        </w:rPr>
        <w:t>Our capital management framework is primarily based on statutory RBC standards and the CTE asset standard for our variable annuity business</w:t>
      </w:r>
      <w:r>
        <w:rPr>
          <w:rFonts w:eastAsia="Times New Roman"/>
          <w:color w:val="000000"/>
          <w:sz w:val="20"/>
          <w:szCs w:val="20"/>
        </w:rPr>
        <w:t>.</w:t>
      </w:r>
    </w:p>
    <w:p w:rsidR="00000000" w:rsidRDefault="00775A8F">
      <w:pPr>
        <w:ind w:firstLine="360"/>
        <w:divId w:val="1696809056"/>
        <w:rPr>
          <w:rFonts w:eastAsia="Times New Roman"/>
        </w:rPr>
      </w:pPr>
      <w:r>
        <w:rPr>
          <w:rFonts w:eastAsia="Times New Roman"/>
          <w:color w:val="000000"/>
          <w:sz w:val="20"/>
          <w:szCs w:val="20"/>
        </w:rPr>
        <w:t>RBC requirements are used as minimum capital requirements by the NAIC and th</w:t>
      </w:r>
      <w:r>
        <w:rPr>
          <w:rFonts w:eastAsia="Times New Roman"/>
          <w:color w:val="000000"/>
          <w:sz w:val="20"/>
          <w:szCs w:val="20"/>
        </w:rPr>
        <w:t>e state insurance departments to evaluate the capital condition of regulated insurance companies. RBC is based on a formula calculated by applying factors to various asset, premium, claim, expense and statutory reserve items. The formula takes into account</w:t>
      </w:r>
      <w:r>
        <w:rPr>
          <w:rFonts w:eastAsia="Times New Roman"/>
          <w:color w:val="000000"/>
          <w:sz w:val="20"/>
          <w:szCs w:val="20"/>
        </w:rPr>
        <w:t xml:space="preserve"> the risk characteristics of the insurer, including asset risk, insurance risk, interest rate risk, market risk and business risk and is calculated on a quarterly basis and made public on an annual basis. The formula is used as an early warning regulatory </w:t>
      </w:r>
      <w:r>
        <w:rPr>
          <w:rFonts w:eastAsia="Times New Roman"/>
          <w:color w:val="000000"/>
          <w:sz w:val="20"/>
          <w:szCs w:val="20"/>
        </w:rPr>
        <w:t>tool to identify possible inadequately capitalized insurers for purposes of initiating regulatory action, and not as a means to rank insurers generally. These rules apply to our insurance company subsidiaries and not to Holdings. State insurance laws provi</w:t>
      </w:r>
      <w:r>
        <w:rPr>
          <w:rFonts w:eastAsia="Times New Roman"/>
          <w:color w:val="000000"/>
          <w:sz w:val="20"/>
          <w:szCs w:val="20"/>
        </w:rPr>
        <w:t>de insurance regulators the authority to require various actions by, or take various actions against, insurers whose total adjusted capital does not meet or exceed certain RBC levels. At the date of the most recent annual statutory financial statements fil</w:t>
      </w:r>
      <w:r>
        <w:rPr>
          <w:rFonts w:eastAsia="Times New Roman"/>
          <w:color w:val="000000"/>
          <w:sz w:val="20"/>
          <w:szCs w:val="20"/>
        </w:rPr>
        <w:t>ed with insurance regulators, the total adjusted capital of each of these insurance company subsidiaries subject to these requirements was in excess of each of those RBC levels</w:t>
      </w:r>
      <w:r>
        <w:rPr>
          <w:rFonts w:eastAsia="Times New Roman"/>
          <w:color w:val="000000"/>
          <w:sz w:val="20"/>
          <w:szCs w:val="20"/>
        </w:rPr>
        <w:t>.</w:t>
      </w:r>
    </w:p>
    <w:p w:rsidR="00000000" w:rsidRDefault="00775A8F">
      <w:pPr>
        <w:ind w:firstLine="360"/>
        <w:divId w:val="1247692720"/>
        <w:rPr>
          <w:rFonts w:eastAsia="Times New Roman"/>
        </w:rPr>
      </w:pPr>
      <w:r>
        <w:rPr>
          <w:rFonts w:eastAsia="Times New Roman"/>
          <w:color w:val="000000"/>
          <w:sz w:val="20"/>
          <w:szCs w:val="20"/>
        </w:rPr>
        <w:t>CTE is a statistical measure of tail risk which quantifies the total asset req</w:t>
      </w:r>
      <w:r>
        <w:rPr>
          <w:rFonts w:eastAsia="Times New Roman"/>
          <w:color w:val="000000"/>
          <w:sz w:val="20"/>
          <w:szCs w:val="20"/>
        </w:rPr>
        <w:t>uirement to sustain a loss if an event outside a given probability level has occurred. In the case of our analysis of variable annuity guarantees, CTE98 denotes the financial resources a company would need to cover the average of the worst 2% of scenarios</w:t>
      </w:r>
      <w:r>
        <w:rPr>
          <w:rFonts w:eastAsia="Times New Roman"/>
          <w:color w:val="000000"/>
          <w:sz w:val="20"/>
          <w:szCs w:val="20"/>
        </w:rPr>
        <w:t>.</w:t>
      </w:r>
    </w:p>
    <w:p w:rsidR="00000000" w:rsidRDefault="00775A8F">
      <w:pPr>
        <w:ind w:firstLine="360"/>
        <w:divId w:val="1146048638"/>
        <w:rPr>
          <w:rFonts w:eastAsia="Times New Roman"/>
        </w:rPr>
      </w:pPr>
      <w:r>
        <w:rPr>
          <w:rFonts w:eastAsia="Times New Roman"/>
          <w:color w:val="000000"/>
          <w:sz w:val="20"/>
          <w:szCs w:val="20"/>
        </w:rPr>
        <w:t>Following our early adoption of the NAIC’s variable annuity framework for the year ended December 31, 2019, we manage our capital on a consolidated basis. Post-NAIC reform, CTE98 translates to 400% RBC. This combined with our target RBC ratio of 350%-400%</w:t>
      </w:r>
      <w:r>
        <w:rPr>
          <w:rFonts w:eastAsia="Times New Roman"/>
          <w:color w:val="000000"/>
          <w:sz w:val="20"/>
          <w:szCs w:val="20"/>
        </w:rPr>
        <w:t xml:space="preserve"> for non-VAs, translates to a new target minimum consolidated RBC ratio of 375% - 400%</w:t>
      </w:r>
      <w:r>
        <w:rPr>
          <w:rFonts w:eastAsia="Times New Roman"/>
          <w:color w:val="000000"/>
          <w:sz w:val="20"/>
          <w:szCs w:val="20"/>
        </w:rPr>
        <w:t>.</w:t>
      </w:r>
    </w:p>
    <w:p w:rsidR="00000000" w:rsidRDefault="00775A8F">
      <w:pPr>
        <w:divId w:val="612714197"/>
        <w:rPr>
          <w:rFonts w:eastAsia="Times New Roman"/>
        </w:rPr>
      </w:pPr>
    </w:p>
    <w:p w:rsidR="00000000" w:rsidRDefault="00775A8F">
      <w:pPr>
        <w:jc w:val="center"/>
        <w:divId w:val="37363734"/>
        <w:rPr>
          <w:rFonts w:eastAsia="Times New Roman"/>
        </w:rPr>
      </w:pPr>
      <w:r>
        <w:rPr>
          <w:rFonts w:eastAsia="Times New Roman"/>
          <w:color w:val="000000"/>
          <w:sz w:val="20"/>
          <w:szCs w:val="20"/>
        </w:rPr>
        <w:t>10</w:t>
      </w:r>
      <w:r>
        <w:rPr>
          <w:rFonts w:eastAsia="Times New Roman"/>
          <w:color w:val="000000"/>
          <w:sz w:val="20"/>
          <w:szCs w:val="20"/>
        </w:rPr>
        <w:t>3</w:t>
      </w:r>
    </w:p>
    <w:p w:rsidR="00000000" w:rsidRDefault="00775A8F">
      <w:pPr>
        <w:rPr>
          <w:rFonts w:eastAsia="Times New Roman"/>
        </w:rPr>
      </w:pPr>
      <w:r>
        <w:rPr>
          <w:rFonts w:eastAsia="Times New Roman"/>
        </w:rPr>
        <w:pict>
          <v:rect id="_x0000_i1129" style="width:0;height:1.5pt" o:hralign="center" o:hrstd="t" o:hr="t" fillcolor="#a0a0a0" stroked="f"/>
        </w:pict>
      </w:r>
    </w:p>
    <w:p w:rsidR="00000000" w:rsidRDefault="00775A8F">
      <w:pPr>
        <w:divId w:val="492332315"/>
        <w:rPr>
          <w:rFonts w:eastAsia="Times New Roman"/>
        </w:rPr>
      </w:pPr>
    </w:p>
    <w:p w:rsidR="00000000" w:rsidRDefault="00775A8F">
      <w:pPr>
        <w:divId w:val="1812677308"/>
        <w:rPr>
          <w:rFonts w:eastAsia="Times New Roman"/>
        </w:rPr>
      </w:pPr>
      <w:r>
        <w:rPr>
          <w:rFonts w:eastAsia="Times New Roman"/>
          <w:b/>
          <w:bCs/>
          <w:color w:val="000000"/>
          <w:sz w:val="20"/>
          <w:szCs w:val="20"/>
        </w:rPr>
        <w:t>Captive Reinsurance Companie</w:t>
      </w:r>
      <w:r>
        <w:rPr>
          <w:rFonts w:eastAsia="Times New Roman"/>
          <w:b/>
          <w:bCs/>
          <w:color w:val="000000"/>
          <w:sz w:val="20"/>
          <w:szCs w:val="20"/>
        </w:rPr>
        <w:t>s</w:t>
      </w:r>
    </w:p>
    <w:p w:rsidR="00000000" w:rsidRDefault="00775A8F">
      <w:pPr>
        <w:ind w:firstLine="360"/>
        <w:divId w:val="1121455359"/>
        <w:rPr>
          <w:rFonts w:eastAsia="Times New Roman"/>
        </w:rPr>
      </w:pPr>
      <w:r>
        <w:rPr>
          <w:rFonts w:eastAsia="Times New Roman"/>
          <w:color w:val="000000"/>
          <w:sz w:val="20"/>
          <w:szCs w:val="20"/>
        </w:rPr>
        <w:t>We use captive reinsurance companies to more effectively manage our reserves and capital on an</w:t>
      </w:r>
      <w:r>
        <w:rPr>
          <w:rFonts w:eastAsia="Times New Roman"/>
          <w:color w:val="000000"/>
          <w:sz w:val="20"/>
          <w:szCs w:val="20"/>
        </w:rPr>
        <w:t xml:space="preserve"> economic basis and to enable the aggregation and transfer of risks. Our captive reinsurance companies assume business from affiliates only and are closed to new business. All of our captive reinsurance companies are wholly-owned subsidiaries and are locat</w:t>
      </w:r>
      <w:r>
        <w:rPr>
          <w:rFonts w:eastAsia="Times New Roman"/>
          <w:color w:val="000000"/>
          <w:sz w:val="20"/>
          <w:szCs w:val="20"/>
        </w:rPr>
        <w:t>ed in the United States. In addition to state insurance regulation, our captives are subject to internal policies governing their activities. We continue to analyze the use of our existing captive reinsurance structures, as well as additional third-party r</w:t>
      </w:r>
      <w:r>
        <w:rPr>
          <w:rFonts w:eastAsia="Times New Roman"/>
          <w:color w:val="000000"/>
          <w:sz w:val="20"/>
          <w:szCs w:val="20"/>
        </w:rPr>
        <w:t>einsurance arrangements</w:t>
      </w:r>
      <w:r>
        <w:rPr>
          <w:rFonts w:eastAsia="Times New Roman"/>
          <w:color w:val="000000"/>
          <w:sz w:val="20"/>
          <w:szCs w:val="20"/>
        </w:rPr>
        <w:t>.</w:t>
      </w:r>
    </w:p>
    <w:p w:rsidR="00000000" w:rsidRDefault="00775A8F">
      <w:pPr>
        <w:divId w:val="387144445"/>
        <w:rPr>
          <w:rFonts w:eastAsia="Times New Roman"/>
        </w:rPr>
      </w:pPr>
      <w:r>
        <w:rPr>
          <w:rFonts w:eastAsia="Times New Roman"/>
          <w:b/>
          <w:bCs/>
          <w:color w:val="000000"/>
          <w:sz w:val="20"/>
          <w:szCs w:val="20"/>
        </w:rPr>
        <w:t>Description of Certain Indebtednes</w:t>
      </w:r>
      <w:r>
        <w:rPr>
          <w:rFonts w:eastAsia="Times New Roman"/>
          <w:b/>
          <w:bCs/>
          <w:color w:val="000000"/>
          <w:sz w:val="20"/>
          <w:szCs w:val="20"/>
        </w:rPr>
        <w:t>s</w:t>
      </w:r>
    </w:p>
    <w:p w:rsidR="00000000" w:rsidRDefault="00775A8F">
      <w:pPr>
        <w:ind w:firstLine="360"/>
        <w:divId w:val="1313485804"/>
        <w:rPr>
          <w:rFonts w:eastAsia="Times New Roman"/>
        </w:rPr>
      </w:pPr>
      <w:r>
        <w:rPr>
          <w:rFonts w:eastAsia="Times New Roman"/>
          <w:color w:val="000000"/>
          <w:sz w:val="20"/>
          <w:szCs w:val="20"/>
        </w:rPr>
        <w:t>The following table sets forth our total consolidated borrowings as of the dates indicated. Our financial strategy going forward will remain subject to market conditions and other factors. For ex</w:t>
      </w:r>
      <w:r>
        <w:rPr>
          <w:rFonts w:eastAsia="Times New Roman"/>
          <w:color w:val="000000"/>
          <w:sz w:val="20"/>
          <w:szCs w:val="20"/>
        </w:rPr>
        <w:t>ample, we may from time to time enter into additional bank or other financing arrangements, including public or private debt, structured facilities and contingent capital arrangements, under which we could incur additional indebtedness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1"/>
        <w:gridCol w:w="4763"/>
        <w:gridCol w:w="40"/>
        <w:gridCol w:w="135"/>
        <w:gridCol w:w="698"/>
        <w:gridCol w:w="85"/>
        <w:gridCol w:w="36"/>
        <w:gridCol w:w="36"/>
        <w:gridCol w:w="36"/>
        <w:gridCol w:w="135"/>
        <w:gridCol w:w="665"/>
        <w:gridCol w:w="85"/>
        <w:gridCol w:w="36"/>
        <w:gridCol w:w="36"/>
        <w:gridCol w:w="36"/>
        <w:gridCol w:w="136"/>
        <w:gridCol w:w="777"/>
        <w:gridCol w:w="85"/>
        <w:gridCol w:w="36"/>
        <w:gridCol w:w="36"/>
        <w:gridCol w:w="36"/>
        <w:gridCol w:w="36"/>
        <w:gridCol w:w="36"/>
        <w:gridCol w:w="36"/>
        <w:gridCol w:w="36"/>
        <w:gridCol w:w="36"/>
        <w:gridCol w:w="36"/>
        <w:gridCol w:w="36"/>
        <w:gridCol w:w="36"/>
        <w:gridCol w:w="36"/>
      </w:tblGrid>
      <w:tr w:rsidR="00000000">
        <w:trPr>
          <w:gridAfter w:val="12"/>
          <w:divId w:val="632102096"/>
        </w:trPr>
        <w:tc>
          <w:tcPr>
            <w:tcW w:w="50" w:type="pct"/>
            <w:vAlign w:val="center"/>
            <w:hideMark/>
          </w:tcPr>
          <w:p w:rsidR="00000000" w:rsidRDefault="00775A8F">
            <w:pPr>
              <w:ind w:firstLine="360"/>
              <w:rPr>
                <w:rFonts w:eastAsia="Times New Roman"/>
              </w:rPr>
            </w:pPr>
          </w:p>
        </w:tc>
        <w:tc>
          <w:tcPr>
            <w:tcW w:w="30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632102096"/>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As of June 30, 202</w:t>
            </w:r>
            <w:r>
              <w:rPr>
                <w:rFonts w:eastAsia="Times New Roman"/>
                <w:b/>
                <w:bCs/>
                <w:color w:val="000000"/>
                <w:sz w:val="16"/>
                <w:szCs w:val="16"/>
              </w:rPr>
              <w:t>0</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3210209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Holdings</w:t>
            </w:r>
            <w:r>
              <w:rPr>
                <w:rFonts w:eastAsia="Times New Roman"/>
                <w:b/>
                <w:bCs/>
                <w:color w:val="000000"/>
                <w:sz w:val="16"/>
                <w:szCs w:val="16"/>
              </w:rPr>
              <w:t xml:space="preserve">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w:t>
            </w:r>
            <w:r>
              <w:rPr>
                <w:rFonts w:eastAsia="Times New Roman"/>
                <w:b/>
                <w:bCs/>
                <w:color w:val="000000"/>
                <w:sz w:val="16"/>
                <w:szCs w:val="16"/>
              </w:rPr>
              <w:t>B</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Consolidate</w:t>
            </w:r>
            <w:r>
              <w:rPr>
                <w:rFonts w:eastAsia="Times New Roman"/>
                <w:b/>
                <w:bCs/>
                <w:color w:val="000000"/>
                <w:sz w:val="16"/>
                <w:szCs w:val="16"/>
              </w:rPr>
              <w:t>d</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rPr>
          <w:divId w:val="632102096"/>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Short-term debt</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short-term deb</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Long-term debt</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Notes (5.00%, due 2048</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1,480</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Notes (4.35%, due 2028</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1,488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1,488</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Notes (3.90%, due 2023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796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796</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Debentures, 7.0%, due 202</w:t>
            </w:r>
            <w:r>
              <w:rPr>
                <w:rFonts w:eastAsia="Times New Roman"/>
                <w:color w:val="000000"/>
                <w:sz w:val="20"/>
                <w:szCs w:val="20"/>
              </w:rPr>
              <w:t>8</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349</w:t>
            </w:r>
            <w:r>
              <w:rPr>
                <w:rFonts w:eastAsia="Times New Roman"/>
                <w:b/>
                <w:bCs/>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long-term deb</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4,113</w:t>
            </w:r>
            <w:r>
              <w:rPr>
                <w:rFonts w:eastAsia="Times New Roman"/>
                <w:b/>
                <w:bCs/>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632102096"/>
        </w:trPr>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borrowing</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4,113</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89"/>
        <w:gridCol w:w="144"/>
        <w:gridCol w:w="144"/>
        <w:gridCol w:w="804"/>
        <w:gridCol w:w="144"/>
        <w:gridCol w:w="144"/>
        <w:gridCol w:w="144"/>
        <w:gridCol w:w="144"/>
        <w:gridCol w:w="144"/>
        <w:gridCol w:w="804"/>
        <w:gridCol w:w="144"/>
        <w:gridCol w:w="144"/>
        <w:gridCol w:w="144"/>
        <w:gridCol w:w="144"/>
        <w:gridCol w:w="144"/>
        <w:gridCol w:w="804"/>
        <w:gridCol w:w="144"/>
        <w:gridCol w:w="480"/>
        <w:gridCol w:w="480"/>
        <w:gridCol w:w="480"/>
        <w:gridCol w:w="480"/>
        <w:gridCol w:w="480"/>
        <w:gridCol w:w="480"/>
        <w:gridCol w:w="480"/>
        <w:gridCol w:w="480"/>
        <w:gridCol w:w="480"/>
        <w:gridCol w:w="480"/>
        <w:gridCol w:w="480"/>
        <w:gridCol w:w="480"/>
      </w:tblGrid>
      <w:tr w:rsidR="00000000">
        <w:trPr>
          <w:gridAfter w:val="12"/>
        </w:trPr>
        <w:tc>
          <w:tcPr>
            <w:tcW w:w="50" w:type="pct"/>
            <w:vAlign w:val="center"/>
            <w:hideMark/>
          </w:tcPr>
          <w:p w:rsidR="00000000" w:rsidRDefault="00775A8F">
            <w:pPr>
              <w:rPr>
                <w:rFonts w:eastAsia="Times New Roman"/>
              </w:rPr>
            </w:pPr>
          </w:p>
        </w:tc>
        <w:tc>
          <w:tcPr>
            <w:tcW w:w="3069"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8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16"/>
                <w:szCs w:val="16"/>
              </w:rPr>
              <w:t>As of December 31, 201</w:t>
            </w:r>
            <w:r>
              <w:rPr>
                <w:rFonts w:eastAsia="Times New Roman"/>
                <w:color w:val="000000"/>
                <w:sz w:val="16"/>
                <w:szCs w:val="16"/>
              </w:rPr>
              <w:t>9</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Holding</w:t>
            </w:r>
            <w:r>
              <w:rPr>
                <w:rFonts w:eastAsia="Times New Roman"/>
                <w:b/>
                <w:bCs/>
                <w:color w:val="000000"/>
                <w:sz w:val="16"/>
                <w:szCs w:val="16"/>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w:t>
            </w:r>
            <w:r>
              <w:rPr>
                <w:rFonts w:eastAsia="Times New Roman"/>
                <w:b/>
                <w:bCs/>
                <w:color w:val="000000"/>
                <w:sz w:val="16"/>
                <w:szCs w:val="16"/>
              </w:rPr>
              <w:t>B</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Consolidate</w:t>
            </w:r>
            <w:r>
              <w:rPr>
                <w:rFonts w:eastAsia="Times New Roman"/>
                <w:b/>
                <w:bCs/>
                <w:color w:val="000000"/>
                <w:sz w:val="16"/>
                <w:szCs w:val="16"/>
              </w:rPr>
              <w:t>d</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(in millions</w:t>
            </w:r>
            <w:r>
              <w:rPr>
                <w:rFonts w:eastAsia="Times New Roman"/>
                <w:b/>
                <w:bCs/>
                <w:color w:val="000000"/>
                <w:sz w:val="16"/>
                <w:szCs w:val="16"/>
              </w:rPr>
              <w:t>)</w:t>
            </w:r>
          </w:p>
        </w:tc>
        <w:tc>
          <w:tcPr>
            <w:tcW w:w="0" w:type="auto"/>
            <w:gridSpan w:val="3"/>
            <w:vAlign w:val="center"/>
            <w:hideMark/>
          </w:tcPr>
          <w:p w:rsidR="00000000" w:rsidRDefault="00775A8F">
            <w:pPr>
              <w:jc w:val="center"/>
              <w:rPr>
                <w:rFonts w:eastAsia="Times New Roman"/>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Short-term debt</w:t>
            </w:r>
            <w:r>
              <w:rPr>
                <w:rFonts w:eastAsia="Times New Roman"/>
                <w:b/>
                <w:bCs/>
                <w:color w:val="000000"/>
                <w:sz w:val="20"/>
                <w:szCs w:val="20"/>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short-term deb</w:t>
            </w:r>
            <w:r>
              <w:rPr>
                <w:rFonts w:eastAsia="Times New Roman"/>
                <w:color w:val="000000"/>
                <w:sz w:val="20"/>
                <w:szCs w:val="20"/>
              </w:rPr>
              <w:t>t</w:t>
            </w: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Long-term debt</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Notes (5.00%, due 2048</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Notes (4.35%, due 2028</w:t>
            </w:r>
            <w:r>
              <w:rPr>
                <w:rFonts w:eastAsia="Times New Roman"/>
                <w:color w:val="000000"/>
                <w:sz w:val="20"/>
                <w:szCs w:val="20"/>
              </w:rPr>
              <w:t>)</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1,487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Notes (3.90%, due 2023</w:t>
            </w:r>
            <w:r>
              <w:rPr>
                <w:rFonts w:eastAsia="Times New Roman"/>
                <w:color w:val="000000"/>
                <w:sz w:val="20"/>
                <w:szCs w:val="20"/>
              </w:rPr>
              <w:t>)</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795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775A8F">
            <w:pPr>
              <w:rPr>
                <w:rFonts w:eastAsia="Times New Roman"/>
              </w:rPr>
            </w:pPr>
            <w:r>
              <w:rPr>
                <w:rFonts w:eastAsia="Times New Roman"/>
                <w:color w:val="000000"/>
                <w:sz w:val="20"/>
                <w:szCs w:val="20"/>
              </w:rPr>
              <w:t>Senior Debentures, 7.0%, due 202</w:t>
            </w:r>
            <w:r>
              <w:rPr>
                <w:rFonts w:eastAsia="Times New Roman"/>
                <w:color w:val="000000"/>
                <w:sz w:val="20"/>
                <w:szCs w:val="20"/>
              </w:rPr>
              <w:t>8</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775A8F">
            <w:pPr>
              <w:rPr>
                <w:rFonts w:eastAsia="Times New Roman"/>
              </w:rPr>
            </w:pPr>
            <w:r>
              <w:rPr>
                <w:rFonts w:eastAsia="Times New Roman"/>
                <w:color w:val="000000"/>
                <w:sz w:val="20"/>
                <w:szCs w:val="20"/>
              </w:rPr>
              <w:t>Total long-term deb</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Total borrowing</w:t>
            </w:r>
            <w:r>
              <w:rPr>
                <w:rFonts w:eastAsia="Times New Roman"/>
                <w:b/>
                <w:bCs/>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4,111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803235387"/>
        <w:rPr>
          <w:rFonts w:eastAsia="Times New Roman"/>
        </w:rPr>
      </w:pPr>
    </w:p>
    <w:p w:rsidR="00000000" w:rsidRDefault="00775A8F">
      <w:pPr>
        <w:divId w:val="402946951"/>
        <w:rPr>
          <w:rFonts w:eastAsia="Times New Roman"/>
        </w:rPr>
      </w:pPr>
      <w:r>
        <w:rPr>
          <w:rFonts w:eastAsia="Times New Roman"/>
          <w:i/>
          <w:iCs/>
          <w:color w:val="000000"/>
          <w:sz w:val="20"/>
          <w:szCs w:val="20"/>
        </w:rPr>
        <w:t>Notes and Debenture</w:t>
      </w:r>
      <w:r>
        <w:rPr>
          <w:rFonts w:eastAsia="Times New Roman"/>
          <w:i/>
          <w:iCs/>
          <w:color w:val="000000"/>
          <w:sz w:val="20"/>
          <w:szCs w:val="20"/>
        </w:rPr>
        <w:t>s</w:t>
      </w:r>
    </w:p>
    <w:p w:rsidR="00000000" w:rsidRDefault="00775A8F">
      <w:pPr>
        <w:ind w:firstLine="360"/>
        <w:divId w:val="433676308"/>
        <w:rPr>
          <w:rFonts w:eastAsia="Times New Roman"/>
        </w:rPr>
      </w:pPr>
      <w:r>
        <w:rPr>
          <w:rFonts w:eastAsia="Times New Roman"/>
          <w:color w:val="000000"/>
          <w:sz w:val="20"/>
          <w:szCs w:val="20"/>
        </w:rPr>
        <w:t>In April 2018, we issued $3.8 </w:t>
      </w:r>
      <w:r>
        <w:rPr>
          <w:rFonts w:eastAsia="Times New Roman"/>
          <w:color w:val="000000"/>
          <w:sz w:val="20"/>
          <w:szCs w:val="20"/>
        </w:rPr>
        <w:t xml:space="preserve">billion in aggregate principal amount of notes (consisting of $800 million aggregate principal amount of 3.9% Senior Notes due 2023, $1.5 billion aggregate principal amount of 4.35% Senior Notes due 2028 and $1.5 billion aggregate principal amount of 5.0% </w:t>
      </w:r>
      <w:r>
        <w:rPr>
          <w:rFonts w:eastAsia="Times New Roman"/>
          <w:color w:val="000000"/>
          <w:sz w:val="20"/>
          <w:szCs w:val="20"/>
        </w:rPr>
        <w:t>Senior Notes due 2048) to third party investors. As of June 30, 2020, we had outstanding $349 million aggregate principal amount of Senior Debentures due 2028 (the “Senior Debentures”)</w:t>
      </w:r>
      <w:r>
        <w:rPr>
          <w:rFonts w:eastAsia="Times New Roman"/>
          <w:color w:val="000000"/>
          <w:sz w:val="20"/>
          <w:szCs w:val="20"/>
        </w:rPr>
        <w:t>.</w:t>
      </w:r>
    </w:p>
    <w:p w:rsidR="00000000" w:rsidRDefault="00775A8F">
      <w:pPr>
        <w:ind w:firstLine="360"/>
        <w:divId w:val="37630167"/>
        <w:rPr>
          <w:rFonts w:eastAsia="Times New Roman"/>
        </w:rPr>
      </w:pPr>
      <w:r>
        <w:rPr>
          <w:rFonts w:eastAsia="Times New Roman"/>
          <w:color w:val="000000"/>
          <w:sz w:val="20"/>
          <w:szCs w:val="20"/>
        </w:rPr>
        <w:t>The Senior Notes and Senior Debentures contain customary affirmative a</w:t>
      </w:r>
      <w:r>
        <w:rPr>
          <w:rFonts w:eastAsia="Times New Roman"/>
          <w:color w:val="000000"/>
          <w:sz w:val="20"/>
          <w:szCs w:val="20"/>
        </w:rPr>
        <w:t xml:space="preserve">nd negative covenants, including a limitation on certain liens and a limit on the Company’s ability to consolidate, merge or sell or otherwise dispose of all or substantially all of its assets. The Senior Notes and Senior Debentures also include customary </w:t>
      </w:r>
      <w:r>
        <w:rPr>
          <w:rFonts w:eastAsia="Times New Roman"/>
          <w:color w:val="000000"/>
          <w:sz w:val="20"/>
          <w:szCs w:val="20"/>
        </w:rPr>
        <w:t>events of default (with customary grace periods, as applicable), including provisions under which, upon the occurrence of an event of default, all outstanding Senior Notes and Senior Debentures may be accelerated. As of June 30, 2020, we were in compliance</w:t>
      </w:r>
      <w:r>
        <w:rPr>
          <w:rFonts w:eastAsia="Times New Roman"/>
          <w:color w:val="000000"/>
          <w:sz w:val="20"/>
          <w:szCs w:val="20"/>
        </w:rPr>
        <w:t xml:space="preserve"> with all covenants</w:t>
      </w:r>
      <w:r>
        <w:rPr>
          <w:rFonts w:eastAsia="Times New Roman"/>
          <w:color w:val="000000"/>
          <w:sz w:val="20"/>
          <w:szCs w:val="20"/>
        </w:rPr>
        <w:t>.</w:t>
      </w:r>
    </w:p>
    <w:p w:rsidR="00000000" w:rsidRDefault="00775A8F">
      <w:pPr>
        <w:jc w:val="center"/>
        <w:divId w:val="912087625"/>
        <w:rPr>
          <w:rFonts w:eastAsia="Times New Roman"/>
        </w:rPr>
      </w:pPr>
      <w:r>
        <w:rPr>
          <w:rFonts w:eastAsia="Times New Roman"/>
          <w:color w:val="000000"/>
          <w:sz w:val="20"/>
          <w:szCs w:val="20"/>
        </w:rPr>
        <w:t>10</w:t>
      </w:r>
      <w:r>
        <w:rPr>
          <w:rFonts w:eastAsia="Times New Roman"/>
          <w:color w:val="000000"/>
          <w:sz w:val="20"/>
          <w:szCs w:val="20"/>
        </w:rPr>
        <w:t>4</w:t>
      </w:r>
    </w:p>
    <w:p w:rsidR="00000000" w:rsidRDefault="00775A8F">
      <w:pPr>
        <w:rPr>
          <w:rFonts w:eastAsia="Times New Roman"/>
        </w:rPr>
      </w:pPr>
      <w:r>
        <w:rPr>
          <w:rFonts w:eastAsia="Times New Roman"/>
        </w:rPr>
        <w:pict>
          <v:rect id="_x0000_i1130" style="width:0;height:1.5pt" o:hralign="center" o:hrstd="t" o:hr="t" fillcolor="#a0a0a0" stroked="f"/>
        </w:pict>
      </w:r>
    </w:p>
    <w:p w:rsidR="00000000" w:rsidRDefault="00775A8F">
      <w:pPr>
        <w:divId w:val="1126462315"/>
        <w:rPr>
          <w:rFonts w:eastAsia="Times New Roman"/>
        </w:rPr>
      </w:pPr>
    </w:p>
    <w:p w:rsidR="00000000" w:rsidRDefault="00775A8F">
      <w:pPr>
        <w:divId w:val="337008397"/>
        <w:rPr>
          <w:rFonts w:eastAsia="Times New Roman"/>
        </w:rPr>
      </w:pPr>
      <w:r>
        <w:rPr>
          <w:rFonts w:eastAsia="Times New Roman"/>
          <w:i/>
          <w:iCs/>
          <w:color w:val="000000"/>
          <w:sz w:val="20"/>
          <w:szCs w:val="20"/>
        </w:rPr>
        <w:t>Term Loa</w:t>
      </w:r>
      <w:r>
        <w:rPr>
          <w:rFonts w:eastAsia="Times New Roman"/>
          <w:i/>
          <w:iCs/>
          <w:color w:val="000000"/>
          <w:sz w:val="20"/>
          <w:szCs w:val="20"/>
        </w:rPr>
        <w:t>n</w:t>
      </w:r>
    </w:p>
    <w:p w:rsidR="00000000" w:rsidRDefault="00775A8F">
      <w:pPr>
        <w:ind w:firstLine="360"/>
        <w:divId w:val="619646260"/>
        <w:rPr>
          <w:rFonts w:eastAsia="Times New Roman"/>
        </w:rPr>
      </w:pPr>
      <w:r>
        <w:rPr>
          <w:rFonts w:eastAsia="Times New Roman"/>
          <w:color w:val="000000"/>
          <w:sz w:val="20"/>
          <w:szCs w:val="20"/>
        </w:rPr>
        <w:t>In May 2018, we borrowed $300 million under a $500 million three-year senior unsecured delayed draw term loan agreement and terminated the remaining $200 million capacity. In Decembe</w:t>
      </w:r>
      <w:r>
        <w:rPr>
          <w:rFonts w:eastAsia="Times New Roman"/>
          <w:color w:val="000000"/>
          <w:sz w:val="20"/>
          <w:szCs w:val="20"/>
        </w:rPr>
        <w:t>r 2019, we made full prepayment of the outstanding $300 million term loan and as of December 31, 2019, there were no amounts outstanding under the term loan</w:t>
      </w:r>
      <w:r>
        <w:rPr>
          <w:rFonts w:eastAsia="Times New Roman"/>
          <w:color w:val="000000"/>
          <w:sz w:val="20"/>
          <w:szCs w:val="20"/>
        </w:rPr>
        <w:t>.</w:t>
      </w:r>
    </w:p>
    <w:p w:rsidR="00000000" w:rsidRDefault="00775A8F">
      <w:pPr>
        <w:divId w:val="143669718"/>
        <w:rPr>
          <w:rFonts w:eastAsia="Times New Roman"/>
        </w:rPr>
      </w:pPr>
      <w:r>
        <w:rPr>
          <w:rFonts w:eastAsia="Times New Roman"/>
          <w:b/>
          <w:bCs/>
          <w:color w:val="000000"/>
          <w:sz w:val="20"/>
          <w:szCs w:val="20"/>
        </w:rPr>
        <w:t>Rating</w:t>
      </w:r>
      <w:r>
        <w:rPr>
          <w:rFonts w:eastAsia="Times New Roman"/>
          <w:b/>
          <w:bCs/>
          <w:color w:val="000000"/>
          <w:sz w:val="20"/>
          <w:szCs w:val="20"/>
        </w:rPr>
        <w:t>s</w:t>
      </w:r>
    </w:p>
    <w:p w:rsidR="00000000" w:rsidRDefault="00775A8F">
      <w:pPr>
        <w:ind w:firstLine="360"/>
        <w:divId w:val="1504932058"/>
        <w:rPr>
          <w:rFonts w:eastAsia="Times New Roman"/>
        </w:rPr>
      </w:pPr>
      <w:r>
        <w:rPr>
          <w:rFonts w:eastAsia="Times New Roman"/>
          <w:color w:val="000000"/>
          <w:sz w:val="20"/>
          <w:szCs w:val="20"/>
        </w:rPr>
        <w:t>Financial strength ratings (which are sometimes referred to as “claims-paying” ratings) an</w:t>
      </w:r>
      <w:r>
        <w:rPr>
          <w:rFonts w:eastAsia="Times New Roman"/>
          <w:color w:val="000000"/>
          <w:sz w:val="20"/>
          <w:szCs w:val="20"/>
        </w:rPr>
        <w:t>d credit ratings are important factors affecting public confidence in an insurer and its competitive position in marketing products. Our credit ratings are also important for our ability to raise capital through the issuance of debt and for the cost of suc</w:t>
      </w:r>
      <w:r>
        <w:rPr>
          <w:rFonts w:eastAsia="Times New Roman"/>
          <w:color w:val="000000"/>
          <w:sz w:val="20"/>
          <w:szCs w:val="20"/>
        </w:rPr>
        <w:t>h financing</w:t>
      </w:r>
      <w:r>
        <w:rPr>
          <w:rFonts w:eastAsia="Times New Roman"/>
          <w:color w:val="000000"/>
          <w:sz w:val="20"/>
          <w:szCs w:val="20"/>
        </w:rPr>
        <w:t>.</w:t>
      </w:r>
    </w:p>
    <w:p w:rsidR="00000000" w:rsidRDefault="00775A8F">
      <w:pPr>
        <w:ind w:firstLine="360"/>
        <w:divId w:val="2026127053"/>
        <w:rPr>
          <w:rFonts w:eastAsia="Times New Roman"/>
        </w:rPr>
      </w:pPr>
      <w:r>
        <w:rPr>
          <w:rFonts w:eastAsia="Times New Roman"/>
          <w:color w:val="000000"/>
          <w:sz w:val="20"/>
          <w:szCs w:val="20"/>
        </w:rPr>
        <w:t xml:space="preserve">Financial strength ratings represent the opinions of rating agencies regarding the financial ability of an insurance company to meet its obligations under an insurance policy. Credit ratings represent the opinions of rating agencies regarding </w:t>
      </w:r>
      <w:r>
        <w:rPr>
          <w:rFonts w:eastAsia="Times New Roman"/>
          <w:color w:val="000000"/>
          <w:sz w:val="20"/>
          <w:szCs w:val="20"/>
        </w:rPr>
        <w:t>an entity’s ability to repay its indebtedness. The following table summarizes the ratings for Holdings and certain of its subsidiaries. Moody and AM Best have a stable outlook while S&amp;P has a negative outlook</w:t>
      </w:r>
      <w:r>
        <w:rPr>
          <w:rFonts w:eastAsia="Times New Roman"/>
          <w:color w:val="000000"/>
          <w:sz w:val="20"/>
          <w:szCs w:val="20"/>
        </w:rPr>
        <w:t>.</w:t>
      </w:r>
    </w:p>
    <w:tbl>
      <w:tblPr>
        <w:tblW w:w="10260" w:type="dxa"/>
        <w:tblCellMar>
          <w:top w:w="15" w:type="dxa"/>
          <w:left w:w="15" w:type="dxa"/>
          <w:bottom w:w="15" w:type="dxa"/>
          <w:right w:w="15" w:type="dxa"/>
        </w:tblCellMar>
        <w:tblLook w:val="04A0" w:firstRow="1" w:lastRow="0" w:firstColumn="1" w:lastColumn="0" w:noHBand="0" w:noVBand="1"/>
      </w:tblPr>
      <w:tblGrid>
        <w:gridCol w:w="37"/>
        <w:gridCol w:w="5573"/>
        <w:gridCol w:w="36"/>
        <w:gridCol w:w="36"/>
        <w:gridCol w:w="1328"/>
        <w:gridCol w:w="36"/>
        <w:gridCol w:w="36"/>
        <w:gridCol w:w="36"/>
        <w:gridCol w:w="36"/>
        <w:gridCol w:w="36"/>
        <w:gridCol w:w="1433"/>
        <w:gridCol w:w="36"/>
        <w:gridCol w:w="36"/>
        <w:gridCol w:w="36"/>
        <w:gridCol w:w="36"/>
        <w:gridCol w:w="36"/>
        <w:gridCol w:w="1421"/>
        <w:gridCol w:w="36"/>
      </w:tblGrid>
      <w:tr w:rsidR="00000000">
        <w:trPr>
          <w:divId w:val="536745597"/>
        </w:trPr>
        <w:tc>
          <w:tcPr>
            <w:tcW w:w="20" w:type="dxa"/>
            <w:vAlign w:val="center"/>
            <w:hideMark/>
          </w:tcPr>
          <w:p w:rsidR="00000000" w:rsidRDefault="00775A8F">
            <w:pPr>
              <w:ind w:firstLine="360"/>
              <w:rPr>
                <w:rFonts w:eastAsia="Times New Roman"/>
              </w:rPr>
            </w:pPr>
          </w:p>
        </w:tc>
        <w:tc>
          <w:tcPr>
            <w:tcW w:w="569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1355"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35"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146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35"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c>
          <w:tcPr>
            <w:tcW w:w="1445" w:type="dxa"/>
            <w:vAlign w:val="center"/>
            <w:hideMark/>
          </w:tcPr>
          <w:p w:rsidR="00000000" w:rsidRDefault="00775A8F">
            <w:pPr>
              <w:rPr>
                <w:rFonts w:eastAsia="Times New Roman"/>
                <w:sz w:val="20"/>
                <w:szCs w:val="20"/>
              </w:rPr>
            </w:pPr>
          </w:p>
        </w:tc>
        <w:tc>
          <w:tcPr>
            <w:tcW w:w="20" w:type="dxa"/>
            <w:vAlign w:val="center"/>
            <w:hideMark/>
          </w:tcPr>
          <w:p w:rsidR="00000000" w:rsidRDefault="00775A8F">
            <w:pPr>
              <w:rPr>
                <w:rFonts w:eastAsia="Times New Roman"/>
                <w:sz w:val="20"/>
                <w:szCs w:val="20"/>
              </w:rPr>
            </w:pPr>
          </w:p>
        </w:tc>
      </w:tr>
      <w:tr w:rsidR="00000000">
        <w:trPr>
          <w:divId w:val="536745597"/>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AM Bes</w:t>
            </w:r>
            <w:r>
              <w:rPr>
                <w:rFonts w:eastAsia="Times New Roman"/>
                <w:b/>
                <w:bCs/>
                <w:color w:val="000000"/>
                <w:sz w:val="16"/>
                <w:szCs w:val="16"/>
              </w:rPr>
              <w:t>t</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S&amp;</w:t>
            </w:r>
            <w:r>
              <w:rPr>
                <w:rFonts w:eastAsia="Times New Roman"/>
                <w:b/>
                <w:bCs/>
                <w:color w:val="000000"/>
                <w:sz w:val="16"/>
                <w:szCs w:val="16"/>
              </w:rPr>
              <w:t>P</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Moody’</w:t>
            </w:r>
            <w:r>
              <w:rPr>
                <w:rFonts w:eastAsia="Times New Roman"/>
                <w:b/>
                <w:bCs/>
                <w:color w:val="000000"/>
                <w:sz w:val="16"/>
                <w:szCs w:val="16"/>
              </w:rPr>
              <w:t>s</w:t>
            </w:r>
          </w:p>
        </w:tc>
      </w:tr>
      <w:tr w:rsidR="00000000">
        <w:trPr>
          <w:divId w:val="536745597"/>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18"/>
                <w:szCs w:val="18"/>
              </w:rPr>
              <w:t>Last review dat</w:t>
            </w:r>
            <w:r>
              <w:rPr>
                <w:rFonts w:eastAsia="Times New Roman"/>
                <w:b/>
                <w:bCs/>
                <w:color w:val="000000"/>
                <w:sz w:val="18"/>
                <w:szCs w:val="18"/>
              </w:rPr>
              <w:t>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Dec '1</w:t>
            </w:r>
            <w:r>
              <w:rPr>
                <w:rFonts w:eastAsia="Times New Roman"/>
                <w:color w:val="000000"/>
                <w:sz w:val="20"/>
                <w:szCs w:val="20"/>
              </w:rPr>
              <w:t>9</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Jun '2</w:t>
            </w:r>
            <w:r>
              <w:rPr>
                <w:rFonts w:eastAsia="Times New Roman"/>
                <w:color w:val="000000"/>
                <w:sz w:val="20"/>
                <w:szCs w:val="20"/>
              </w:rPr>
              <w:t>0</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May '2</w:t>
            </w:r>
            <w:r>
              <w:rPr>
                <w:rFonts w:eastAsia="Times New Roman"/>
                <w:color w:val="000000"/>
                <w:sz w:val="20"/>
                <w:szCs w:val="20"/>
              </w:rPr>
              <w:t>0</w:t>
            </w:r>
          </w:p>
        </w:tc>
      </w:tr>
      <w:tr w:rsidR="00000000">
        <w:trPr>
          <w:divId w:val="536745597"/>
        </w:trPr>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b/>
                <w:bCs/>
                <w:i/>
                <w:iCs/>
                <w:color w:val="000000"/>
                <w:sz w:val="18"/>
                <w:szCs w:val="18"/>
              </w:rPr>
              <w:t>Financial Strength Ratings</w:t>
            </w:r>
            <w:r>
              <w:rPr>
                <w:rFonts w:eastAsia="Times New Roman"/>
                <w:b/>
                <w:bCs/>
                <w:i/>
                <w:iCs/>
                <w:color w:val="000000"/>
                <w:sz w:val="18"/>
                <w:szCs w:val="18"/>
              </w:rPr>
              <w:t>:</w:t>
            </w:r>
          </w:p>
        </w:tc>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536745597"/>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Equitable Financial Life Insurance Compan</w:t>
            </w:r>
            <w:r>
              <w:rPr>
                <w:rFonts w:eastAsia="Times New Roman"/>
                <w:color w:val="000000"/>
                <w:sz w:val="20"/>
                <w:szCs w:val="20"/>
              </w:rPr>
              <w:t>y</w:t>
            </w: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ascii="Calibri" w:eastAsia="Times New Roman" w:hAnsi="Calibri" w:cs="Calibri"/>
                <w:color w:val="000000"/>
                <w:sz w:val="18"/>
                <w:szCs w:val="18"/>
              </w:rPr>
              <w:t>A</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ascii="Calibri" w:eastAsia="Times New Roman" w:hAnsi="Calibri" w:cs="Calibri"/>
                <w:color w:val="000000"/>
                <w:sz w:val="18"/>
                <w:szCs w:val="18"/>
              </w:rPr>
              <w:t>A</w:t>
            </w:r>
            <w:r>
              <w:rPr>
                <w:rFonts w:ascii="Calibri" w:eastAsia="Times New Roman" w:hAnsi="Calibri" w:cs="Calibri"/>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ascii="Calibri" w:eastAsia="Times New Roman" w:hAnsi="Calibri" w:cs="Calibri"/>
                <w:color w:val="000000"/>
                <w:sz w:val="18"/>
                <w:szCs w:val="18"/>
              </w:rPr>
              <w:t>A</w:t>
            </w:r>
            <w:r>
              <w:rPr>
                <w:rFonts w:ascii="Calibri" w:eastAsia="Times New Roman" w:hAnsi="Calibri" w:cs="Calibri"/>
                <w:color w:val="000000"/>
                <w:sz w:val="18"/>
                <w:szCs w:val="18"/>
              </w:rPr>
              <w:t>2</w:t>
            </w:r>
          </w:p>
        </w:tc>
      </w:tr>
      <w:tr w:rsidR="00000000">
        <w:trPr>
          <w:divId w:val="536745597"/>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Equitable Financial Life Insurance Company of Americ</w:t>
            </w:r>
            <w:r>
              <w:rPr>
                <w:rFonts w:eastAsia="Times New Roman"/>
                <w:color w:val="000000"/>
                <w:sz w:val="20"/>
                <w:szCs w:val="20"/>
              </w:rPr>
              <w:t>a</w:t>
            </w:r>
          </w:p>
        </w:tc>
        <w:tc>
          <w:tcPr>
            <w:tcW w:w="0" w:type="auto"/>
            <w:gridSpan w:val="3"/>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ascii="Calibri" w:eastAsia="Times New Roman" w:hAnsi="Calibri" w:cs="Calibri"/>
                <w:color w:val="000000"/>
                <w:sz w:val="18"/>
                <w:szCs w:val="18"/>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ascii="Calibri" w:eastAsia="Times New Roman" w:hAnsi="Calibri" w:cs="Calibri"/>
                <w:color w:val="000000"/>
                <w:sz w:val="18"/>
                <w:szCs w:val="18"/>
              </w:rPr>
              <w:t>A</w:t>
            </w:r>
            <w:r>
              <w:rPr>
                <w:rFonts w:ascii="Calibri" w:eastAsia="Times New Roman" w:hAnsi="Calibri" w:cs="Calibri"/>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ascii="Calibri" w:eastAsia="Times New Roman" w:hAnsi="Calibri" w:cs="Calibri"/>
                <w:color w:val="000000"/>
                <w:sz w:val="18"/>
                <w:szCs w:val="18"/>
              </w:rPr>
              <w:t>A</w:t>
            </w:r>
            <w:r>
              <w:rPr>
                <w:rFonts w:ascii="Calibri" w:eastAsia="Times New Roman" w:hAnsi="Calibri" w:cs="Calibri"/>
                <w:color w:val="000000"/>
                <w:sz w:val="18"/>
                <w:szCs w:val="18"/>
              </w:rPr>
              <w:t>2</w:t>
            </w:r>
          </w:p>
        </w:tc>
      </w:tr>
      <w:tr w:rsidR="00000000">
        <w:trPr>
          <w:divId w:val="536745597"/>
          <w:trHeight w:val="280"/>
        </w:trPr>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536745597"/>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b/>
                <w:bCs/>
                <w:i/>
                <w:iCs/>
                <w:color w:val="000000"/>
                <w:sz w:val="18"/>
                <w:szCs w:val="18"/>
              </w:rPr>
              <w:t>Credit Ratings</w:t>
            </w:r>
            <w:r>
              <w:rPr>
                <w:rFonts w:eastAsia="Times New Roman"/>
                <w:b/>
                <w:bCs/>
                <w:i/>
                <w:i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536745597"/>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Equitable Holdings, Inc</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bbb</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BBB</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Baa</w:t>
            </w:r>
            <w:r>
              <w:rPr>
                <w:rFonts w:eastAsia="Times New Roman"/>
                <w:color w:val="000000"/>
                <w:sz w:val="20"/>
                <w:szCs w:val="20"/>
              </w:rPr>
              <w:t>2</w:t>
            </w:r>
          </w:p>
        </w:tc>
      </w:tr>
      <w:tr w:rsidR="00000000">
        <w:trPr>
          <w:divId w:val="536745597"/>
          <w:trHeight w:val="280"/>
        </w:trPr>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775A8F">
            <w:pPr>
              <w:rPr>
                <w:rFonts w:eastAsia="Times New Roman"/>
                <w:sz w:val="20"/>
                <w:szCs w:val="20"/>
              </w:rPr>
            </w:pPr>
          </w:p>
        </w:tc>
      </w:tr>
      <w:tr w:rsidR="00000000">
        <w:trPr>
          <w:divId w:val="536745597"/>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i/>
                <w:iCs/>
                <w:color w:val="000000"/>
                <w:sz w:val="18"/>
                <w:szCs w:val="18"/>
              </w:rPr>
              <w:t>Last review dat</w:t>
            </w:r>
            <w:r>
              <w:rPr>
                <w:rFonts w:eastAsia="Times New Roman"/>
                <w:b/>
                <w:bCs/>
                <w:i/>
                <w:iCs/>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Jun '2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Jun '2</w:t>
            </w:r>
            <w:r>
              <w:rPr>
                <w:rFonts w:eastAsia="Times New Roman"/>
                <w:color w:val="000000"/>
                <w:sz w:val="20"/>
                <w:szCs w:val="20"/>
              </w:rPr>
              <w:t>0</w:t>
            </w:r>
          </w:p>
        </w:tc>
      </w:tr>
      <w:tr w:rsidR="00000000">
        <w:trPr>
          <w:divId w:val="536745597"/>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AllianceBernstein Holding L.P</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A</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color w:val="000000"/>
                <w:sz w:val="20"/>
                <w:szCs w:val="20"/>
              </w:rPr>
              <w:t>A</w:t>
            </w:r>
            <w:r>
              <w:rPr>
                <w:rFonts w:eastAsia="Times New Roman"/>
                <w:color w:val="000000"/>
                <w:sz w:val="20"/>
                <w:szCs w:val="20"/>
              </w:rPr>
              <w:t>2</w:t>
            </w:r>
          </w:p>
        </w:tc>
      </w:tr>
    </w:tbl>
    <w:p w:rsidR="00000000" w:rsidRDefault="00775A8F">
      <w:pPr>
        <w:divId w:val="1430345507"/>
        <w:rPr>
          <w:rFonts w:eastAsia="Times New Roman"/>
        </w:rPr>
      </w:pPr>
    </w:p>
    <w:p w:rsidR="00000000" w:rsidRDefault="00775A8F">
      <w:pPr>
        <w:divId w:val="1900901759"/>
        <w:rPr>
          <w:rFonts w:eastAsia="Times New Roman"/>
        </w:rPr>
      </w:pPr>
      <w:r>
        <w:rPr>
          <w:rFonts w:eastAsia="Times New Roman"/>
          <w:b/>
          <w:bCs/>
          <w:color w:val="000000"/>
          <w:sz w:val="20"/>
          <w:szCs w:val="20"/>
        </w:rPr>
        <w:t>SUPPLEMENTARY INFORMATIO</w:t>
      </w:r>
      <w:r>
        <w:rPr>
          <w:rFonts w:eastAsia="Times New Roman"/>
          <w:b/>
          <w:bCs/>
          <w:color w:val="000000"/>
          <w:sz w:val="20"/>
          <w:szCs w:val="20"/>
        </w:rPr>
        <w:t>N</w:t>
      </w:r>
    </w:p>
    <w:p w:rsidR="00000000" w:rsidRDefault="00775A8F">
      <w:pPr>
        <w:ind w:firstLine="360"/>
        <w:divId w:val="790585816"/>
        <w:rPr>
          <w:rFonts w:eastAsia="Times New Roman"/>
        </w:rPr>
      </w:pPr>
      <w:r>
        <w:rPr>
          <w:rFonts w:eastAsia="Times New Roman"/>
          <w:color w:val="000000"/>
          <w:sz w:val="20"/>
          <w:szCs w:val="20"/>
        </w:rPr>
        <w:t>We are involved in a number of ventures and transactions with AXA and certain of its affiliates. See Note 11 of the Notes to the Consolidated Financial Statements included herein and Note 12 in the Notes to Consolidated Financial Statements included in the</w:t>
      </w:r>
      <w:r>
        <w:rPr>
          <w:rFonts w:eastAsia="Times New Roman"/>
          <w:color w:val="000000"/>
          <w:sz w:val="20"/>
          <w:szCs w:val="20"/>
        </w:rPr>
        <w:t xml:space="preserve"> Annual Report on Form 10-K for the year ended December 31, 2019</w:t>
      </w:r>
      <w:r>
        <w:rPr>
          <w:rFonts w:eastAsia="Times New Roman"/>
          <w:color w:val="000000"/>
          <w:sz w:val="20"/>
          <w:szCs w:val="20"/>
        </w:rPr>
        <w:t>.</w:t>
      </w:r>
    </w:p>
    <w:p w:rsidR="00000000" w:rsidRDefault="00775A8F">
      <w:pPr>
        <w:divId w:val="1171067757"/>
        <w:rPr>
          <w:rFonts w:eastAsia="Times New Roman"/>
        </w:rPr>
      </w:pPr>
      <w:r>
        <w:rPr>
          <w:rFonts w:eastAsia="Times New Roman"/>
          <w:b/>
          <w:bCs/>
          <w:color w:val="000000"/>
          <w:sz w:val="20"/>
          <w:szCs w:val="20"/>
        </w:rPr>
        <w:t>Contractual Obligation</w:t>
      </w:r>
      <w:r>
        <w:rPr>
          <w:rFonts w:eastAsia="Times New Roman"/>
          <w:b/>
          <w:bCs/>
          <w:color w:val="000000"/>
          <w:sz w:val="20"/>
          <w:szCs w:val="20"/>
        </w:rPr>
        <w:t>s</w:t>
      </w:r>
    </w:p>
    <w:p w:rsidR="00000000" w:rsidRDefault="00775A8F">
      <w:pPr>
        <w:ind w:firstLine="360"/>
        <w:divId w:val="1492332127"/>
        <w:rPr>
          <w:rFonts w:eastAsia="Times New Roman"/>
        </w:rPr>
      </w:pPr>
      <w:r>
        <w:rPr>
          <w:rFonts w:eastAsia="Times New Roman"/>
          <w:color w:val="000000"/>
          <w:sz w:val="20"/>
          <w:szCs w:val="20"/>
        </w:rPr>
        <w:t>Our consolidated contractual agreements include policyholder obligations, long-term debt, commercial paper, employee benefits, operating leases and various funding co</w:t>
      </w:r>
      <w:r>
        <w:rPr>
          <w:rFonts w:eastAsia="Times New Roman"/>
          <w:color w:val="000000"/>
          <w:sz w:val="20"/>
          <w:szCs w:val="20"/>
        </w:rPr>
        <w:t>mmitments. See “Supplementary Information – Contractual Obligations” in “Management’s Discussion and Analysis of Financial Condition and Results of Operations” in the Annual Report on Form 10-K for the year ended December 31, 2019 for additional informatio</w:t>
      </w:r>
      <w:r>
        <w:rPr>
          <w:rFonts w:eastAsia="Times New Roman"/>
          <w:color w:val="000000"/>
          <w:sz w:val="20"/>
          <w:szCs w:val="20"/>
        </w:rPr>
        <w:t>n</w:t>
      </w:r>
      <w:r>
        <w:rPr>
          <w:rFonts w:eastAsia="Times New Roman"/>
          <w:color w:val="000000"/>
          <w:sz w:val="20"/>
          <w:szCs w:val="20"/>
        </w:rPr>
        <w:t>.</w:t>
      </w:r>
    </w:p>
    <w:p w:rsidR="00000000" w:rsidRDefault="00775A8F">
      <w:pPr>
        <w:divId w:val="243607293"/>
        <w:rPr>
          <w:rFonts w:eastAsia="Times New Roman"/>
        </w:rPr>
      </w:pPr>
      <w:r>
        <w:rPr>
          <w:rFonts w:eastAsia="Times New Roman"/>
          <w:b/>
          <w:bCs/>
          <w:color w:val="000000"/>
          <w:sz w:val="20"/>
          <w:szCs w:val="20"/>
        </w:rPr>
        <w:t>Off-Balance Sheet Arrangement</w:t>
      </w:r>
      <w:r>
        <w:rPr>
          <w:rFonts w:eastAsia="Times New Roman"/>
          <w:b/>
          <w:bCs/>
          <w:color w:val="000000"/>
          <w:sz w:val="20"/>
          <w:szCs w:val="20"/>
        </w:rPr>
        <w:t>s</w:t>
      </w:r>
    </w:p>
    <w:p w:rsidR="00000000" w:rsidRDefault="00775A8F">
      <w:pPr>
        <w:ind w:firstLine="360"/>
        <w:divId w:val="1086850097"/>
        <w:rPr>
          <w:rFonts w:eastAsia="Times New Roman"/>
        </w:rPr>
      </w:pPr>
      <w:r>
        <w:rPr>
          <w:rFonts w:eastAsia="Times New Roman"/>
          <w:color w:val="000000"/>
          <w:sz w:val="20"/>
          <w:szCs w:val="20"/>
        </w:rPr>
        <w:t>At June 30, 2020, we were not a party to any off-balance sheet transactions other than those Guarantees and Commitments described in Note 14 of the Notes to the Consolidated Financial Statements.</w:t>
      </w:r>
      <w:r>
        <w:rPr>
          <w:rFonts w:eastAsia="Times New Roman"/>
          <w:color w:val="000000"/>
          <w:sz w:val="20"/>
          <w:szCs w:val="20"/>
        </w:rPr>
        <w:t xml:space="preserve"> </w:t>
      </w:r>
    </w:p>
    <w:p w:rsidR="00000000" w:rsidRDefault="00775A8F">
      <w:pPr>
        <w:divId w:val="1139109543"/>
        <w:rPr>
          <w:rFonts w:eastAsia="Times New Roman"/>
        </w:rPr>
      </w:pPr>
      <w:r>
        <w:rPr>
          <w:rFonts w:eastAsia="Times New Roman"/>
          <w:b/>
          <w:bCs/>
          <w:color w:val="000000"/>
          <w:sz w:val="20"/>
          <w:szCs w:val="20"/>
        </w:rPr>
        <w:t>Summary of Critical Accou</w:t>
      </w:r>
      <w:r>
        <w:rPr>
          <w:rFonts w:eastAsia="Times New Roman"/>
          <w:b/>
          <w:bCs/>
          <w:color w:val="000000"/>
          <w:sz w:val="20"/>
          <w:szCs w:val="20"/>
        </w:rPr>
        <w:t>nting Estimate</w:t>
      </w:r>
      <w:r>
        <w:rPr>
          <w:rFonts w:eastAsia="Times New Roman"/>
          <w:b/>
          <w:bCs/>
          <w:color w:val="000000"/>
          <w:sz w:val="20"/>
          <w:szCs w:val="20"/>
        </w:rPr>
        <w:t>s</w:t>
      </w:r>
    </w:p>
    <w:p w:rsidR="00000000" w:rsidRDefault="00775A8F">
      <w:pPr>
        <w:ind w:firstLine="360"/>
        <w:divId w:val="537475785"/>
        <w:rPr>
          <w:rFonts w:eastAsia="Times New Roman"/>
        </w:rPr>
      </w:pPr>
      <w:r>
        <w:rPr>
          <w:rFonts w:eastAsia="Times New Roman"/>
          <w:color w:val="000000"/>
          <w:sz w:val="20"/>
          <w:szCs w:val="20"/>
        </w:rPr>
        <w:t>The preparation of financial statements in conformity with U.S. GAAP requires management to adopt accounting policies and make estimates and assumptions that affect amounts reported in our consolidated financial statements included elsewher</w:t>
      </w:r>
      <w:r>
        <w:rPr>
          <w:rFonts w:eastAsia="Times New Roman"/>
          <w:color w:val="000000"/>
          <w:sz w:val="20"/>
          <w:szCs w:val="20"/>
        </w:rPr>
        <w:t>e herein. For a discussion of our significant accounting policies, see Note 2 to the Company’s consolidated financial statements included in our 2019 Form 10-K. The most critical estimates include those used in determining</w:t>
      </w:r>
      <w:r>
        <w:rPr>
          <w:rFonts w:eastAsia="Times New Roman"/>
          <w:color w:val="000000"/>
          <w:sz w:val="20"/>
          <w:szCs w:val="20"/>
        </w:rPr>
        <w:t>:</w:t>
      </w:r>
    </w:p>
    <w:p w:rsidR="00000000" w:rsidRDefault="00775A8F">
      <w:pPr>
        <w:ind w:hanging="360"/>
        <w:jc w:val="both"/>
        <w:divId w:val="1027368074"/>
        <w:rPr>
          <w:rFonts w:eastAsia="Times New Roman"/>
        </w:rPr>
      </w:pPr>
      <w:r>
        <w:rPr>
          <w:rFonts w:eastAsia="Times New Roman"/>
          <w:color w:val="000000"/>
          <w:sz w:val="20"/>
          <w:szCs w:val="20"/>
        </w:rPr>
        <w:t>•</w:t>
      </w:r>
      <w:r>
        <w:rPr>
          <w:rFonts w:eastAsia="Times New Roman"/>
          <w:color w:val="000000"/>
          <w:sz w:val="20"/>
          <w:szCs w:val="20"/>
        </w:rPr>
        <w:t>liabilities for future policy b</w:t>
      </w:r>
      <w:r>
        <w:rPr>
          <w:rFonts w:eastAsia="Times New Roman"/>
          <w:color w:val="000000"/>
          <w:sz w:val="20"/>
          <w:szCs w:val="20"/>
        </w:rPr>
        <w:t>enefits</w:t>
      </w:r>
      <w:r>
        <w:rPr>
          <w:rFonts w:eastAsia="Times New Roman"/>
          <w:color w:val="000000"/>
          <w:sz w:val="20"/>
          <w:szCs w:val="20"/>
        </w:rPr>
        <w:t>;</w:t>
      </w:r>
    </w:p>
    <w:p w:rsidR="00000000" w:rsidRDefault="00775A8F">
      <w:pPr>
        <w:ind w:hanging="360"/>
        <w:jc w:val="both"/>
        <w:divId w:val="816066268"/>
        <w:rPr>
          <w:rFonts w:eastAsia="Times New Roman"/>
        </w:rPr>
      </w:pPr>
      <w:r>
        <w:rPr>
          <w:rFonts w:eastAsia="Times New Roman"/>
          <w:color w:val="000000"/>
          <w:sz w:val="20"/>
          <w:szCs w:val="20"/>
        </w:rPr>
        <w:t>•</w:t>
      </w:r>
      <w:r>
        <w:rPr>
          <w:rFonts w:eastAsia="Times New Roman"/>
          <w:color w:val="000000"/>
          <w:sz w:val="20"/>
          <w:szCs w:val="20"/>
        </w:rPr>
        <w:t>accounting for reinsurance</w:t>
      </w:r>
      <w:r>
        <w:rPr>
          <w:rFonts w:eastAsia="Times New Roman"/>
          <w:color w:val="000000"/>
          <w:sz w:val="20"/>
          <w:szCs w:val="20"/>
        </w:rPr>
        <w:t>;</w:t>
      </w:r>
    </w:p>
    <w:p w:rsidR="00000000" w:rsidRDefault="00775A8F">
      <w:pPr>
        <w:ind w:hanging="360"/>
        <w:jc w:val="both"/>
        <w:divId w:val="950743868"/>
        <w:rPr>
          <w:rFonts w:eastAsia="Times New Roman"/>
        </w:rPr>
      </w:pPr>
      <w:r>
        <w:rPr>
          <w:rFonts w:eastAsia="Times New Roman"/>
          <w:color w:val="000000"/>
          <w:sz w:val="20"/>
          <w:szCs w:val="20"/>
        </w:rPr>
        <w:t>•</w:t>
      </w:r>
      <w:r>
        <w:rPr>
          <w:rFonts w:eastAsia="Times New Roman"/>
          <w:color w:val="000000"/>
          <w:sz w:val="20"/>
          <w:szCs w:val="20"/>
        </w:rPr>
        <w:t>capitalization and amortization of DAC and policyholder bonus interest credits</w:t>
      </w:r>
      <w:r>
        <w:rPr>
          <w:rFonts w:eastAsia="Times New Roman"/>
          <w:color w:val="000000"/>
          <w:sz w:val="20"/>
          <w:szCs w:val="20"/>
        </w:rPr>
        <w:t>;</w:t>
      </w:r>
    </w:p>
    <w:p w:rsidR="00000000" w:rsidRDefault="00775A8F">
      <w:pPr>
        <w:ind w:hanging="360"/>
        <w:jc w:val="both"/>
        <w:divId w:val="598493025"/>
        <w:rPr>
          <w:rFonts w:eastAsia="Times New Roman"/>
        </w:rPr>
      </w:pPr>
      <w:r>
        <w:rPr>
          <w:rFonts w:eastAsia="Times New Roman"/>
          <w:color w:val="000000"/>
          <w:sz w:val="20"/>
          <w:szCs w:val="20"/>
        </w:rPr>
        <w:t>•</w:t>
      </w:r>
      <w:r>
        <w:rPr>
          <w:rFonts w:eastAsia="Times New Roman"/>
          <w:color w:val="000000"/>
          <w:sz w:val="20"/>
          <w:szCs w:val="20"/>
        </w:rPr>
        <w:t>estimated fair values of investments in the absence of quoted market values and investment impairments</w:t>
      </w:r>
      <w:r>
        <w:rPr>
          <w:rFonts w:eastAsia="Times New Roman"/>
          <w:color w:val="000000"/>
          <w:sz w:val="20"/>
          <w:szCs w:val="20"/>
        </w:rPr>
        <w:t>;</w:t>
      </w:r>
    </w:p>
    <w:p w:rsidR="00000000" w:rsidRDefault="00775A8F">
      <w:pPr>
        <w:jc w:val="center"/>
        <w:divId w:val="1951281809"/>
        <w:rPr>
          <w:rFonts w:eastAsia="Times New Roman"/>
        </w:rPr>
      </w:pPr>
      <w:r>
        <w:rPr>
          <w:rFonts w:eastAsia="Times New Roman"/>
          <w:color w:val="000000"/>
          <w:sz w:val="20"/>
          <w:szCs w:val="20"/>
        </w:rPr>
        <w:t>10</w:t>
      </w:r>
      <w:r>
        <w:rPr>
          <w:rFonts w:eastAsia="Times New Roman"/>
          <w:color w:val="000000"/>
          <w:sz w:val="20"/>
          <w:szCs w:val="20"/>
        </w:rPr>
        <w:t>5</w:t>
      </w:r>
    </w:p>
    <w:p w:rsidR="00000000" w:rsidRDefault="00775A8F">
      <w:pPr>
        <w:rPr>
          <w:rFonts w:eastAsia="Times New Roman"/>
        </w:rPr>
      </w:pPr>
      <w:r>
        <w:rPr>
          <w:rFonts w:eastAsia="Times New Roman"/>
        </w:rPr>
        <w:pict>
          <v:rect id="_x0000_i1131" style="width:0;height:1.5pt" o:hralign="center" o:hrstd="t" o:hr="t" fillcolor="#a0a0a0" stroked="f"/>
        </w:pict>
      </w:r>
    </w:p>
    <w:p w:rsidR="00000000" w:rsidRDefault="00775A8F">
      <w:pPr>
        <w:divId w:val="1714842244"/>
        <w:rPr>
          <w:rFonts w:eastAsia="Times New Roman"/>
        </w:rPr>
      </w:pPr>
    </w:p>
    <w:p w:rsidR="00000000" w:rsidRDefault="00775A8F">
      <w:pPr>
        <w:ind w:hanging="360"/>
        <w:jc w:val="both"/>
        <w:divId w:val="339889086"/>
        <w:rPr>
          <w:rFonts w:eastAsia="Times New Roman"/>
        </w:rPr>
      </w:pPr>
      <w:r>
        <w:rPr>
          <w:rFonts w:eastAsia="Times New Roman"/>
          <w:color w:val="000000"/>
          <w:sz w:val="20"/>
          <w:szCs w:val="20"/>
        </w:rPr>
        <w:t>•</w:t>
      </w:r>
      <w:r>
        <w:rPr>
          <w:rFonts w:eastAsia="Times New Roman"/>
          <w:color w:val="000000"/>
          <w:sz w:val="20"/>
          <w:szCs w:val="20"/>
        </w:rPr>
        <w:t>estimated fair values of freestanding derivatives and the recognition and estimated fair value of embedded de</w:t>
      </w:r>
      <w:r>
        <w:rPr>
          <w:rFonts w:eastAsia="Times New Roman"/>
          <w:color w:val="000000"/>
          <w:sz w:val="20"/>
          <w:szCs w:val="20"/>
        </w:rPr>
        <w:t>rivatives requiring bifurcation</w:t>
      </w:r>
      <w:r>
        <w:rPr>
          <w:rFonts w:eastAsia="Times New Roman"/>
          <w:color w:val="000000"/>
          <w:sz w:val="20"/>
          <w:szCs w:val="20"/>
        </w:rPr>
        <w:t>;</w:t>
      </w:r>
    </w:p>
    <w:p w:rsidR="00000000" w:rsidRDefault="00775A8F">
      <w:pPr>
        <w:ind w:hanging="360"/>
        <w:jc w:val="both"/>
        <w:divId w:val="1279218205"/>
        <w:rPr>
          <w:rFonts w:eastAsia="Times New Roman"/>
        </w:rPr>
      </w:pPr>
      <w:r>
        <w:rPr>
          <w:rFonts w:eastAsia="Times New Roman"/>
          <w:color w:val="000000"/>
          <w:sz w:val="20"/>
          <w:szCs w:val="20"/>
        </w:rPr>
        <w:t>•</w:t>
      </w:r>
      <w:r>
        <w:rPr>
          <w:rFonts w:eastAsia="Times New Roman"/>
          <w:color w:val="000000"/>
          <w:sz w:val="20"/>
          <w:szCs w:val="20"/>
        </w:rPr>
        <w:t>goodwill and related impairment</w:t>
      </w:r>
      <w:r>
        <w:rPr>
          <w:rFonts w:eastAsia="Times New Roman"/>
          <w:color w:val="000000"/>
          <w:sz w:val="20"/>
          <w:szCs w:val="20"/>
        </w:rPr>
        <w:t>;</w:t>
      </w:r>
    </w:p>
    <w:p w:rsidR="00000000" w:rsidRDefault="00775A8F">
      <w:pPr>
        <w:ind w:hanging="360"/>
        <w:jc w:val="both"/>
        <w:divId w:val="875626657"/>
        <w:rPr>
          <w:rFonts w:eastAsia="Times New Roman"/>
        </w:rPr>
      </w:pPr>
      <w:r>
        <w:rPr>
          <w:rFonts w:eastAsia="Times New Roman"/>
          <w:color w:val="000000"/>
          <w:sz w:val="20"/>
          <w:szCs w:val="20"/>
        </w:rPr>
        <w:t>•</w:t>
      </w:r>
      <w:r>
        <w:rPr>
          <w:rFonts w:eastAsia="Times New Roman"/>
          <w:color w:val="000000"/>
          <w:sz w:val="20"/>
          <w:szCs w:val="20"/>
        </w:rPr>
        <w:t>measurement of income taxes and the valuation of deferred tax assets; an</w:t>
      </w:r>
      <w:r>
        <w:rPr>
          <w:rFonts w:eastAsia="Times New Roman"/>
          <w:color w:val="000000"/>
          <w:sz w:val="20"/>
          <w:szCs w:val="20"/>
        </w:rPr>
        <w:t>d</w:t>
      </w:r>
    </w:p>
    <w:p w:rsidR="00000000" w:rsidRDefault="00775A8F">
      <w:pPr>
        <w:ind w:hanging="360"/>
        <w:divId w:val="678459467"/>
        <w:rPr>
          <w:rFonts w:eastAsia="Times New Roman"/>
        </w:rPr>
      </w:pPr>
      <w:r>
        <w:rPr>
          <w:rFonts w:eastAsia="Times New Roman"/>
          <w:color w:val="000000"/>
          <w:sz w:val="20"/>
          <w:szCs w:val="20"/>
        </w:rPr>
        <w:t>•</w:t>
      </w:r>
      <w:r>
        <w:rPr>
          <w:rFonts w:eastAsia="Times New Roman"/>
          <w:color w:val="000000"/>
          <w:sz w:val="20"/>
          <w:szCs w:val="20"/>
        </w:rPr>
        <w:t>liabilities for litigation and regulatory matters</w:t>
      </w:r>
      <w:r>
        <w:rPr>
          <w:rFonts w:eastAsia="Times New Roman"/>
          <w:color w:val="000000"/>
          <w:sz w:val="20"/>
          <w:szCs w:val="20"/>
        </w:rPr>
        <w:t>.</w:t>
      </w:r>
    </w:p>
    <w:p w:rsidR="00000000" w:rsidRDefault="00775A8F">
      <w:pPr>
        <w:ind w:firstLine="360"/>
        <w:divId w:val="164589625"/>
        <w:rPr>
          <w:rFonts w:eastAsia="Times New Roman"/>
        </w:rPr>
      </w:pPr>
      <w:r>
        <w:rPr>
          <w:rFonts w:eastAsia="Times New Roman"/>
          <w:color w:val="000000"/>
          <w:sz w:val="20"/>
          <w:szCs w:val="20"/>
        </w:rPr>
        <w:t>In applying our accounting policies, we make subjective and co</w:t>
      </w:r>
      <w:r>
        <w:rPr>
          <w:rFonts w:eastAsia="Times New Roman"/>
          <w:color w:val="000000"/>
          <w:sz w:val="20"/>
          <w:szCs w:val="20"/>
        </w:rPr>
        <w:t>mplex judgments that frequently require estimates about matters that are inherently uncertain. Many of these policies, estimates and related judgments are common in the insurance and financial services industries while others are specific to our business a</w:t>
      </w:r>
      <w:r>
        <w:rPr>
          <w:rFonts w:eastAsia="Times New Roman"/>
          <w:color w:val="000000"/>
          <w:sz w:val="20"/>
          <w:szCs w:val="20"/>
        </w:rPr>
        <w:t>nd operations. Actual results could differ from these estimates</w:t>
      </w:r>
      <w:r>
        <w:rPr>
          <w:rFonts w:eastAsia="Times New Roman"/>
          <w:color w:val="000000"/>
          <w:sz w:val="20"/>
          <w:szCs w:val="20"/>
        </w:rPr>
        <w:t>.</w:t>
      </w:r>
    </w:p>
    <w:p w:rsidR="00000000" w:rsidRDefault="00775A8F">
      <w:pPr>
        <w:divId w:val="1571769112"/>
        <w:rPr>
          <w:rFonts w:eastAsia="Times New Roman"/>
        </w:rPr>
      </w:pPr>
      <w:r>
        <w:rPr>
          <w:rFonts w:eastAsia="Times New Roman"/>
          <w:b/>
          <w:bCs/>
          <w:color w:val="000000"/>
          <w:sz w:val="20"/>
          <w:szCs w:val="20"/>
        </w:rPr>
        <w:t>Item 3.   Quantitative and Qualitative Disclosures About Market Risk</w:t>
      </w:r>
      <w:r>
        <w:rPr>
          <w:rFonts w:eastAsia="Times New Roman"/>
          <w:b/>
          <w:bCs/>
          <w:color w:val="000000"/>
          <w:sz w:val="20"/>
          <w:szCs w:val="20"/>
        </w:rPr>
        <w:t xml:space="preserve"> </w:t>
      </w:r>
    </w:p>
    <w:p w:rsidR="00000000" w:rsidRDefault="00775A8F">
      <w:pPr>
        <w:ind w:firstLine="360"/>
        <w:divId w:val="33966161"/>
        <w:rPr>
          <w:rFonts w:eastAsia="Times New Roman"/>
        </w:rPr>
      </w:pPr>
      <w:r>
        <w:rPr>
          <w:rFonts w:eastAsia="Times New Roman"/>
          <w:color w:val="000000"/>
          <w:sz w:val="20"/>
          <w:szCs w:val="20"/>
        </w:rPr>
        <w:t>There have been no material changes to the quantitative and qualitative disclosures about market risk described in the An</w:t>
      </w:r>
      <w:r>
        <w:rPr>
          <w:rFonts w:eastAsia="Times New Roman"/>
          <w:color w:val="000000"/>
          <w:sz w:val="20"/>
          <w:szCs w:val="20"/>
        </w:rPr>
        <w:t>nual Report on Form 10-K for the year ended December 31, 2019 in “Quantitative and Qualitative Disclosures Ab</w:t>
      </w:r>
      <w:r>
        <w:rPr>
          <w:rFonts w:eastAsia="Times New Roman"/>
          <w:color w:val="000000"/>
          <w:sz w:val="20"/>
          <w:szCs w:val="20"/>
        </w:rPr>
        <w:t>o</w:t>
      </w:r>
      <w:r>
        <w:rPr>
          <w:rFonts w:eastAsia="Times New Roman"/>
          <w:color w:val="000000"/>
          <w:sz w:val="20"/>
          <w:szCs w:val="20"/>
          <w:shd w:val="clear" w:color="auto" w:fill="FFFFFF"/>
        </w:rPr>
        <w:t>ut Market Risk”, with the exception of sensitivity of certain of our derivative financial instruments to changes in equity prices. The change in f</w:t>
      </w:r>
      <w:r>
        <w:rPr>
          <w:rFonts w:eastAsia="Times New Roman"/>
          <w:color w:val="000000"/>
          <w:sz w:val="20"/>
          <w:szCs w:val="20"/>
          <w:shd w:val="clear" w:color="auto" w:fill="FFFFFF"/>
        </w:rPr>
        <w:t>air value of these derivatives following a ten percent decline in equity prices as of</w:t>
      </w:r>
      <w:r>
        <w:rPr>
          <w:rFonts w:eastAsia="Times New Roman"/>
          <w:color w:val="000000"/>
          <w:sz w:val="20"/>
          <w:szCs w:val="20"/>
          <w:shd w:val="clear" w:color="auto" w:fill="FFFFFF"/>
        </w:rPr>
        <w:t xml:space="preserve"> </w:t>
      </w:r>
      <w:r>
        <w:rPr>
          <w:rFonts w:eastAsia="Times New Roman"/>
          <w:color w:val="000000"/>
          <w:sz w:val="20"/>
          <w:szCs w:val="20"/>
        </w:rPr>
        <w:t>December 31, 201</w:t>
      </w:r>
      <w:r>
        <w:rPr>
          <w:rFonts w:eastAsia="Times New Roman"/>
          <w:color w:val="000000"/>
          <w:sz w:val="20"/>
          <w:szCs w:val="20"/>
        </w:rPr>
        <w:t>9</w:t>
      </w:r>
      <w:r>
        <w:rPr>
          <w:rFonts w:eastAsia="Times New Roman"/>
          <w:color w:val="000000"/>
          <w:sz w:val="20"/>
          <w:szCs w:val="20"/>
          <w:shd w:val="clear" w:color="auto" w:fill="FFFFFF"/>
        </w:rPr>
        <w:t xml:space="preserve"> changed as follows: (a) the fair value of futures increased by $462 million, from a decline of $231 million, to an increase of $231 million; (b) the fai</w:t>
      </w:r>
      <w:r>
        <w:rPr>
          <w:rFonts w:eastAsia="Times New Roman"/>
          <w:color w:val="000000"/>
          <w:sz w:val="20"/>
          <w:szCs w:val="20"/>
          <w:shd w:val="clear" w:color="auto" w:fill="FFFFFF"/>
        </w:rPr>
        <w:t>r value of swaps increased by $3.5 billion, from a decrease of $2.0 billion to an increase of $1.5 billion; and (c) the fair value of options decreased by $1.7 billion, from an increase of $4.1 billion to an increase of $2.4 billion.</w:t>
      </w:r>
    </w:p>
    <w:p w:rsidR="00000000" w:rsidRDefault="00775A8F">
      <w:pPr>
        <w:divId w:val="1485926506"/>
        <w:rPr>
          <w:rFonts w:eastAsia="Times New Roman"/>
        </w:rPr>
      </w:pPr>
      <w:r>
        <w:rPr>
          <w:rFonts w:eastAsia="Times New Roman"/>
          <w:b/>
          <w:bCs/>
          <w:color w:val="000000"/>
          <w:sz w:val="20"/>
          <w:szCs w:val="20"/>
        </w:rPr>
        <w:t xml:space="preserve">Item 4.  Controls and </w:t>
      </w:r>
      <w:r>
        <w:rPr>
          <w:rFonts w:eastAsia="Times New Roman"/>
          <w:b/>
          <w:bCs/>
          <w:color w:val="000000"/>
          <w:sz w:val="20"/>
          <w:szCs w:val="20"/>
        </w:rPr>
        <w:t>Procedures</w:t>
      </w:r>
      <w:r>
        <w:rPr>
          <w:rFonts w:eastAsia="Times New Roman"/>
          <w:b/>
          <w:bCs/>
          <w:color w:val="000000"/>
          <w:sz w:val="20"/>
          <w:szCs w:val="20"/>
        </w:rPr>
        <w:t xml:space="preserve"> </w:t>
      </w:r>
    </w:p>
    <w:p w:rsidR="00000000" w:rsidRDefault="00775A8F">
      <w:pPr>
        <w:divId w:val="1270360080"/>
        <w:rPr>
          <w:rFonts w:eastAsia="Times New Roman"/>
        </w:rPr>
      </w:pPr>
      <w:r>
        <w:rPr>
          <w:rFonts w:eastAsia="Times New Roman"/>
          <w:b/>
          <w:bCs/>
          <w:color w:val="000000"/>
          <w:sz w:val="20"/>
          <w:szCs w:val="20"/>
        </w:rPr>
        <w:t>Evaluation of Disclosure Controls and Procedure</w:t>
      </w:r>
      <w:r>
        <w:rPr>
          <w:rFonts w:eastAsia="Times New Roman"/>
          <w:b/>
          <w:bCs/>
          <w:color w:val="000000"/>
          <w:sz w:val="20"/>
          <w:szCs w:val="20"/>
        </w:rPr>
        <w:t>s</w:t>
      </w:r>
    </w:p>
    <w:p w:rsidR="00000000" w:rsidRDefault="00775A8F">
      <w:pPr>
        <w:ind w:firstLine="360"/>
        <w:divId w:val="14423484"/>
        <w:rPr>
          <w:rFonts w:eastAsia="Times New Roman"/>
        </w:rPr>
      </w:pPr>
      <w:r>
        <w:rPr>
          <w:rFonts w:eastAsia="Times New Roman"/>
          <w:color w:val="000000"/>
          <w:sz w:val="20"/>
          <w:szCs w:val="20"/>
        </w:rPr>
        <w:t>The management of the Company, with the participation of the Company’s Chief Executive Officer (CEO) and Chief Financial Officer (CFO), has evaluated the effectiveness of the Company’s disclosure</w:t>
      </w:r>
      <w:r>
        <w:rPr>
          <w:rFonts w:eastAsia="Times New Roman"/>
          <w:color w:val="000000"/>
          <w:sz w:val="20"/>
          <w:szCs w:val="20"/>
        </w:rPr>
        <w:t xml:space="preserve"> controls and procedures (as defined in Rule 13a-15(e) under the Securities Exchange Act of 1934, as amended) as of June 30, 2020. This evaluation is performed to determine if our disclosure controls and procedures are effective to provide reasonable assur</w:t>
      </w:r>
      <w:r>
        <w:rPr>
          <w:rFonts w:eastAsia="Times New Roman"/>
          <w:color w:val="000000"/>
          <w:sz w:val="20"/>
          <w:szCs w:val="20"/>
        </w:rPr>
        <w:t>ance that information required to be disclosed by the Company in the reports that it files or submits under the Securities and Exchange Act of 1934, as amended, is accumulated and communicated to management, including the Company’s CEO and CFO, as appropri</w:t>
      </w:r>
      <w:r>
        <w:rPr>
          <w:rFonts w:eastAsia="Times New Roman"/>
          <w:color w:val="000000"/>
          <w:sz w:val="20"/>
          <w:szCs w:val="20"/>
        </w:rPr>
        <w:t>ate, to allow timely decisions regarding required disclosure and are effective to provide reasonable assurance that such information is recorded, processed, summarized and reported within the time periods specified by the Securities and Exchange Commission</w:t>
      </w:r>
      <w:r>
        <w:rPr>
          <w:rFonts w:eastAsia="Times New Roman"/>
          <w:color w:val="000000"/>
          <w:sz w:val="20"/>
          <w:szCs w:val="20"/>
        </w:rPr>
        <w:t>’s rules and forms</w:t>
      </w:r>
      <w:r>
        <w:rPr>
          <w:rFonts w:eastAsia="Times New Roman"/>
          <w:color w:val="000000"/>
          <w:sz w:val="20"/>
          <w:szCs w:val="20"/>
        </w:rPr>
        <w:t>.</w:t>
      </w:r>
    </w:p>
    <w:p w:rsidR="00000000" w:rsidRDefault="00775A8F">
      <w:pPr>
        <w:ind w:firstLine="360"/>
        <w:divId w:val="1382554199"/>
        <w:rPr>
          <w:rFonts w:eastAsia="Times New Roman"/>
        </w:rPr>
      </w:pPr>
      <w:r>
        <w:rPr>
          <w:rFonts w:eastAsia="Times New Roman"/>
          <w:color w:val="000000"/>
          <w:sz w:val="20"/>
          <w:szCs w:val="20"/>
        </w:rPr>
        <w:t>Due to the material weakness described below, the Company’s CEO and CFO, concluded that the Company’s disclosure controls and procedures were not effective as of June 30, 2020</w:t>
      </w:r>
      <w:r>
        <w:rPr>
          <w:rFonts w:eastAsia="Times New Roman"/>
          <w:color w:val="000000"/>
          <w:sz w:val="20"/>
          <w:szCs w:val="20"/>
        </w:rPr>
        <w:t>.</w:t>
      </w:r>
    </w:p>
    <w:p w:rsidR="00000000" w:rsidRDefault="00775A8F">
      <w:pPr>
        <w:ind w:firstLine="360"/>
        <w:divId w:val="2064791449"/>
        <w:rPr>
          <w:rFonts w:eastAsia="Times New Roman"/>
        </w:rPr>
      </w:pPr>
      <w:r>
        <w:rPr>
          <w:rFonts w:eastAsia="Times New Roman"/>
          <w:color w:val="000000"/>
          <w:sz w:val="20"/>
          <w:szCs w:val="20"/>
        </w:rPr>
        <w:t>As previously reported, the Company identified a material w</w:t>
      </w:r>
      <w:r>
        <w:rPr>
          <w:rFonts w:eastAsia="Times New Roman"/>
          <w:color w:val="000000"/>
          <w:sz w:val="20"/>
          <w:szCs w:val="20"/>
        </w:rPr>
        <w:t>eakness in the design and operation of the Company’s internal control over financial reporting. A material weakness is a deficiency, or a combination of deficiencies, in internal control over financial reporting, such that there is a reasonable possibility</w:t>
      </w:r>
      <w:r>
        <w:rPr>
          <w:rFonts w:eastAsia="Times New Roman"/>
          <w:color w:val="000000"/>
          <w:sz w:val="20"/>
          <w:szCs w:val="20"/>
        </w:rPr>
        <w:t xml:space="preserve"> that a material misstatement of a company’s annual or interim financial statements will not be prevented or detected on a timely basis. The Company’s management, including the Company’s CEO and CFO, have concluded that we do not maintain effective control</w:t>
      </w:r>
      <w:r>
        <w:rPr>
          <w:rFonts w:eastAsia="Times New Roman"/>
          <w:color w:val="000000"/>
          <w:sz w:val="20"/>
          <w:szCs w:val="20"/>
        </w:rPr>
        <w:t>s to timely validate that actuarial models are properly configured to capture all relevant product features and provide reasonable assurance timely reviews of assumptions and data have occurred, and, as a result, errors were identified in future policyhold</w:t>
      </w:r>
      <w:r>
        <w:rPr>
          <w:rFonts w:eastAsia="Times New Roman"/>
          <w:color w:val="000000"/>
          <w:sz w:val="20"/>
          <w:szCs w:val="20"/>
        </w:rPr>
        <w:t>ers’ benefits and deferred policy acquisition costs balances</w:t>
      </w:r>
      <w:r>
        <w:rPr>
          <w:rFonts w:eastAsia="Times New Roman"/>
          <w:color w:val="000000"/>
          <w:sz w:val="20"/>
          <w:szCs w:val="20"/>
        </w:rPr>
        <w:t>.</w:t>
      </w:r>
    </w:p>
    <w:p w:rsidR="00000000" w:rsidRDefault="00775A8F">
      <w:pPr>
        <w:ind w:firstLine="360"/>
        <w:divId w:val="261690902"/>
        <w:rPr>
          <w:rFonts w:eastAsia="Times New Roman"/>
        </w:rPr>
      </w:pPr>
      <w:r>
        <w:rPr>
          <w:rFonts w:eastAsia="Times New Roman"/>
          <w:color w:val="000000"/>
          <w:sz w:val="20"/>
          <w:szCs w:val="20"/>
        </w:rPr>
        <w:t>This material weakness resulted in misstatements in the Company’s previously issued annual and interim financial statements and resulted in</w:t>
      </w:r>
      <w:r>
        <w:rPr>
          <w:rFonts w:eastAsia="Times New Roman"/>
          <w:color w:val="000000"/>
          <w:sz w:val="20"/>
          <w:szCs w:val="20"/>
        </w:rPr>
        <w:t>:</w:t>
      </w:r>
    </w:p>
    <w:p w:rsidR="00000000" w:rsidRDefault="00775A8F">
      <w:pPr>
        <w:ind w:hanging="360"/>
        <w:jc w:val="both"/>
        <w:divId w:val="1501506229"/>
        <w:rPr>
          <w:rFonts w:eastAsia="Times New Roman"/>
        </w:rPr>
      </w:pPr>
      <w:r>
        <w:rPr>
          <w:rFonts w:eastAsia="Times New Roman"/>
          <w:color w:val="000000"/>
          <w:sz w:val="20"/>
          <w:szCs w:val="20"/>
        </w:rPr>
        <w:t>(i)  the revision of the interim financial statements</w:t>
      </w:r>
      <w:r>
        <w:rPr>
          <w:rFonts w:eastAsia="Times New Roman"/>
          <w:color w:val="000000"/>
          <w:sz w:val="20"/>
          <w:szCs w:val="20"/>
        </w:rPr>
        <w:t xml:space="preserve"> for the nine, six, and three months ended September 30, June 30, and March 31, 2018 and 2017, respectively, and the annual financial statements for the year ended December 31, 2017</w:t>
      </w:r>
      <w:r>
        <w:rPr>
          <w:rFonts w:eastAsia="Times New Roman"/>
          <w:color w:val="000000"/>
          <w:sz w:val="20"/>
          <w:szCs w:val="20"/>
        </w:rPr>
        <w:t>;</w:t>
      </w:r>
    </w:p>
    <w:p w:rsidR="00000000" w:rsidRDefault="00775A8F">
      <w:pPr>
        <w:ind w:hanging="360"/>
        <w:jc w:val="both"/>
        <w:divId w:val="31421645"/>
        <w:rPr>
          <w:rFonts w:eastAsia="Times New Roman"/>
        </w:rPr>
      </w:pPr>
      <w:r>
        <w:rPr>
          <w:rFonts w:eastAsia="Times New Roman"/>
          <w:color w:val="000000"/>
          <w:sz w:val="20"/>
          <w:szCs w:val="20"/>
        </w:rPr>
        <w:t>(ii)  the amended restatement of the interim financial statements for the</w:t>
      </w:r>
      <w:r>
        <w:rPr>
          <w:rFonts w:eastAsia="Times New Roman"/>
          <w:color w:val="000000"/>
          <w:sz w:val="20"/>
          <w:szCs w:val="20"/>
        </w:rPr>
        <w:t xml:space="preserve"> nine months ended September 30, 2017 and the six months ended June 30, 2017, and the year ended December 31, 2016 and revisions for the six and three months ended June 30, 2018 and March 31, 2018, respectively, and the three months ended March 31, 2017 an</w:t>
      </w:r>
      <w:r>
        <w:rPr>
          <w:rFonts w:eastAsia="Times New Roman"/>
          <w:color w:val="000000"/>
          <w:sz w:val="20"/>
          <w:szCs w:val="20"/>
        </w:rPr>
        <w:t>d the years ended December 31, 2017, 2015, 2014, and 2013, respectively</w:t>
      </w:r>
      <w:r>
        <w:rPr>
          <w:rFonts w:eastAsia="Times New Roman"/>
          <w:color w:val="000000"/>
          <w:sz w:val="20"/>
          <w:szCs w:val="20"/>
        </w:rPr>
        <w:t>;</w:t>
      </w:r>
    </w:p>
    <w:p w:rsidR="00000000" w:rsidRDefault="00775A8F">
      <w:pPr>
        <w:jc w:val="center"/>
        <w:divId w:val="307517891"/>
        <w:rPr>
          <w:rFonts w:eastAsia="Times New Roman"/>
        </w:rPr>
      </w:pPr>
      <w:r>
        <w:rPr>
          <w:rFonts w:eastAsia="Times New Roman"/>
          <w:color w:val="000000"/>
          <w:sz w:val="20"/>
          <w:szCs w:val="20"/>
        </w:rPr>
        <w:t>10</w:t>
      </w:r>
      <w:r>
        <w:rPr>
          <w:rFonts w:eastAsia="Times New Roman"/>
          <w:color w:val="000000"/>
          <w:sz w:val="20"/>
          <w:szCs w:val="20"/>
        </w:rPr>
        <w:t>6</w:t>
      </w:r>
    </w:p>
    <w:p w:rsidR="00000000" w:rsidRDefault="00775A8F">
      <w:pPr>
        <w:rPr>
          <w:rFonts w:eastAsia="Times New Roman"/>
        </w:rPr>
      </w:pPr>
      <w:r>
        <w:rPr>
          <w:rFonts w:eastAsia="Times New Roman"/>
        </w:rPr>
        <w:pict>
          <v:rect id="_x0000_i1132" style="width:0;height:1.5pt" o:hralign="center" o:hrstd="t" o:hr="t" fillcolor="#a0a0a0" stroked="f"/>
        </w:pict>
      </w:r>
    </w:p>
    <w:p w:rsidR="00000000" w:rsidRDefault="00775A8F">
      <w:pPr>
        <w:divId w:val="370039589"/>
        <w:rPr>
          <w:rFonts w:eastAsia="Times New Roman"/>
        </w:rPr>
      </w:pPr>
    </w:p>
    <w:p w:rsidR="00000000" w:rsidRDefault="00775A8F">
      <w:pPr>
        <w:ind w:hanging="360"/>
        <w:jc w:val="both"/>
        <w:divId w:val="1825856141"/>
        <w:rPr>
          <w:rFonts w:eastAsia="Times New Roman"/>
        </w:rPr>
      </w:pPr>
      <w:r>
        <w:rPr>
          <w:rFonts w:eastAsia="Times New Roman"/>
          <w:color w:val="000000"/>
          <w:sz w:val="20"/>
          <w:szCs w:val="20"/>
        </w:rPr>
        <w:t>(iii)  the revision of the annual financial statements for the year ended December 31, 2017 and amended the restated annual financial statem</w:t>
      </w:r>
      <w:r>
        <w:rPr>
          <w:rFonts w:eastAsia="Times New Roman"/>
          <w:color w:val="000000"/>
          <w:sz w:val="20"/>
          <w:szCs w:val="20"/>
        </w:rPr>
        <w:t>ents for the year ended December 31, 2016, and amended the restated interim financial statements for the nine and six months ended September 30, 2017, and June 30, 2017, respectively</w:t>
      </w:r>
      <w:r>
        <w:rPr>
          <w:rFonts w:eastAsia="Times New Roman"/>
          <w:color w:val="000000"/>
          <w:sz w:val="20"/>
          <w:szCs w:val="20"/>
        </w:rPr>
        <w:t>;</w:t>
      </w:r>
    </w:p>
    <w:p w:rsidR="00000000" w:rsidRDefault="00775A8F">
      <w:pPr>
        <w:ind w:hanging="360"/>
        <w:jc w:val="both"/>
        <w:divId w:val="135731482"/>
        <w:rPr>
          <w:rFonts w:eastAsia="Times New Roman"/>
        </w:rPr>
      </w:pPr>
      <w:r>
        <w:rPr>
          <w:rFonts w:eastAsia="Times New Roman"/>
          <w:color w:val="000000"/>
          <w:sz w:val="20"/>
          <w:szCs w:val="20"/>
        </w:rPr>
        <w:t>(iv) the restatements of the interim financial statements for the nine a</w:t>
      </w:r>
      <w:r>
        <w:rPr>
          <w:rFonts w:eastAsia="Times New Roman"/>
          <w:color w:val="000000"/>
          <w:sz w:val="20"/>
          <w:szCs w:val="20"/>
        </w:rPr>
        <w:t>nd six months ended September 30, 2017 and June 30, 2017, respectively, the restatement of the annual financial statements for the year ended December 31, 2016, the revision of the interim financial statements for the nine and six months ended September 30</w:t>
      </w:r>
      <w:r>
        <w:rPr>
          <w:rFonts w:eastAsia="Times New Roman"/>
          <w:color w:val="000000"/>
          <w:sz w:val="20"/>
          <w:szCs w:val="20"/>
        </w:rPr>
        <w:t>, 2016 and June 30, 2016, respectively, and the revision of the annual financial statements for the year ended December 31, 2015; an</w:t>
      </w:r>
      <w:r>
        <w:rPr>
          <w:rFonts w:eastAsia="Times New Roman"/>
          <w:color w:val="000000"/>
          <w:sz w:val="20"/>
          <w:szCs w:val="20"/>
        </w:rPr>
        <w:t>d</w:t>
      </w:r>
    </w:p>
    <w:p w:rsidR="00000000" w:rsidRDefault="00775A8F">
      <w:pPr>
        <w:ind w:hanging="360"/>
        <w:jc w:val="both"/>
        <w:divId w:val="298800939"/>
        <w:rPr>
          <w:rFonts w:eastAsia="Times New Roman"/>
        </w:rPr>
      </w:pPr>
      <w:r>
        <w:rPr>
          <w:rFonts w:eastAsia="Times New Roman"/>
          <w:color w:val="000000"/>
          <w:sz w:val="20"/>
          <w:szCs w:val="20"/>
        </w:rPr>
        <w:t>(v) the restatement of the interim financial statements for the six months ended June 30, 2017 and the revision of the ann</w:t>
      </w:r>
      <w:r>
        <w:rPr>
          <w:rFonts w:eastAsia="Times New Roman"/>
          <w:color w:val="000000"/>
          <w:sz w:val="20"/>
          <w:szCs w:val="20"/>
        </w:rPr>
        <w:t>ual financial statements for the years ended December 31, 2016, 2015 and 2014, respectively, and the interim financial statements for the six months ended June 30, 2016</w:t>
      </w:r>
      <w:r>
        <w:rPr>
          <w:rFonts w:eastAsia="Times New Roman"/>
          <w:color w:val="000000"/>
          <w:sz w:val="20"/>
          <w:szCs w:val="20"/>
        </w:rPr>
        <w:t>.</w:t>
      </w:r>
    </w:p>
    <w:p w:rsidR="00000000" w:rsidRDefault="00775A8F">
      <w:pPr>
        <w:ind w:firstLine="360"/>
        <w:divId w:val="830414821"/>
        <w:rPr>
          <w:rFonts w:eastAsia="Times New Roman"/>
        </w:rPr>
      </w:pPr>
      <w:r>
        <w:rPr>
          <w:rFonts w:eastAsia="Times New Roman"/>
          <w:color w:val="000000"/>
          <w:sz w:val="20"/>
          <w:szCs w:val="20"/>
        </w:rPr>
        <w:t>These revisions and restatements were directly related to the material weakness described above and not indicative of any new material weaknesses. Until remediated, there is a reasonable possibility that this material weakness could result in a material mi</w:t>
      </w:r>
      <w:r>
        <w:rPr>
          <w:rFonts w:eastAsia="Times New Roman"/>
          <w:color w:val="000000"/>
          <w:sz w:val="20"/>
          <w:szCs w:val="20"/>
        </w:rPr>
        <w:t>sstatement of the Company’s consolidated financial statements or disclosures that would not be prevented or detected</w:t>
      </w:r>
      <w:r>
        <w:rPr>
          <w:rFonts w:eastAsia="Times New Roman"/>
          <w:color w:val="000000"/>
          <w:sz w:val="20"/>
          <w:szCs w:val="20"/>
        </w:rPr>
        <w:t>.</w:t>
      </w:r>
    </w:p>
    <w:p w:rsidR="00000000" w:rsidRDefault="00775A8F">
      <w:pPr>
        <w:divId w:val="849372600"/>
        <w:rPr>
          <w:rFonts w:eastAsia="Times New Roman"/>
        </w:rPr>
      </w:pPr>
      <w:r>
        <w:rPr>
          <w:rFonts w:eastAsia="Times New Roman"/>
          <w:b/>
          <w:bCs/>
          <w:color w:val="000000"/>
          <w:sz w:val="20"/>
          <w:szCs w:val="20"/>
        </w:rPr>
        <w:t>Remediation Status of Material Weaknes</w:t>
      </w:r>
      <w:r>
        <w:rPr>
          <w:rFonts w:eastAsia="Times New Roman"/>
          <w:b/>
          <w:bCs/>
          <w:color w:val="000000"/>
          <w:sz w:val="20"/>
          <w:szCs w:val="20"/>
        </w:rPr>
        <w:t>s</w:t>
      </w:r>
    </w:p>
    <w:p w:rsidR="00000000" w:rsidRDefault="00775A8F">
      <w:pPr>
        <w:ind w:firstLine="360"/>
        <w:divId w:val="1860271475"/>
        <w:rPr>
          <w:rFonts w:eastAsia="Times New Roman"/>
        </w:rPr>
      </w:pPr>
      <w:r>
        <w:rPr>
          <w:rFonts w:eastAsia="Times New Roman"/>
          <w:color w:val="000000"/>
          <w:sz w:val="20"/>
          <w:szCs w:val="20"/>
        </w:rPr>
        <w:t>For the material weakness related to Actuarial Models, Assumptions and Data, management has implem</w:t>
      </w:r>
      <w:r>
        <w:rPr>
          <w:rFonts w:eastAsia="Times New Roman"/>
          <w:color w:val="000000"/>
          <w:sz w:val="20"/>
          <w:szCs w:val="20"/>
        </w:rPr>
        <w:t>ented and tested new or enhanced controls as described below but determined that further sustained operation is necessary</w:t>
      </w:r>
      <w:r>
        <w:rPr>
          <w:rFonts w:eastAsia="Times New Roman"/>
          <w:color w:val="000000"/>
          <w:sz w:val="20"/>
          <w:szCs w:val="20"/>
        </w:rPr>
        <w:t>.</w:t>
      </w:r>
    </w:p>
    <w:p w:rsidR="00000000" w:rsidRDefault="00775A8F">
      <w:pPr>
        <w:divId w:val="1373771617"/>
        <w:rPr>
          <w:rFonts w:eastAsia="Times New Roman"/>
        </w:rPr>
      </w:pPr>
      <w:r>
        <w:rPr>
          <w:rFonts w:eastAsia="Times New Roman"/>
          <w:b/>
          <w:bCs/>
          <w:i/>
          <w:iCs/>
          <w:color w:val="000000"/>
          <w:sz w:val="20"/>
          <w:szCs w:val="20"/>
        </w:rPr>
        <w:t>Remediation Activities:</w:t>
      </w:r>
      <w:r>
        <w:rPr>
          <w:rFonts w:eastAsia="Times New Roman"/>
          <w:b/>
          <w:bCs/>
          <w:i/>
          <w:iCs/>
          <w:color w:val="000000"/>
          <w:sz w:val="20"/>
          <w:szCs w:val="20"/>
        </w:rPr>
        <w:t xml:space="preserve"> </w:t>
      </w:r>
      <w:r>
        <w:rPr>
          <w:rFonts w:eastAsia="Times New Roman"/>
          <w:i/>
          <w:iCs/>
          <w:color w:val="000000"/>
          <w:sz w:val="20"/>
          <w:szCs w:val="20"/>
          <w:u w:val="single"/>
        </w:rPr>
        <w:t>Material Weakness Related to Actuarial Models, Assumptions and Dat</w:t>
      </w:r>
      <w:r>
        <w:rPr>
          <w:rFonts w:eastAsia="Times New Roman"/>
          <w:i/>
          <w:iCs/>
          <w:color w:val="000000"/>
          <w:sz w:val="20"/>
          <w:szCs w:val="20"/>
          <w:u w:val="single"/>
        </w:rPr>
        <w:t>a</w:t>
      </w:r>
    </w:p>
    <w:p w:rsidR="00000000" w:rsidRDefault="00775A8F">
      <w:pPr>
        <w:ind w:hanging="360"/>
        <w:jc w:val="both"/>
        <w:divId w:val="1715933129"/>
        <w:rPr>
          <w:rFonts w:eastAsia="Times New Roman"/>
        </w:rPr>
      </w:pPr>
      <w:r>
        <w:rPr>
          <w:rFonts w:eastAsia="Times New Roman"/>
          <w:color w:val="000000"/>
          <w:sz w:val="20"/>
          <w:szCs w:val="20"/>
        </w:rPr>
        <w:t>•</w:t>
      </w:r>
      <w:r>
        <w:rPr>
          <w:rFonts w:eastAsia="Times New Roman"/>
          <w:color w:val="000000"/>
          <w:sz w:val="20"/>
          <w:szCs w:val="20"/>
        </w:rPr>
        <w:t>We have designed, implemented and tested</w:t>
      </w:r>
      <w:r>
        <w:rPr>
          <w:rFonts w:eastAsia="Times New Roman"/>
          <w:color w:val="000000"/>
          <w:sz w:val="20"/>
          <w:szCs w:val="20"/>
        </w:rPr>
        <w:t xml:space="preserve"> an enhanced model validation control framework, including a rotational schedule to periodically re-validate all U.S. GAAP models</w:t>
      </w:r>
      <w:r>
        <w:rPr>
          <w:rFonts w:eastAsia="Times New Roman"/>
          <w:color w:val="000000"/>
          <w:sz w:val="20"/>
          <w:szCs w:val="20"/>
        </w:rPr>
        <w:t>.</w:t>
      </w:r>
    </w:p>
    <w:p w:rsidR="00000000" w:rsidRDefault="00775A8F">
      <w:pPr>
        <w:ind w:hanging="360"/>
        <w:jc w:val="both"/>
        <w:divId w:val="610816783"/>
        <w:rPr>
          <w:rFonts w:eastAsia="Times New Roman"/>
        </w:rPr>
      </w:pPr>
      <w:r>
        <w:rPr>
          <w:rFonts w:eastAsia="Times New Roman"/>
          <w:color w:val="000000"/>
          <w:sz w:val="20"/>
          <w:szCs w:val="20"/>
        </w:rPr>
        <w:t>•</w:t>
      </w:r>
      <w:r>
        <w:rPr>
          <w:rFonts w:eastAsia="Times New Roman"/>
          <w:color w:val="000000"/>
          <w:sz w:val="20"/>
          <w:szCs w:val="20"/>
        </w:rPr>
        <w:t>We have designed, implemented and tested enhanced controls and governance processes for new model implementations</w:t>
      </w:r>
      <w:r>
        <w:rPr>
          <w:rFonts w:eastAsia="Times New Roman"/>
          <w:color w:val="000000"/>
          <w:sz w:val="20"/>
          <w:szCs w:val="20"/>
        </w:rPr>
        <w:t>.</w:t>
      </w:r>
    </w:p>
    <w:p w:rsidR="00000000" w:rsidRDefault="00775A8F">
      <w:pPr>
        <w:ind w:hanging="360"/>
        <w:jc w:val="both"/>
        <w:divId w:val="414714879"/>
        <w:rPr>
          <w:rFonts w:eastAsia="Times New Roman"/>
        </w:rPr>
      </w:pPr>
      <w:r>
        <w:rPr>
          <w:rFonts w:eastAsia="Times New Roman"/>
          <w:color w:val="000000"/>
          <w:sz w:val="20"/>
          <w:szCs w:val="20"/>
        </w:rPr>
        <w:t>•</w:t>
      </w:r>
      <w:r>
        <w:rPr>
          <w:rFonts w:eastAsia="Times New Roman"/>
          <w:color w:val="000000"/>
          <w:sz w:val="20"/>
          <w:szCs w:val="20"/>
        </w:rPr>
        <w:t xml:space="preserve">We have </w:t>
      </w:r>
      <w:r>
        <w:rPr>
          <w:rFonts w:eastAsia="Times New Roman"/>
          <w:color w:val="000000"/>
          <w:sz w:val="20"/>
          <w:szCs w:val="20"/>
        </w:rPr>
        <w:t>designed, implemented and tested enhanced controls for model changes</w:t>
      </w:r>
      <w:r>
        <w:rPr>
          <w:rFonts w:eastAsia="Times New Roman"/>
          <w:color w:val="000000"/>
          <w:sz w:val="20"/>
          <w:szCs w:val="20"/>
        </w:rPr>
        <w:t>.</w:t>
      </w:r>
    </w:p>
    <w:p w:rsidR="00000000" w:rsidRDefault="00775A8F">
      <w:pPr>
        <w:ind w:hanging="360"/>
        <w:jc w:val="both"/>
        <w:divId w:val="1165436929"/>
        <w:rPr>
          <w:rFonts w:eastAsia="Times New Roman"/>
        </w:rPr>
      </w:pPr>
      <w:r>
        <w:rPr>
          <w:rFonts w:eastAsia="Times New Roman"/>
          <w:color w:val="000000"/>
          <w:sz w:val="20"/>
          <w:szCs w:val="20"/>
        </w:rPr>
        <w:t>•</w:t>
      </w:r>
      <w:r>
        <w:rPr>
          <w:rFonts w:eastAsia="Times New Roman"/>
          <w:color w:val="000000"/>
          <w:sz w:val="20"/>
          <w:szCs w:val="20"/>
        </w:rPr>
        <w:t>We have designed, implemented and tested enhanced controls over the annual assumption setting process, including a comprehensive master assumption inventory and risk framework</w:t>
      </w:r>
      <w:r>
        <w:rPr>
          <w:rFonts w:eastAsia="Times New Roman"/>
          <w:color w:val="000000"/>
          <w:sz w:val="20"/>
          <w:szCs w:val="20"/>
        </w:rPr>
        <w:t>.</w:t>
      </w:r>
    </w:p>
    <w:p w:rsidR="00000000" w:rsidRDefault="00775A8F">
      <w:pPr>
        <w:ind w:hanging="360"/>
        <w:jc w:val="both"/>
        <w:divId w:val="929386748"/>
        <w:rPr>
          <w:rFonts w:eastAsia="Times New Roman"/>
        </w:rPr>
      </w:pPr>
      <w:r>
        <w:rPr>
          <w:rFonts w:eastAsia="Times New Roman"/>
          <w:color w:val="000000"/>
          <w:sz w:val="20"/>
          <w:szCs w:val="20"/>
        </w:rPr>
        <w:t>•</w:t>
      </w:r>
      <w:r>
        <w:rPr>
          <w:rFonts w:eastAsia="Times New Roman"/>
          <w:color w:val="000000"/>
          <w:sz w:val="20"/>
          <w:szCs w:val="20"/>
        </w:rPr>
        <w:t>We have designed, implemented and tested new controls and are redesigning cert</w:t>
      </w:r>
      <w:r>
        <w:rPr>
          <w:rFonts w:eastAsia="Times New Roman"/>
          <w:color w:val="000000"/>
          <w:sz w:val="20"/>
          <w:szCs w:val="20"/>
        </w:rPr>
        <w:t>ain of these controls to validate the reliability of significant data flows feeding actuarial models and assumption</w:t>
      </w:r>
      <w:r>
        <w:rPr>
          <w:rFonts w:eastAsia="Times New Roman"/>
          <w:color w:val="000000"/>
          <w:sz w:val="20"/>
          <w:szCs w:val="20"/>
        </w:rPr>
        <w:t>s</w:t>
      </w:r>
    </w:p>
    <w:p w:rsidR="00000000" w:rsidRDefault="00775A8F">
      <w:pPr>
        <w:ind w:firstLine="360"/>
        <w:divId w:val="1960722253"/>
        <w:rPr>
          <w:rFonts w:eastAsia="Times New Roman"/>
        </w:rPr>
      </w:pPr>
      <w:r>
        <w:rPr>
          <w:rFonts w:eastAsia="Times New Roman"/>
          <w:color w:val="000000"/>
          <w:sz w:val="20"/>
          <w:szCs w:val="20"/>
        </w:rPr>
        <w:t xml:space="preserve">Second quarter 2020 controls have operated as designed. However, given that certain controls noted above have only operated effectively in </w:t>
      </w:r>
      <w:r>
        <w:rPr>
          <w:rFonts w:eastAsia="Times New Roman"/>
          <w:color w:val="000000"/>
          <w:sz w:val="20"/>
          <w:szCs w:val="20"/>
        </w:rPr>
        <w:t>one financial closing cycle during the year, and controls are still being redesigned, we have determined that further work and sustained operation is appropriate before concluding the controls are operationally effective</w:t>
      </w:r>
      <w:r>
        <w:rPr>
          <w:rFonts w:eastAsia="Times New Roman"/>
          <w:color w:val="000000"/>
          <w:sz w:val="20"/>
          <w:szCs w:val="20"/>
        </w:rPr>
        <w:t>.</w:t>
      </w:r>
    </w:p>
    <w:p w:rsidR="00000000" w:rsidRDefault="00775A8F">
      <w:pPr>
        <w:divId w:val="188570186"/>
        <w:rPr>
          <w:rFonts w:eastAsia="Times New Roman"/>
        </w:rPr>
      </w:pPr>
      <w:r>
        <w:rPr>
          <w:rFonts w:eastAsia="Times New Roman"/>
          <w:b/>
          <w:bCs/>
          <w:color w:val="000000"/>
          <w:sz w:val="20"/>
          <w:szCs w:val="20"/>
        </w:rPr>
        <w:t>Changes in Internal Control Over F</w:t>
      </w:r>
      <w:r>
        <w:rPr>
          <w:rFonts w:eastAsia="Times New Roman"/>
          <w:b/>
          <w:bCs/>
          <w:color w:val="000000"/>
          <w:sz w:val="20"/>
          <w:szCs w:val="20"/>
        </w:rPr>
        <w:t>inancial Reportin</w:t>
      </w:r>
      <w:r>
        <w:rPr>
          <w:rFonts w:eastAsia="Times New Roman"/>
          <w:b/>
          <w:bCs/>
          <w:color w:val="000000"/>
          <w:sz w:val="20"/>
          <w:szCs w:val="20"/>
        </w:rPr>
        <w:t>g</w:t>
      </w:r>
    </w:p>
    <w:p w:rsidR="00000000" w:rsidRDefault="00775A8F">
      <w:pPr>
        <w:divId w:val="1583562405"/>
        <w:rPr>
          <w:rFonts w:eastAsia="Times New Roman"/>
        </w:rPr>
      </w:pPr>
      <w:r>
        <w:rPr>
          <w:rFonts w:eastAsia="Times New Roman"/>
          <w:color w:val="000000"/>
          <w:sz w:val="20"/>
          <w:szCs w:val="20"/>
        </w:rPr>
        <w:t>As described above, the Company continues to design certain controls in connection with its remediation plan. These remediation efforts related to the material weakness described above represent changes in our internal control over finan</w:t>
      </w:r>
      <w:r>
        <w:rPr>
          <w:rFonts w:eastAsia="Times New Roman"/>
          <w:color w:val="000000"/>
          <w:sz w:val="20"/>
          <w:szCs w:val="20"/>
        </w:rPr>
        <w:t>cial reporting for the quarter ended June 30, 2020 that have materially affected, or are reasonably likely to materially affect, the Company’s internal control over financial reporting</w:t>
      </w:r>
      <w:r>
        <w:rPr>
          <w:rFonts w:eastAsia="Times New Roman"/>
          <w:color w:val="000000"/>
          <w:sz w:val="20"/>
          <w:szCs w:val="20"/>
        </w:rPr>
        <w:t>.</w:t>
      </w:r>
    </w:p>
    <w:p w:rsidR="00000000" w:rsidRDefault="00775A8F">
      <w:pPr>
        <w:divId w:val="1200506415"/>
        <w:rPr>
          <w:rFonts w:eastAsia="Times New Roman"/>
        </w:rPr>
      </w:pPr>
    </w:p>
    <w:p w:rsidR="00000000" w:rsidRDefault="00775A8F">
      <w:pPr>
        <w:jc w:val="center"/>
        <w:divId w:val="55278684"/>
        <w:rPr>
          <w:rFonts w:eastAsia="Times New Roman"/>
        </w:rPr>
      </w:pPr>
      <w:r>
        <w:rPr>
          <w:rFonts w:eastAsia="Times New Roman"/>
          <w:color w:val="000000"/>
          <w:sz w:val="20"/>
          <w:szCs w:val="20"/>
        </w:rPr>
        <w:t>10</w:t>
      </w:r>
      <w:r>
        <w:rPr>
          <w:rFonts w:eastAsia="Times New Roman"/>
          <w:color w:val="000000"/>
          <w:sz w:val="20"/>
          <w:szCs w:val="20"/>
        </w:rPr>
        <w:t>7</w:t>
      </w:r>
    </w:p>
    <w:p w:rsidR="00000000" w:rsidRDefault="00775A8F">
      <w:pPr>
        <w:rPr>
          <w:rFonts w:eastAsia="Times New Roman"/>
        </w:rPr>
      </w:pPr>
      <w:r>
        <w:rPr>
          <w:rFonts w:eastAsia="Times New Roman"/>
        </w:rPr>
        <w:pict>
          <v:rect id="_x0000_i1133" style="width:0;height:1.5pt" o:hralign="center" o:hrstd="t" o:hr="t" fillcolor="#a0a0a0" stroked="f"/>
        </w:pict>
      </w:r>
    </w:p>
    <w:p w:rsidR="00000000" w:rsidRDefault="00775A8F">
      <w:pPr>
        <w:divId w:val="1596286369"/>
        <w:rPr>
          <w:rFonts w:eastAsia="Times New Roman"/>
        </w:rPr>
      </w:pPr>
    </w:p>
    <w:p w:rsidR="00000000" w:rsidRDefault="00775A8F">
      <w:pPr>
        <w:divId w:val="1213079314"/>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775A8F">
      <w:pPr>
        <w:divId w:val="113066518"/>
        <w:rPr>
          <w:rFonts w:eastAsia="Times New Roman"/>
        </w:rPr>
      </w:pPr>
      <w:r>
        <w:rPr>
          <w:rFonts w:eastAsia="Times New Roman"/>
          <w:b/>
          <w:bCs/>
          <w:color w:val="000000"/>
          <w:sz w:val="20"/>
          <w:szCs w:val="20"/>
        </w:rPr>
        <w:t>Item 1.  Legal Proceedings</w:t>
      </w:r>
      <w:r>
        <w:rPr>
          <w:rFonts w:eastAsia="Times New Roman"/>
          <w:b/>
          <w:bCs/>
          <w:color w:val="000000"/>
          <w:sz w:val="20"/>
          <w:szCs w:val="20"/>
        </w:rPr>
        <w:t xml:space="preserve"> </w:t>
      </w:r>
    </w:p>
    <w:p w:rsidR="00000000" w:rsidRDefault="00775A8F">
      <w:pPr>
        <w:ind w:firstLine="360"/>
        <w:divId w:val="1770586978"/>
        <w:rPr>
          <w:rFonts w:eastAsia="Times New Roman"/>
        </w:rPr>
      </w:pPr>
      <w:r>
        <w:rPr>
          <w:rFonts w:eastAsia="Times New Roman"/>
          <w:color w:val="000000"/>
          <w:sz w:val="20"/>
          <w:szCs w:val="20"/>
        </w:rPr>
        <w:t>For information regarding certain legal proceedings pending against us, see Note 14 of the Notes to the Consolidated Financial Statements (unaudited) in this Form 10-Q. See “Risk Factors—Legal and Regulatory Risks—Legal and reg</w:t>
      </w:r>
      <w:r>
        <w:rPr>
          <w:rFonts w:eastAsia="Times New Roman"/>
          <w:color w:val="000000"/>
          <w:sz w:val="20"/>
          <w:szCs w:val="20"/>
        </w:rPr>
        <w:t>ulatory actions could have a material adverse effect on our reputation, business, results of operations or financial condition” in our Form 10-K for the year ended December 31, 2019</w:t>
      </w:r>
      <w:r>
        <w:rPr>
          <w:rFonts w:eastAsia="Times New Roman"/>
          <w:color w:val="000000"/>
          <w:sz w:val="20"/>
          <w:szCs w:val="20"/>
        </w:rPr>
        <w:t>.</w:t>
      </w:r>
    </w:p>
    <w:p w:rsidR="00000000" w:rsidRDefault="00775A8F">
      <w:pPr>
        <w:divId w:val="1473716502"/>
        <w:rPr>
          <w:rFonts w:eastAsia="Times New Roman"/>
        </w:rPr>
      </w:pPr>
      <w:r>
        <w:rPr>
          <w:rFonts w:eastAsia="Times New Roman"/>
          <w:b/>
          <w:bCs/>
          <w:color w:val="000000"/>
          <w:sz w:val="20"/>
          <w:szCs w:val="20"/>
        </w:rPr>
        <w:t>Item 1A. Risk Factors</w:t>
      </w:r>
      <w:r>
        <w:rPr>
          <w:rFonts w:eastAsia="Times New Roman"/>
          <w:b/>
          <w:bCs/>
          <w:color w:val="000000"/>
          <w:sz w:val="20"/>
          <w:szCs w:val="20"/>
        </w:rPr>
        <w:t xml:space="preserve"> </w:t>
      </w:r>
    </w:p>
    <w:p w:rsidR="00000000" w:rsidRDefault="00775A8F">
      <w:pPr>
        <w:divId w:val="1611934416"/>
        <w:rPr>
          <w:rFonts w:eastAsia="Times New Roman"/>
        </w:rPr>
      </w:pPr>
      <w:r>
        <w:rPr>
          <w:rFonts w:eastAsia="Times New Roman"/>
          <w:i/>
          <w:iCs/>
          <w:color w:val="000000"/>
          <w:sz w:val="20"/>
          <w:szCs w:val="20"/>
        </w:rPr>
        <w:t xml:space="preserve">You should carefully consider the risks described </w:t>
      </w:r>
      <w:r>
        <w:rPr>
          <w:rFonts w:eastAsia="Times New Roman"/>
          <w:i/>
          <w:iCs/>
          <w:color w:val="000000"/>
          <w:sz w:val="20"/>
          <w:szCs w:val="20"/>
        </w:rPr>
        <w:t xml:space="preserve">in the “Risk Factors” section included in our Annual Report on Form 10-K for the year ended December 31, 2019. Risks to which we are subject include, but are not limited to, the factors mentioned under </w:t>
      </w:r>
      <w:r>
        <w:rPr>
          <w:rFonts w:eastAsia="Times New Roman"/>
          <w:i/>
          <w:iCs/>
          <w:color w:val="000000"/>
          <w:sz w:val="20"/>
          <w:szCs w:val="20"/>
        </w:rPr>
        <w:t>“</w:t>
      </w:r>
      <w:r>
        <w:rPr>
          <w:rFonts w:eastAsia="Times New Roman"/>
          <w:i/>
          <w:iCs/>
          <w:color w:val="0000FF"/>
          <w:sz w:val="20"/>
          <w:szCs w:val="20"/>
          <w:u w:val="single"/>
        </w:rPr>
        <w:t>Note Regarding Forward-Looking Statements and Informa</w:t>
      </w:r>
      <w:r>
        <w:rPr>
          <w:rFonts w:eastAsia="Times New Roman"/>
          <w:i/>
          <w:iCs/>
          <w:color w:val="0000FF"/>
          <w:sz w:val="20"/>
          <w:szCs w:val="20"/>
          <w:u w:val="single"/>
        </w:rPr>
        <w:t>tio</w:t>
      </w:r>
      <w:r>
        <w:rPr>
          <w:rFonts w:eastAsia="Times New Roman"/>
          <w:i/>
          <w:iCs/>
          <w:color w:val="0000FF"/>
          <w:sz w:val="20"/>
          <w:szCs w:val="20"/>
          <w:u w:val="single"/>
        </w:rPr>
        <w:t>n</w:t>
      </w:r>
      <w:r>
        <w:rPr>
          <w:rFonts w:eastAsia="Times New Roman"/>
          <w:i/>
          <w:iCs/>
          <w:color w:val="000000"/>
          <w:sz w:val="20"/>
          <w:szCs w:val="20"/>
        </w:rPr>
        <w:t>” above and the risks of our businesses described elsewhere in this Quarterly Report on Form 10-Q</w:t>
      </w:r>
      <w:r>
        <w:rPr>
          <w:rFonts w:eastAsia="Times New Roman"/>
          <w:i/>
          <w:iCs/>
          <w:color w:val="000000"/>
          <w:sz w:val="20"/>
          <w:szCs w:val="20"/>
        </w:rPr>
        <w:t>.</w:t>
      </w:r>
    </w:p>
    <w:p w:rsidR="00000000" w:rsidRDefault="00775A8F">
      <w:pPr>
        <w:ind w:firstLine="360"/>
        <w:divId w:val="106699620"/>
        <w:rPr>
          <w:rFonts w:eastAsia="Times New Roman"/>
        </w:rPr>
      </w:pPr>
      <w:r>
        <w:rPr>
          <w:rFonts w:eastAsia="Times New Roman"/>
          <w:b/>
          <w:bCs/>
          <w:i/>
          <w:iCs/>
          <w:color w:val="000000"/>
          <w:sz w:val="20"/>
          <w:szCs w:val="20"/>
        </w:rPr>
        <w:t>The novel coronavirus (COVID-19) pandemic has adversely impacted our business and could materially adversely affect our business, results of operations o</w:t>
      </w:r>
      <w:r>
        <w:rPr>
          <w:rFonts w:eastAsia="Times New Roman"/>
          <w:b/>
          <w:bCs/>
          <w:i/>
          <w:iCs/>
          <w:color w:val="000000"/>
          <w:sz w:val="20"/>
          <w:szCs w:val="20"/>
        </w:rPr>
        <w:t>r financial condition in the future.</w:t>
      </w:r>
      <w:r>
        <w:rPr>
          <w:rFonts w:eastAsia="Times New Roman"/>
          <w:b/>
          <w:bCs/>
          <w:i/>
          <w:iCs/>
          <w:color w:val="000000"/>
          <w:sz w:val="20"/>
          <w:szCs w:val="20"/>
        </w:rPr>
        <w:t xml:space="preserve"> </w:t>
      </w:r>
    </w:p>
    <w:p w:rsidR="00000000" w:rsidRDefault="00775A8F">
      <w:pPr>
        <w:ind w:firstLine="360"/>
        <w:divId w:val="1386761638"/>
        <w:rPr>
          <w:rFonts w:eastAsia="Times New Roman"/>
        </w:rPr>
      </w:pPr>
      <w:r>
        <w:rPr>
          <w:rFonts w:eastAsia="Times New Roman"/>
          <w:color w:val="000000"/>
          <w:sz w:val="20"/>
          <w:szCs w:val="20"/>
        </w:rPr>
        <w:t xml:space="preserve">The COVID-19 pandemic has negatively impacted the U.S. and global economies, created significant volatility in the capital markets and dramatically increased unemployment levels. In addition, the pandemic has resulted </w:t>
      </w:r>
      <w:r>
        <w:rPr>
          <w:rFonts w:eastAsia="Times New Roman"/>
          <w:color w:val="000000"/>
          <w:sz w:val="20"/>
          <w:szCs w:val="20"/>
        </w:rPr>
        <w:t>in temporary closures of many businesses and schools and the institution of social distancing and sheltering in place requirements in many states and local communities. It remains unclear whether states and municipalities across the U.S. will be able to sa</w:t>
      </w:r>
      <w:r>
        <w:rPr>
          <w:rFonts w:eastAsia="Times New Roman"/>
          <w:color w:val="000000"/>
          <w:sz w:val="20"/>
          <w:szCs w:val="20"/>
        </w:rPr>
        <w:t>fely re-open schools in several weeks given the spread of the virus. Businesses or schools that reopen may also restrict or limit access for the foreseeable future or on a permanent basis. As a result, our ability to sell products through our regular chann</w:t>
      </w:r>
      <w:r>
        <w:rPr>
          <w:rFonts w:eastAsia="Times New Roman"/>
          <w:color w:val="000000"/>
          <w:sz w:val="20"/>
          <w:szCs w:val="20"/>
        </w:rPr>
        <w:t>els and the demand for our products and services has been significantly impacted. The extent to which the COVID-19 pandemic impacts our business, results of operations or financial condition will depend on future developments that are highly uncertain, inc</w:t>
      </w:r>
      <w:r>
        <w:rPr>
          <w:rFonts w:eastAsia="Times New Roman"/>
          <w:color w:val="000000"/>
          <w:sz w:val="20"/>
          <w:szCs w:val="20"/>
        </w:rPr>
        <w:t>luding the severity and duration of the pandemic and actions taken by governmental authorities and other third parties in response to the pandemic, and could cause us to revise financial targets or other guidance we have previously provided</w:t>
      </w:r>
      <w:r>
        <w:rPr>
          <w:rFonts w:eastAsia="Times New Roman"/>
          <w:color w:val="000000"/>
          <w:sz w:val="20"/>
          <w:szCs w:val="20"/>
        </w:rPr>
        <w:t>.</w:t>
      </w:r>
    </w:p>
    <w:p w:rsidR="00000000" w:rsidRDefault="00775A8F">
      <w:pPr>
        <w:ind w:firstLine="360"/>
        <w:divId w:val="1700004518"/>
        <w:rPr>
          <w:rFonts w:eastAsia="Times New Roman"/>
        </w:rPr>
      </w:pPr>
      <w:r>
        <w:rPr>
          <w:rFonts w:eastAsia="Times New Roman"/>
          <w:color w:val="000000"/>
          <w:sz w:val="20"/>
          <w:szCs w:val="20"/>
        </w:rPr>
        <w:t xml:space="preserve">While we have </w:t>
      </w:r>
      <w:r>
        <w:rPr>
          <w:rFonts w:eastAsia="Times New Roman"/>
          <w:color w:val="000000"/>
          <w:sz w:val="20"/>
          <w:szCs w:val="20"/>
        </w:rPr>
        <w:t xml:space="preserve">implemented risk management and contingency plans and taken other precautions with respect to the COVID-19 pandemic, such measures may not adequately protect our business from the full impacts of the pandemic. Currently, most of our employees and advisors </w:t>
      </w:r>
      <w:r>
        <w:rPr>
          <w:rFonts w:eastAsia="Times New Roman"/>
          <w:color w:val="000000"/>
          <w:sz w:val="20"/>
          <w:szCs w:val="20"/>
        </w:rPr>
        <w:t>are working remotely. An extended period of remote work arrangements could strain our business continuity plans, introduce additional operational risk, including but not limited to cybersecurity risks, and impair our ability to effectively manage our busin</w:t>
      </w:r>
      <w:r>
        <w:rPr>
          <w:rFonts w:eastAsia="Times New Roman"/>
          <w:color w:val="000000"/>
          <w:sz w:val="20"/>
          <w:szCs w:val="20"/>
        </w:rPr>
        <w:t>ess. We also outsource a variety of functions to third parties, including certain of our administrative operations which are in India. As a result, we rely upon the successful implementation and execution of the business continuity planning of such entitie</w:t>
      </w:r>
      <w:r>
        <w:rPr>
          <w:rFonts w:eastAsia="Times New Roman"/>
          <w:color w:val="000000"/>
          <w:sz w:val="20"/>
          <w:szCs w:val="20"/>
        </w:rPr>
        <w:t>s in the current environment. While we closely monitor the business continuity activities of these third parties, successful implementation and execution of their business continuity strategies are largely outside our control. If one or more of the third p</w:t>
      </w:r>
      <w:r>
        <w:rPr>
          <w:rFonts w:eastAsia="Times New Roman"/>
          <w:color w:val="000000"/>
          <w:sz w:val="20"/>
          <w:szCs w:val="20"/>
        </w:rPr>
        <w:t>arties to whom we outsource certain critical business activities experience operational failures as a result of the impacts from the spread of COVID-19, or claim that they cannot perform due to a force majeure, it could adversely impact our business, resul</w:t>
      </w:r>
      <w:r>
        <w:rPr>
          <w:rFonts w:eastAsia="Times New Roman"/>
          <w:color w:val="000000"/>
          <w:sz w:val="20"/>
          <w:szCs w:val="20"/>
        </w:rPr>
        <w:t>ts of operations or financial condition</w:t>
      </w:r>
      <w:r>
        <w:rPr>
          <w:rFonts w:eastAsia="Times New Roman"/>
          <w:color w:val="000000"/>
          <w:sz w:val="20"/>
          <w:szCs w:val="20"/>
        </w:rPr>
        <w:t>.</w:t>
      </w:r>
    </w:p>
    <w:p w:rsidR="00000000" w:rsidRDefault="00775A8F">
      <w:pPr>
        <w:ind w:firstLine="360"/>
        <w:divId w:val="861941559"/>
        <w:rPr>
          <w:rFonts w:eastAsia="Times New Roman"/>
        </w:rPr>
      </w:pPr>
      <w:r>
        <w:rPr>
          <w:rFonts w:eastAsia="Times New Roman"/>
          <w:color w:val="000000"/>
          <w:sz w:val="20"/>
          <w:szCs w:val="20"/>
        </w:rPr>
        <w:t>Economic uncertainty and unemployment resulting from the impacts of the spread of COVID-19 may have an adverse effect on product sales and also result in existing policyholders seeking sources of liquidity and withd</w:t>
      </w:r>
      <w:r>
        <w:rPr>
          <w:rFonts w:eastAsia="Times New Roman"/>
          <w:color w:val="000000"/>
          <w:sz w:val="20"/>
          <w:szCs w:val="20"/>
        </w:rPr>
        <w:t xml:space="preserve">rawing at rates greater than we previously expected. COVID-19 could have an adverse effect on our insurance business due to increased mortality and, in certain cases, morbidity rates. In addition, many state insurance departments, including the NYDFS, are </w:t>
      </w:r>
      <w:r>
        <w:rPr>
          <w:rFonts w:eastAsia="Times New Roman"/>
          <w:color w:val="000000"/>
          <w:sz w:val="20"/>
          <w:szCs w:val="20"/>
        </w:rPr>
        <w:t>requiring insurers to offer flexible premium payment plans, relax payment dates, waive late fees and penalties in order to avoid canceling or non-renewing polices. If policyholder lapse and surrender rates or premium waivers significantly exceed our expect</w:t>
      </w:r>
      <w:r>
        <w:rPr>
          <w:rFonts w:eastAsia="Times New Roman"/>
          <w:color w:val="000000"/>
          <w:sz w:val="20"/>
          <w:szCs w:val="20"/>
        </w:rPr>
        <w:t>ations, we may need to change our assumptions, models or reserves. The cost of reinsurance to us for these policies could increase, and we may encounter decreased availability of such reinsurance. Each of these could have a material adverse effect on our b</w:t>
      </w:r>
      <w:r>
        <w:rPr>
          <w:rFonts w:eastAsia="Times New Roman"/>
          <w:color w:val="000000"/>
          <w:sz w:val="20"/>
          <w:szCs w:val="20"/>
        </w:rPr>
        <w:t>usiness, financial condition, results of operations, liquidity and cash flows.</w:t>
      </w:r>
      <w:r>
        <w:rPr>
          <w:rFonts w:eastAsia="Times New Roman"/>
          <w:color w:val="000000"/>
          <w:sz w:val="20"/>
          <w:szCs w:val="20"/>
        </w:rPr>
        <w:t xml:space="preserve"> </w:t>
      </w:r>
    </w:p>
    <w:p w:rsidR="00000000" w:rsidRDefault="00775A8F">
      <w:pPr>
        <w:ind w:firstLine="360"/>
        <w:divId w:val="1435899561"/>
        <w:rPr>
          <w:rFonts w:eastAsia="Times New Roman"/>
        </w:rPr>
      </w:pPr>
      <w:r>
        <w:rPr>
          <w:rFonts w:eastAsia="Times New Roman"/>
          <w:color w:val="000000"/>
          <w:sz w:val="20"/>
          <w:szCs w:val="20"/>
        </w:rPr>
        <w:t>Our investment portfolio (specifically, the increased risk of defaults, downgrades and volatility in the valuations of certain investment assets we hold) has been, and may cont</w:t>
      </w:r>
      <w:r>
        <w:rPr>
          <w:rFonts w:eastAsia="Times New Roman"/>
          <w:color w:val="000000"/>
          <w:sz w:val="20"/>
          <w:szCs w:val="20"/>
        </w:rPr>
        <w:t>inue to be, adversely affected as a result the COVID-19 pandemic and uncertainty regarding its outcome. Moreover, declines in equity markets and interest rates, reduced liquidity or a continued slowdown in the U.S. or in global economic conditions may also</w:t>
      </w:r>
      <w:r>
        <w:rPr>
          <w:rFonts w:eastAsia="Times New Roman"/>
          <w:color w:val="000000"/>
          <w:sz w:val="20"/>
          <w:szCs w:val="20"/>
        </w:rPr>
        <w:t xml:space="preserve"> adversely affect the values and cash flows of these assets. Our investments in mortgages and commercial mortgage-backed securities have been, and could continue to be, negatively affected by delays or failures of borrowers to make payments of principal an</w:t>
      </w:r>
      <w:r>
        <w:rPr>
          <w:rFonts w:eastAsia="Times New Roman"/>
          <w:color w:val="000000"/>
          <w:sz w:val="20"/>
          <w:szCs w:val="20"/>
        </w:rPr>
        <w:t xml:space="preserve">d interest when due. In some jurisdictions, local governments have imposed delays or moratoriums on many forms of enforcement actions.  More broadly, increased unemployment, slowing economic conditions, and uncertainty about occupant requirements evolving </w:t>
      </w:r>
      <w:r>
        <w:rPr>
          <w:rFonts w:eastAsia="Times New Roman"/>
          <w:color w:val="000000"/>
          <w:sz w:val="20"/>
          <w:szCs w:val="20"/>
        </w:rPr>
        <w:t>out of the COVID-19</w:t>
      </w:r>
      <w:r>
        <w:rPr>
          <w:rFonts w:eastAsia="Times New Roman"/>
          <w:color w:val="000000"/>
          <w:sz w:val="20"/>
          <w:szCs w:val="20"/>
        </w:rPr>
        <w:t xml:space="preserve"> </w:t>
      </w:r>
    </w:p>
    <w:p w:rsidR="00000000" w:rsidRDefault="00775A8F">
      <w:pPr>
        <w:jc w:val="center"/>
        <w:divId w:val="1650093446"/>
        <w:rPr>
          <w:rFonts w:eastAsia="Times New Roman"/>
        </w:rPr>
      </w:pPr>
      <w:r>
        <w:rPr>
          <w:rFonts w:eastAsia="Times New Roman"/>
          <w:color w:val="000000"/>
          <w:sz w:val="20"/>
          <w:szCs w:val="20"/>
        </w:rPr>
        <w:t>10</w:t>
      </w:r>
      <w:r>
        <w:rPr>
          <w:rFonts w:eastAsia="Times New Roman"/>
          <w:color w:val="000000"/>
          <w:sz w:val="20"/>
          <w:szCs w:val="20"/>
        </w:rPr>
        <w:t>8</w:t>
      </w:r>
    </w:p>
    <w:p w:rsidR="00000000" w:rsidRDefault="00775A8F">
      <w:pPr>
        <w:rPr>
          <w:rFonts w:eastAsia="Times New Roman"/>
        </w:rPr>
      </w:pPr>
      <w:r>
        <w:rPr>
          <w:rFonts w:eastAsia="Times New Roman"/>
        </w:rPr>
        <w:pict>
          <v:rect id="_x0000_i1134" style="width:0;height:1.5pt" o:hralign="center" o:hrstd="t" o:hr="t" fillcolor="#a0a0a0" stroked="f"/>
        </w:pict>
      </w:r>
    </w:p>
    <w:p w:rsidR="00000000" w:rsidRDefault="00775A8F">
      <w:pPr>
        <w:divId w:val="753403290"/>
        <w:rPr>
          <w:rFonts w:eastAsia="Times New Roman"/>
        </w:rPr>
      </w:pPr>
    </w:p>
    <w:p w:rsidR="00000000" w:rsidRDefault="00775A8F">
      <w:pPr>
        <w:divId w:val="149753632"/>
        <w:rPr>
          <w:rFonts w:eastAsia="Times New Roman"/>
        </w:rPr>
      </w:pPr>
      <w:r>
        <w:rPr>
          <w:rFonts w:eastAsia="Times New Roman"/>
          <w:color w:val="000000"/>
          <w:sz w:val="20"/>
          <w:szCs w:val="20"/>
        </w:rPr>
        <w:t>crisis could negatively impact underlying real estate values over the longer term. The recent market volatility has also caused significant increases in credit spreads, which may increase our borrowing costs and decrea</w:t>
      </w:r>
      <w:r>
        <w:rPr>
          <w:rFonts w:eastAsia="Times New Roman"/>
          <w:color w:val="000000"/>
          <w:sz w:val="20"/>
          <w:szCs w:val="20"/>
        </w:rPr>
        <w:t>se product fee income. Further, severe market volatility may leave us unable to react to market events in a prudent manner consistent with our historical investment practices. Market dislocations, decreases in observable market activity or unavailability o</w:t>
      </w:r>
      <w:r>
        <w:rPr>
          <w:rFonts w:eastAsia="Times New Roman"/>
          <w:color w:val="000000"/>
          <w:sz w:val="20"/>
          <w:szCs w:val="20"/>
        </w:rPr>
        <w:t>f information, in each case, arising from the spread of COVID-19, may restrict our access to key inputs used to derive certain estimates and assumptions made in connection with financial reporting or otherwise. Restricted access to such inputs may make our</w:t>
      </w:r>
      <w:r>
        <w:rPr>
          <w:rFonts w:eastAsia="Times New Roman"/>
          <w:color w:val="000000"/>
          <w:sz w:val="20"/>
          <w:szCs w:val="20"/>
        </w:rPr>
        <w:t xml:space="preserve"> financial statement balances and estimates and assumptions used to run our business subject to greater variability and subjectivity</w:t>
      </w:r>
      <w:r>
        <w:rPr>
          <w:rFonts w:eastAsia="Times New Roman"/>
          <w:color w:val="000000"/>
          <w:sz w:val="20"/>
          <w:szCs w:val="20"/>
        </w:rPr>
        <w:t>.</w:t>
      </w:r>
    </w:p>
    <w:p w:rsidR="00000000" w:rsidRDefault="00775A8F">
      <w:pPr>
        <w:ind w:firstLine="360"/>
        <w:divId w:val="1302685634"/>
        <w:rPr>
          <w:rFonts w:eastAsia="Times New Roman"/>
        </w:rPr>
      </w:pPr>
      <w:r>
        <w:rPr>
          <w:rFonts w:eastAsia="Times New Roman"/>
          <w:color w:val="000000"/>
          <w:sz w:val="20"/>
          <w:szCs w:val="20"/>
        </w:rPr>
        <w:t xml:space="preserve">Additionally, COVID-19 could negatively affect our internal controls over financial reporting as the vast majority of our </w:t>
      </w:r>
      <w:r>
        <w:rPr>
          <w:rFonts w:eastAsia="Times New Roman"/>
          <w:color w:val="000000"/>
          <w:sz w:val="20"/>
          <w:szCs w:val="20"/>
        </w:rPr>
        <w:t>employees are required to work from home and most onsite locations remain closed, and therefore new processes, procedures, and controls could be required to respond to changes in our business environment. Further, should any key employees become ill from C</w:t>
      </w:r>
      <w:r>
        <w:rPr>
          <w:rFonts w:eastAsia="Times New Roman"/>
          <w:color w:val="000000"/>
          <w:sz w:val="20"/>
          <w:szCs w:val="20"/>
        </w:rPr>
        <w:t>OVID-19 and unable to work, our ability to operate our internal controls may be adversely impacted</w:t>
      </w:r>
      <w:r>
        <w:rPr>
          <w:rFonts w:eastAsia="Times New Roman"/>
          <w:color w:val="000000"/>
          <w:sz w:val="20"/>
          <w:szCs w:val="20"/>
        </w:rPr>
        <w:t>.</w:t>
      </w:r>
    </w:p>
    <w:p w:rsidR="00000000" w:rsidRDefault="00775A8F">
      <w:pPr>
        <w:ind w:firstLine="360"/>
        <w:divId w:val="504320440"/>
        <w:rPr>
          <w:rFonts w:eastAsia="Times New Roman"/>
        </w:rPr>
      </w:pPr>
      <w:r>
        <w:rPr>
          <w:rFonts w:eastAsia="Times New Roman"/>
          <w:color w:val="000000"/>
          <w:sz w:val="20"/>
          <w:szCs w:val="20"/>
        </w:rPr>
        <w:t xml:space="preserve">Any of these events could cause or contribute to the risks and uncertainties enumerated in our Annual Report on Form 10-K and Quarterly Report on Form 10-Q </w:t>
      </w:r>
      <w:r>
        <w:rPr>
          <w:rFonts w:eastAsia="Times New Roman"/>
          <w:color w:val="000000"/>
          <w:sz w:val="20"/>
          <w:szCs w:val="20"/>
        </w:rPr>
        <w:t>and could materially adversely affect our business, results of operations or financial condition.</w:t>
      </w:r>
      <w:r>
        <w:rPr>
          <w:rFonts w:eastAsia="Times New Roman"/>
          <w:color w:val="000000"/>
          <w:sz w:val="20"/>
          <w:szCs w:val="20"/>
        </w:rPr>
        <w:t> </w:t>
      </w:r>
    </w:p>
    <w:p w:rsidR="00000000" w:rsidRDefault="00775A8F">
      <w:pPr>
        <w:divId w:val="582373678"/>
        <w:rPr>
          <w:rFonts w:eastAsia="Times New Roman"/>
        </w:rPr>
      </w:pPr>
      <w:r>
        <w:rPr>
          <w:rFonts w:eastAsia="Times New Roman"/>
          <w:b/>
          <w:bCs/>
          <w:color w:val="000000"/>
          <w:sz w:val="20"/>
          <w:szCs w:val="20"/>
        </w:rPr>
        <w:t>Item 2.  Unregistered Sales of Equity Securities and Use of Proceeds</w:t>
      </w:r>
      <w:r>
        <w:rPr>
          <w:rFonts w:eastAsia="Times New Roman"/>
          <w:b/>
          <w:bCs/>
          <w:color w:val="000000"/>
          <w:sz w:val="20"/>
          <w:szCs w:val="20"/>
        </w:rPr>
        <w:t xml:space="preserve"> </w:t>
      </w:r>
    </w:p>
    <w:p w:rsidR="00000000" w:rsidRDefault="00775A8F">
      <w:pPr>
        <w:ind w:firstLine="360"/>
        <w:divId w:val="1844516774"/>
        <w:rPr>
          <w:rFonts w:eastAsia="Times New Roman"/>
        </w:rPr>
      </w:pPr>
      <w:r>
        <w:rPr>
          <w:rFonts w:eastAsia="Times New Roman"/>
          <w:color w:val="000000"/>
          <w:sz w:val="20"/>
          <w:szCs w:val="20"/>
        </w:rPr>
        <w:t>The following table provides information about purchases by Holdings during the three m</w:t>
      </w:r>
      <w:r>
        <w:rPr>
          <w:rFonts w:eastAsia="Times New Roman"/>
          <w:color w:val="000000"/>
          <w:sz w:val="20"/>
          <w:szCs w:val="20"/>
        </w:rPr>
        <w:t>onths ended June 30, 2020, of its common stock</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9"/>
        <w:gridCol w:w="1839"/>
        <w:gridCol w:w="59"/>
        <w:gridCol w:w="59"/>
        <w:gridCol w:w="1329"/>
        <w:gridCol w:w="85"/>
        <w:gridCol w:w="36"/>
        <w:gridCol w:w="36"/>
        <w:gridCol w:w="36"/>
        <w:gridCol w:w="135"/>
        <w:gridCol w:w="1314"/>
        <w:gridCol w:w="85"/>
        <w:gridCol w:w="36"/>
        <w:gridCol w:w="36"/>
        <w:gridCol w:w="36"/>
        <w:gridCol w:w="51"/>
        <w:gridCol w:w="1323"/>
        <w:gridCol w:w="85"/>
        <w:gridCol w:w="36"/>
        <w:gridCol w:w="36"/>
        <w:gridCol w:w="36"/>
        <w:gridCol w:w="135"/>
        <w:gridCol w:w="1314"/>
        <w:gridCol w:w="85"/>
      </w:tblGrid>
      <w:tr w:rsidR="00000000">
        <w:trPr>
          <w:divId w:val="1680621816"/>
        </w:trPr>
        <w:tc>
          <w:tcPr>
            <w:tcW w:w="50" w:type="pct"/>
            <w:vAlign w:val="center"/>
            <w:hideMark/>
          </w:tcPr>
          <w:p w:rsidR="00000000" w:rsidRDefault="00775A8F">
            <w:pPr>
              <w:ind w:firstLine="360"/>
              <w:rPr>
                <w:rFonts w:eastAsia="Times New Roman"/>
              </w:rPr>
            </w:pPr>
          </w:p>
        </w:tc>
        <w:tc>
          <w:tcPr>
            <w:tcW w:w="1124"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26"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816"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1680621816"/>
        </w:trPr>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Perio</w:t>
            </w:r>
            <w:r>
              <w:rPr>
                <w:rFonts w:eastAsia="Times New Roman"/>
                <w:b/>
                <w:bCs/>
                <w:color w:val="000000"/>
                <w:sz w:val="16"/>
                <w:szCs w:val="16"/>
              </w:rPr>
              <w:t>d</w:t>
            </w: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Total Number of Shares Purchase</w:t>
            </w:r>
            <w:r>
              <w:rPr>
                <w:rFonts w:eastAsia="Times New Roman"/>
                <w:b/>
                <w:bCs/>
                <w:color w:val="000000"/>
                <w:sz w:val="16"/>
                <w:szCs w:val="16"/>
              </w:rPr>
              <w:t>d</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Average Price Paid per Shar</w:t>
            </w:r>
            <w:r>
              <w:rPr>
                <w:rFonts w:eastAsia="Times New Roman"/>
                <w:b/>
                <w:bCs/>
                <w:color w:val="000000"/>
                <w:sz w:val="16"/>
                <w:szCs w:val="16"/>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Total Number of Shares Purchased as Part of Publicly Announced Plans or Program</w:t>
            </w:r>
            <w:r>
              <w:rPr>
                <w:rFonts w:eastAsia="Times New Roman"/>
                <w:b/>
                <w:bCs/>
                <w:color w:val="000000"/>
                <w:sz w:val="16"/>
                <w:szCs w:val="16"/>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Approximate Dollar Value of Shares that May Yet Be Purchased Under the Plans or Program</w:t>
            </w:r>
            <w:r>
              <w:rPr>
                <w:rFonts w:eastAsia="Times New Roman"/>
                <w:b/>
                <w:bCs/>
                <w:color w:val="000000"/>
                <w:sz w:val="16"/>
                <w:szCs w:val="16"/>
              </w:rPr>
              <w:t>s</w:t>
            </w:r>
          </w:p>
        </w:tc>
      </w:tr>
      <w:tr w:rsidR="00000000">
        <w:trPr>
          <w:divId w:val="168062181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4/1/20 through 4/30/2</w:t>
            </w:r>
            <w:r>
              <w:rPr>
                <w:rFonts w:eastAsia="Times New Roman"/>
                <w:color w:val="000000"/>
                <w:sz w:val="20"/>
                <w:szCs w:val="20"/>
              </w:rPr>
              <w:t>0</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775A8F">
            <w:pPr>
              <w:jc w:val="right"/>
              <w:rPr>
                <w:rFonts w:eastAsia="Times New Roman"/>
              </w:rPr>
            </w:pPr>
          </w:p>
        </w:tc>
        <w:tc>
          <w:tcPr>
            <w:tcW w:w="0" w:type="auto"/>
            <w:tcBorders>
              <w:top w:val="single" w:sz="8" w:space="0" w:color="000000"/>
            </w:tcBorders>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tcBorders>
              <w:top w:val="single" w:sz="8" w:space="0" w:color="000000"/>
            </w:tcBorders>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395,415,361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8062181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5/1/20 through 5/31/2</w:t>
            </w:r>
            <w:r>
              <w:rPr>
                <w:rFonts w:eastAsia="Times New Roman"/>
                <w:color w:val="000000"/>
                <w:sz w:val="20"/>
                <w:szCs w:val="20"/>
              </w:rPr>
              <w:t>0</w:t>
            </w: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395,415,361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80621816"/>
        </w:trPr>
        <w:tc>
          <w:tcPr>
            <w:tcW w:w="0" w:type="auto"/>
            <w:gridSpan w:val="3"/>
            <w:shd w:val="clear" w:color="auto" w:fill="FFFFFF"/>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6/1/20 through 6/30/2</w:t>
            </w:r>
            <w:r>
              <w:rPr>
                <w:rFonts w:eastAsia="Times New Roman"/>
                <w:color w:val="000000"/>
                <w:sz w:val="20"/>
                <w:szCs w:val="20"/>
              </w:rPr>
              <w:t>0</w:t>
            </w: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1,260,910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19.81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1,260,910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775A8F">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color w:val="000000"/>
                <w:sz w:val="20"/>
                <w:szCs w:val="20"/>
              </w:rPr>
              <w:t>370,431,157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color w:val="000000"/>
                <w:sz w:val="20"/>
                <w:szCs w:val="20"/>
              </w:rPr>
              <w:t> </w:t>
            </w:r>
          </w:p>
        </w:tc>
      </w:tr>
      <w:tr w:rsidR="00000000">
        <w:trPr>
          <w:divId w:val="1680621816"/>
        </w:trPr>
        <w:tc>
          <w:tcPr>
            <w:tcW w:w="0" w:type="auto"/>
            <w:gridSpan w:val="3"/>
            <w:shd w:val="clear" w:color="auto" w:fill="CCEEFF"/>
            <w:tcMar>
              <w:top w:w="30" w:type="dxa"/>
              <w:left w:w="20" w:type="dxa"/>
              <w:bottom w:w="30" w:type="dxa"/>
              <w:right w:w="20" w:type="dxa"/>
            </w:tcMar>
            <w:vAlign w:val="bottom"/>
            <w:hideMark/>
          </w:tcPr>
          <w:p w:rsidR="00000000" w:rsidRDefault="00775A8F">
            <w:pPr>
              <w:rPr>
                <w:rFonts w:eastAsia="Times New Roman"/>
              </w:rPr>
            </w:pPr>
            <w:r>
              <w:rPr>
                <w:rFonts w:eastAsia="Times New Roman"/>
                <w:b/>
                <w:bCs/>
                <w:color w:val="000000"/>
                <w:sz w:val="20"/>
                <w:szCs w:val="20"/>
              </w:rPr>
              <w:t>Tota</w:t>
            </w:r>
            <w:r>
              <w:rPr>
                <w:rFonts w:eastAsia="Times New Roman"/>
                <w:b/>
                <w:bCs/>
                <w:color w:val="000000"/>
                <w:sz w:val="20"/>
                <w:szCs w:val="20"/>
              </w:rPr>
              <w:t>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1,260,910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19.81</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1,260,910</w:t>
            </w:r>
            <w:r>
              <w:rPr>
                <w:rFonts w:eastAsia="Times New Roman"/>
                <w:b/>
                <w:bCs/>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775A8F">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775A8F">
            <w:pPr>
              <w:rPr>
                <w:rFonts w:eastAsia="Times New Roman"/>
              </w:rPr>
            </w:pPr>
            <w:r>
              <w:rPr>
                <w:rFonts w:eastAsia="Times New Roman"/>
                <w:b/>
                <w:bCs/>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775A8F">
            <w:pPr>
              <w:jc w:val="right"/>
              <w:rPr>
                <w:rFonts w:eastAsia="Times New Roman"/>
              </w:rPr>
            </w:pPr>
            <w:r>
              <w:rPr>
                <w:rFonts w:eastAsia="Times New Roman"/>
                <w:b/>
                <w:bCs/>
                <w:color w:val="000000"/>
                <w:sz w:val="20"/>
                <w:szCs w:val="20"/>
              </w:rPr>
              <w:t>370,431,157</w:t>
            </w:r>
            <w:r>
              <w:rPr>
                <w:rFonts w:eastAsia="Times New Roman"/>
                <w:b/>
                <w:bCs/>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775A8F">
            <w:pPr>
              <w:jc w:val="right"/>
              <w:rPr>
                <w:rFonts w:eastAsia="Times New Roman"/>
              </w:rPr>
            </w:pPr>
            <w:r>
              <w:rPr>
                <w:rFonts w:eastAsia="Times New Roman"/>
                <w:b/>
                <w:bCs/>
                <w:color w:val="000000"/>
                <w:sz w:val="20"/>
                <w:szCs w:val="20"/>
              </w:rPr>
              <w:t> </w:t>
            </w:r>
          </w:p>
        </w:tc>
      </w:tr>
    </w:tbl>
    <w:p w:rsidR="00000000" w:rsidRDefault="00775A8F">
      <w:pPr>
        <w:divId w:val="1993169078"/>
        <w:rPr>
          <w:rFonts w:eastAsia="Times New Roman"/>
        </w:rPr>
      </w:pPr>
      <w:r>
        <w:rPr>
          <w:rFonts w:eastAsia="Times New Roman"/>
          <w:b/>
          <w:bCs/>
          <w:color w:val="000000"/>
          <w:sz w:val="20"/>
          <w:szCs w:val="20"/>
        </w:rPr>
        <w:t>Item 3.  Defaults Upon Senior Securities</w:t>
      </w:r>
      <w:r>
        <w:rPr>
          <w:rFonts w:eastAsia="Times New Roman"/>
          <w:b/>
          <w:bCs/>
          <w:color w:val="000000"/>
          <w:sz w:val="20"/>
          <w:szCs w:val="20"/>
        </w:rPr>
        <w:t xml:space="preserve"> </w:t>
      </w:r>
    </w:p>
    <w:p w:rsidR="00000000" w:rsidRDefault="00775A8F">
      <w:pPr>
        <w:ind w:firstLine="360"/>
        <w:divId w:val="1708026016"/>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775A8F">
      <w:pPr>
        <w:divId w:val="1878736014"/>
        <w:rPr>
          <w:rFonts w:eastAsia="Times New Roman"/>
        </w:rPr>
      </w:pPr>
      <w:r>
        <w:rPr>
          <w:rFonts w:eastAsia="Times New Roman"/>
          <w:b/>
          <w:bCs/>
          <w:color w:val="000000"/>
          <w:sz w:val="20"/>
          <w:szCs w:val="20"/>
        </w:rPr>
        <w:t>Item 4.  Mine Safety Disclosures</w:t>
      </w:r>
      <w:r>
        <w:rPr>
          <w:rFonts w:eastAsia="Times New Roman"/>
          <w:b/>
          <w:bCs/>
          <w:color w:val="000000"/>
          <w:sz w:val="20"/>
          <w:szCs w:val="20"/>
        </w:rPr>
        <w:t xml:space="preserve"> </w:t>
      </w:r>
    </w:p>
    <w:p w:rsidR="00000000" w:rsidRDefault="00775A8F">
      <w:pPr>
        <w:ind w:firstLine="360"/>
        <w:divId w:val="1073549284"/>
        <w:rPr>
          <w:rFonts w:eastAsia="Times New Roman"/>
        </w:rPr>
      </w:pPr>
      <w:r>
        <w:rPr>
          <w:rFonts w:eastAsia="Times New Roman"/>
          <w:color w:val="000000"/>
          <w:sz w:val="20"/>
          <w:szCs w:val="20"/>
        </w:rPr>
        <w:t>Not app</w:t>
      </w:r>
      <w:r>
        <w:rPr>
          <w:rFonts w:eastAsia="Times New Roman"/>
          <w:color w:val="000000"/>
          <w:sz w:val="20"/>
          <w:szCs w:val="20"/>
        </w:rPr>
        <w:t>licable</w:t>
      </w:r>
      <w:r>
        <w:rPr>
          <w:rFonts w:eastAsia="Times New Roman"/>
          <w:color w:val="000000"/>
          <w:sz w:val="20"/>
          <w:szCs w:val="20"/>
        </w:rPr>
        <w:t>.</w:t>
      </w:r>
    </w:p>
    <w:p w:rsidR="00000000" w:rsidRDefault="00775A8F">
      <w:pPr>
        <w:divId w:val="597251467"/>
        <w:rPr>
          <w:rFonts w:eastAsia="Times New Roman"/>
        </w:rPr>
      </w:pPr>
      <w:r>
        <w:rPr>
          <w:rFonts w:eastAsia="Times New Roman"/>
          <w:b/>
          <w:bCs/>
          <w:color w:val="000000"/>
          <w:sz w:val="20"/>
          <w:szCs w:val="20"/>
        </w:rPr>
        <w:t>Item 5.   Other Information</w:t>
      </w:r>
      <w:r>
        <w:rPr>
          <w:rFonts w:eastAsia="Times New Roman"/>
          <w:b/>
          <w:bCs/>
          <w:color w:val="000000"/>
          <w:sz w:val="20"/>
          <w:szCs w:val="20"/>
        </w:rPr>
        <w:t xml:space="preserve"> </w:t>
      </w:r>
    </w:p>
    <w:p w:rsidR="00000000" w:rsidRDefault="00775A8F">
      <w:pPr>
        <w:ind w:firstLine="360"/>
        <w:divId w:val="1415396656"/>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775A8F">
      <w:pPr>
        <w:jc w:val="center"/>
        <w:divId w:val="2119132425"/>
        <w:rPr>
          <w:rFonts w:eastAsia="Times New Roman"/>
        </w:rPr>
      </w:pPr>
      <w:r>
        <w:rPr>
          <w:rFonts w:eastAsia="Times New Roman"/>
          <w:color w:val="000000"/>
          <w:sz w:val="20"/>
          <w:szCs w:val="20"/>
        </w:rPr>
        <w:t>10</w:t>
      </w:r>
      <w:r>
        <w:rPr>
          <w:rFonts w:eastAsia="Times New Roman"/>
          <w:color w:val="000000"/>
          <w:sz w:val="20"/>
          <w:szCs w:val="20"/>
        </w:rPr>
        <w:t>9</w:t>
      </w:r>
    </w:p>
    <w:p w:rsidR="00000000" w:rsidRDefault="00775A8F">
      <w:pPr>
        <w:rPr>
          <w:rFonts w:eastAsia="Times New Roman"/>
        </w:rPr>
      </w:pPr>
      <w:r>
        <w:rPr>
          <w:rFonts w:eastAsia="Times New Roman"/>
        </w:rPr>
        <w:pict>
          <v:rect id="_x0000_i1135" style="width:0;height:1.5pt" o:hralign="center" o:hrstd="t" o:hr="t" fillcolor="#a0a0a0" stroked="f"/>
        </w:pict>
      </w:r>
    </w:p>
    <w:p w:rsidR="00000000" w:rsidRDefault="00775A8F">
      <w:pPr>
        <w:divId w:val="1291665103"/>
        <w:rPr>
          <w:rFonts w:eastAsia="Times New Roman"/>
        </w:rPr>
      </w:pPr>
    </w:p>
    <w:p w:rsidR="00000000" w:rsidRDefault="00775A8F">
      <w:pPr>
        <w:divId w:val="1777168608"/>
        <w:rPr>
          <w:rFonts w:eastAsia="Times New Roman"/>
        </w:rPr>
      </w:pPr>
      <w:r>
        <w:rPr>
          <w:rFonts w:eastAsia="Times New Roman"/>
          <w:b/>
          <w:bCs/>
          <w:color w:val="000000"/>
          <w:sz w:val="20"/>
          <w:szCs w:val="20"/>
        </w:rPr>
        <w:t>Item 6.  Exhibits</w:t>
      </w:r>
      <w:r>
        <w:rPr>
          <w:rFonts w:eastAsia="Times New Roman"/>
          <w:b/>
          <w:b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85"/>
        <w:gridCol w:w="621"/>
        <w:gridCol w:w="84"/>
        <w:gridCol w:w="37"/>
        <w:gridCol w:w="123"/>
        <w:gridCol w:w="36"/>
        <w:gridCol w:w="57"/>
        <w:gridCol w:w="7205"/>
        <w:gridCol w:w="58"/>
      </w:tblGrid>
      <w:tr w:rsidR="00000000">
        <w:trPr>
          <w:divId w:val="924532457"/>
        </w:trPr>
        <w:tc>
          <w:tcPr>
            <w:tcW w:w="50" w:type="pct"/>
            <w:vAlign w:val="center"/>
            <w:hideMark/>
          </w:tcPr>
          <w:p w:rsidR="00000000" w:rsidRDefault="00775A8F">
            <w:pPr>
              <w:rPr>
                <w:rFonts w:eastAsia="Times New Roman"/>
              </w:rPr>
            </w:pPr>
          </w:p>
        </w:tc>
        <w:tc>
          <w:tcPr>
            <w:tcW w:w="367"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70" w:type="pct"/>
            <w:vAlign w:val="center"/>
            <w:hideMark/>
          </w:tcPr>
          <w:p w:rsidR="00000000" w:rsidRDefault="00775A8F">
            <w:pPr>
              <w:rPr>
                <w:rFonts w:eastAsia="Times New Roman"/>
                <w:sz w:val="20"/>
                <w:szCs w:val="20"/>
              </w:rPr>
            </w:pPr>
          </w:p>
        </w:tc>
        <w:tc>
          <w:tcPr>
            <w:tcW w:w="5"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4351"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924532457"/>
        </w:trPr>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Numbe</w:t>
            </w:r>
            <w:r>
              <w:rPr>
                <w:rFonts w:eastAsia="Times New Roman"/>
                <w:b/>
                <w:bCs/>
                <w:color w:val="000000"/>
                <w:sz w:val="16"/>
                <w:szCs w:val="16"/>
              </w:rPr>
              <w:t>r</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775A8F">
            <w:pPr>
              <w:jc w:val="center"/>
              <w:rPr>
                <w:rFonts w:eastAsia="Times New Roman"/>
              </w:rPr>
            </w:pPr>
            <w:r>
              <w:rPr>
                <w:rFonts w:eastAsia="Times New Roman"/>
                <w:b/>
                <w:bCs/>
                <w:color w:val="000000"/>
                <w:sz w:val="16"/>
                <w:szCs w:val="16"/>
              </w:rPr>
              <w:t>Description and Method of Filin</w:t>
            </w:r>
            <w:r>
              <w:rPr>
                <w:rFonts w:eastAsia="Times New Roman"/>
                <w:b/>
                <w:bCs/>
                <w:color w:val="000000"/>
                <w:sz w:val="16"/>
                <w:szCs w:val="16"/>
              </w:rPr>
              <w:t>g</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divId w:val="2021883388"/>
              <w:rPr>
                <w:rFonts w:eastAsia="Times New Roman"/>
              </w:rPr>
            </w:pPr>
            <w:hyperlink r:id="rId6" w:history="1">
              <w:r>
                <w:rPr>
                  <w:rStyle w:val="a3"/>
                  <w:rFonts w:eastAsia="Times New Roman"/>
                  <w:sz w:val="20"/>
                  <w:szCs w:val="20"/>
                </w:rPr>
                <w:t>31.1</w:t>
              </w:r>
            </w:hyperlink>
          </w:p>
        </w:tc>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Certification of the Registrant’s Chief Executive Officer pursuant to Section 302 of the Sarbanes-Oxley Act of 200</w:t>
            </w:r>
            <w:r>
              <w:rPr>
                <w:rFonts w:eastAsia="Times New Roman"/>
                <w:color w:val="000000"/>
                <w:sz w:val="20"/>
                <w:szCs w:val="20"/>
              </w:rPr>
              <w:t>2</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divId w:val="1424300464"/>
              <w:rPr>
                <w:rFonts w:eastAsia="Times New Roman"/>
              </w:rPr>
            </w:pPr>
            <w:hyperlink r:id="rId7" w:history="1">
              <w:r>
                <w:rPr>
                  <w:rStyle w:val="a3"/>
                  <w:rFonts w:eastAsia="Times New Roman"/>
                  <w:sz w:val="20"/>
                  <w:szCs w:val="20"/>
                </w:rPr>
                <w:t>31.2</w:t>
              </w:r>
            </w:hyperlink>
          </w:p>
        </w:tc>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302 of the Sarbanes-Oxley Act of 200</w:t>
            </w:r>
            <w:r>
              <w:rPr>
                <w:rFonts w:eastAsia="Times New Roman"/>
                <w:color w:val="000000"/>
                <w:sz w:val="20"/>
                <w:szCs w:val="20"/>
              </w:rPr>
              <w:t>2</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divId w:val="242765325"/>
              <w:rPr>
                <w:rFonts w:eastAsia="Times New Roman"/>
              </w:rPr>
            </w:pPr>
            <w:hyperlink r:id="rId8" w:history="1">
              <w:r>
                <w:rPr>
                  <w:rStyle w:val="a3"/>
                  <w:rFonts w:eastAsia="Times New Roman"/>
                  <w:sz w:val="20"/>
                  <w:szCs w:val="20"/>
                </w:rPr>
                <w:t>32.1</w:t>
              </w:r>
            </w:hyperlink>
          </w:p>
        </w:tc>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Certification of the Registrant’s Chief Executive Officer pursuant to Section 906 of the Sarbanes-Oxley Act of 200</w:t>
            </w:r>
            <w:r>
              <w:rPr>
                <w:rFonts w:eastAsia="Times New Roman"/>
                <w:color w:val="000000"/>
                <w:sz w:val="20"/>
                <w:szCs w:val="20"/>
              </w:rPr>
              <w:t>2</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divId w:val="1768501707"/>
              <w:rPr>
                <w:rFonts w:eastAsia="Times New Roman"/>
              </w:rPr>
            </w:pPr>
            <w:hyperlink r:id="rId9" w:history="1">
              <w:r>
                <w:rPr>
                  <w:rStyle w:val="a3"/>
                  <w:rFonts w:eastAsia="Times New Roman"/>
                  <w:sz w:val="20"/>
                  <w:szCs w:val="20"/>
                </w:rPr>
                <w:t>32</w:t>
              </w:r>
            </w:hyperlink>
            <w:hyperlink r:id="rId10" w:history="1">
              <w:r>
                <w:rPr>
                  <w:rStyle w:val="a3"/>
                  <w:rFonts w:eastAsia="Times New Roman"/>
                  <w:sz w:val="20"/>
                  <w:szCs w:val="20"/>
                </w:rPr>
                <w:t>.</w:t>
              </w:r>
            </w:hyperlink>
            <w:hyperlink r:id="rId11" w:history="1">
              <w:r>
                <w:rPr>
                  <w:rStyle w:val="a3"/>
                  <w:rFonts w:eastAsia="Times New Roman"/>
                  <w:sz w:val="20"/>
                  <w:szCs w:val="20"/>
                </w:rPr>
                <w:t>2</w:t>
              </w:r>
            </w:hyperlink>
          </w:p>
        </w:tc>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Certification of the Registrant’</w:t>
            </w:r>
            <w:r>
              <w:rPr>
                <w:rFonts w:eastAsia="Times New Roman"/>
                <w:color w:val="000000"/>
                <w:sz w:val="20"/>
                <w:szCs w:val="20"/>
              </w:rPr>
              <w:t>s Chief Financial Officer pursuant to Section 906 of the Sarbanes-Oxley Act of 200</w:t>
            </w:r>
            <w:r>
              <w:rPr>
                <w:rFonts w:eastAsia="Times New Roman"/>
                <w:color w:val="000000"/>
                <w:sz w:val="20"/>
                <w:szCs w:val="20"/>
              </w:rPr>
              <w:t>2</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101.IN</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w:t>
            </w:r>
            <w:r>
              <w:rPr>
                <w:rFonts w:eastAsia="Times New Roman"/>
                <w:color w:val="000000"/>
                <w:sz w:val="20"/>
                <w:szCs w:val="20"/>
              </w:rPr>
              <w:t>nt</w:t>
            </w:r>
            <w:r>
              <w:rPr>
                <w:rFonts w:eastAsia="Times New Roman"/>
                <w:color w:val="000000"/>
                <w:sz w:val="20"/>
                <w:szCs w:val="20"/>
              </w:rPr>
              <w:t>.</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101.SC</w:t>
            </w:r>
            <w:r>
              <w:rPr>
                <w:rFonts w:eastAsia="Times New Roman"/>
                <w:color w:val="000000"/>
                <w:sz w:val="20"/>
                <w:szCs w:val="20"/>
              </w:rPr>
              <w:t>H</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Inline XBRL Taxonomy Extension Schema Documen</w:t>
            </w:r>
            <w:r>
              <w:rPr>
                <w:rFonts w:eastAsia="Times New Roman"/>
                <w:color w:val="000000"/>
                <w:sz w:val="20"/>
                <w:szCs w:val="20"/>
              </w:rPr>
              <w:t>t</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101.CA</w:t>
            </w:r>
            <w:r>
              <w:rPr>
                <w:rFonts w:eastAsia="Times New Roman"/>
                <w:color w:val="000000"/>
                <w:sz w:val="20"/>
                <w:szCs w:val="20"/>
              </w:rPr>
              <w:t>L</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Inline XBRL Taxonomy Extension Calculation Linkbase Documen</w:t>
            </w:r>
            <w:r>
              <w:rPr>
                <w:rFonts w:eastAsia="Times New Roman"/>
                <w:color w:val="000000"/>
                <w:sz w:val="20"/>
                <w:szCs w:val="20"/>
              </w:rPr>
              <w:t>t</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101.LA</w:t>
            </w:r>
            <w:r>
              <w:rPr>
                <w:rFonts w:eastAsia="Times New Roman"/>
                <w:color w:val="000000"/>
                <w:sz w:val="20"/>
                <w:szCs w:val="20"/>
              </w:rPr>
              <w:t>B</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Inline XBRL Taxonomy Extension Label Linkbase Documen</w:t>
            </w:r>
            <w:r>
              <w:rPr>
                <w:rFonts w:eastAsia="Times New Roman"/>
                <w:color w:val="000000"/>
                <w:sz w:val="20"/>
                <w:szCs w:val="20"/>
              </w:rPr>
              <w:t>t</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101.PR</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Inline XBRL Taxonomy Extension Presentation Linkbase Documen</w:t>
            </w:r>
            <w:r>
              <w:rPr>
                <w:rFonts w:eastAsia="Times New Roman"/>
                <w:color w:val="000000"/>
                <w:sz w:val="20"/>
                <w:szCs w:val="20"/>
              </w:rPr>
              <w:t>t</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101.DE</w:t>
            </w:r>
            <w:r>
              <w:rPr>
                <w:rFonts w:eastAsia="Times New Roman"/>
                <w:color w:val="000000"/>
                <w:sz w:val="20"/>
                <w:szCs w:val="20"/>
              </w:rPr>
              <w:t>F</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Inline XBRL Taxonomy Extension Definition Linkbase Documen</w:t>
            </w:r>
            <w:r>
              <w:rPr>
                <w:rFonts w:eastAsia="Times New Roman"/>
                <w:color w:val="000000"/>
                <w:sz w:val="20"/>
                <w:szCs w:val="20"/>
              </w:rPr>
              <w:t>t</w:t>
            </w:r>
          </w:p>
        </w:tc>
      </w:tr>
      <w:tr w:rsidR="00000000">
        <w:trPr>
          <w:divId w:val="924532457"/>
        </w:trPr>
        <w:tc>
          <w:tcPr>
            <w:tcW w:w="0" w:type="auto"/>
            <w:gridSpan w:val="3"/>
            <w:tcMar>
              <w:top w:w="30" w:type="dxa"/>
              <w:left w:w="20" w:type="dxa"/>
              <w:bottom w:w="30" w:type="dxa"/>
              <w:right w:w="20" w:type="dxa"/>
            </w:tcMar>
            <w:hideMark/>
          </w:tcPr>
          <w:p w:rsidR="00000000" w:rsidRDefault="00775A8F">
            <w:pPr>
              <w:jc w:val="center"/>
              <w:rPr>
                <w:rFonts w:eastAsia="Times New Roman"/>
              </w:rPr>
            </w:pPr>
            <w:r>
              <w:rPr>
                <w:rFonts w:eastAsia="Times New Roman"/>
                <w:color w:val="000000"/>
                <w:sz w:val="20"/>
                <w:szCs w:val="20"/>
              </w:rPr>
              <w:t>10</w:t>
            </w:r>
            <w:r>
              <w:rPr>
                <w:rFonts w:eastAsia="Times New Roman"/>
                <w:color w:val="000000"/>
                <w:sz w:val="20"/>
                <w:szCs w:val="20"/>
              </w:rPr>
              <w:t>4</w:t>
            </w:r>
          </w:p>
        </w:tc>
        <w:tc>
          <w:tcPr>
            <w:tcW w:w="0" w:type="auto"/>
            <w:gridSpan w:val="3"/>
            <w:tcMar>
              <w:top w:w="15" w:type="dxa"/>
              <w:left w:w="20" w:type="dxa"/>
              <w:bottom w:w="15" w:type="dxa"/>
              <w:right w:w="20" w:type="dxa"/>
            </w:tcMar>
            <w:vAlign w:val="bottom"/>
            <w:hideMark/>
          </w:tcPr>
          <w:p w:rsidR="00000000" w:rsidRDefault="00775A8F">
            <w:pPr>
              <w:jc w:val="center"/>
              <w:rPr>
                <w:rFonts w:eastAsia="Times New Roman"/>
              </w:rPr>
            </w:pP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Cover Page Interactive Data File (formatted in Inline XBRL and contained in Exhibits 101)</w:t>
            </w:r>
            <w:r>
              <w:rPr>
                <w:rFonts w:eastAsia="Times New Roman"/>
                <w:color w:val="000000"/>
                <w:sz w:val="20"/>
                <w:szCs w:val="20"/>
              </w:rPr>
              <w:t>.</w:t>
            </w:r>
          </w:p>
        </w:tc>
      </w:tr>
    </w:tbl>
    <w:p w:rsidR="00000000" w:rsidRDefault="00775A8F">
      <w:pPr>
        <w:ind w:hanging="360"/>
        <w:divId w:val="489323705"/>
        <w:rPr>
          <w:rFonts w:eastAsia="Times New Roman"/>
        </w:rPr>
      </w:pPr>
      <w:r>
        <w:rPr>
          <w:rFonts w:eastAsia="Times New Roman"/>
          <w:color w:val="000000"/>
          <w:sz w:val="18"/>
          <w:szCs w:val="18"/>
        </w:rPr>
        <w:t>_____________</w:t>
      </w:r>
      <w:r>
        <w:rPr>
          <w:rFonts w:eastAsia="Times New Roman"/>
          <w:color w:val="000000"/>
          <w:sz w:val="18"/>
          <w:szCs w:val="18"/>
        </w:rPr>
        <w:t>_</w:t>
      </w:r>
    </w:p>
    <w:p w:rsidR="00000000" w:rsidRDefault="00775A8F">
      <w:pPr>
        <w:ind w:hanging="360"/>
        <w:divId w:val="2086761614"/>
        <w:rPr>
          <w:rFonts w:eastAsia="Times New Roman"/>
        </w:rPr>
      </w:pPr>
      <w:r>
        <w:rPr>
          <w:rFonts w:eastAsia="Times New Roman"/>
          <w:color w:val="000000"/>
          <w:sz w:val="18"/>
          <w:szCs w:val="18"/>
        </w:rPr>
        <w:t># Filed herewith</w:t>
      </w:r>
      <w:r>
        <w:rPr>
          <w:rFonts w:eastAsia="Times New Roman"/>
          <w:color w:val="000000"/>
          <w:sz w:val="18"/>
          <w:szCs w:val="18"/>
        </w:rPr>
        <w:t>.</w:t>
      </w:r>
    </w:p>
    <w:p w:rsidR="00000000" w:rsidRDefault="00775A8F">
      <w:pPr>
        <w:jc w:val="center"/>
        <w:divId w:val="257297716"/>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775A8F">
      <w:pPr>
        <w:ind w:firstLine="360"/>
        <w:divId w:val="561520056"/>
        <w:rPr>
          <w:rFonts w:eastAsia="Times New Roman"/>
        </w:rPr>
      </w:pPr>
      <w:r>
        <w:rPr>
          <w:rFonts w:eastAsia="Times New Roman"/>
          <w:color w:val="000000"/>
          <w:sz w:val="20"/>
          <w:szCs w:val="20"/>
        </w:rPr>
        <w:t>Pursuant to the requirements of the Securities Exchange Act of 1934, Equitable Holdings, Inc. has duly caused this report to be signed on its behalf by the undersigned, thereunto duly authorized</w:t>
      </w:r>
      <w:r>
        <w:rPr>
          <w:rFonts w:eastAsia="Times New Roman"/>
          <w:color w:val="000000"/>
          <w:sz w:val="20"/>
          <w:szCs w:val="20"/>
        </w:rPr>
        <w:t>.</w:t>
      </w:r>
    </w:p>
    <w:tbl>
      <w:tblPr>
        <w:tblW w:w="4824" w:type="pct"/>
        <w:tblCellMar>
          <w:top w:w="15" w:type="dxa"/>
          <w:left w:w="15" w:type="dxa"/>
          <w:bottom w:w="15" w:type="dxa"/>
          <w:right w:w="15" w:type="dxa"/>
        </w:tblCellMar>
        <w:tblLook w:val="04A0" w:firstRow="1" w:lastRow="0" w:firstColumn="1" w:lastColumn="0" w:noHBand="0" w:noVBand="1"/>
      </w:tblPr>
      <w:tblGrid>
        <w:gridCol w:w="72"/>
        <w:gridCol w:w="2400"/>
        <w:gridCol w:w="72"/>
        <w:gridCol w:w="78"/>
        <w:gridCol w:w="174"/>
        <w:gridCol w:w="77"/>
        <w:gridCol w:w="87"/>
        <w:gridCol w:w="401"/>
        <w:gridCol w:w="86"/>
        <w:gridCol w:w="56"/>
        <w:gridCol w:w="4222"/>
        <w:gridCol w:w="73"/>
        <w:gridCol w:w="36"/>
        <w:gridCol w:w="36"/>
        <w:gridCol w:w="36"/>
        <w:gridCol w:w="36"/>
        <w:gridCol w:w="36"/>
        <w:gridCol w:w="36"/>
      </w:tblGrid>
      <w:tr w:rsidR="00000000">
        <w:trPr>
          <w:gridAfter w:val="6"/>
          <w:divId w:val="727416174"/>
        </w:trPr>
        <w:tc>
          <w:tcPr>
            <w:tcW w:w="50" w:type="pct"/>
            <w:vAlign w:val="center"/>
            <w:hideMark/>
          </w:tcPr>
          <w:p w:rsidR="00000000" w:rsidRDefault="00775A8F">
            <w:pPr>
              <w:ind w:firstLine="360"/>
              <w:rPr>
                <w:rFonts w:eastAsia="Times New Roman"/>
              </w:rPr>
            </w:pPr>
          </w:p>
        </w:tc>
        <w:tc>
          <w:tcPr>
            <w:tcW w:w="154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112"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33"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c>
          <w:tcPr>
            <w:tcW w:w="2710" w:type="pct"/>
            <w:vAlign w:val="center"/>
            <w:hideMark/>
          </w:tcPr>
          <w:p w:rsidR="00000000" w:rsidRDefault="00775A8F">
            <w:pPr>
              <w:rPr>
                <w:rFonts w:eastAsia="Times New Roman"/>
                <w:sz w:val="20"/>
                <w:szCs w:val="20"/>
              </w:rPr>
            </w:pPr>
          </w:p>
        </w:tc>
        <w:tc>
          <w:tcPr>
            <w:tcW w:w="50" w:type="pct"/>
            <w:vAlign w:val="center"/>
            <w:hideMark/>
          </w:tcPr>
          <w:p w:rsidR="00000000" w:rsidRDefault="00775A8F">
            <w:pPr>
              <w:rPr>
                <w:rFonts w:eastAsia="Times New Roman"/>
                <w:sz w:val="20"/>
                <w:szCs w:val="20"/>
              </w:rPr>
            </w:pPr>
          </w:p>
        </w:tc>
      </w:tr>
      <w:tr w:rsidR="00000000">
        <w:trPr>
          <w:divId w:val="727416174"/>
        </w:trPr>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Date: August 5, 202</w:t>
            </w:r>
            <w:r>
              <w:rPr>
                <w:rFonts w:eastAsia="Times New Roman"/>
                <w:color w:val="000000"/>
                <w:sz w:val="20"/>
                <w:szCs w:val="20"/>
              </w:rPr>
              <w:t>0</w:t>
            </w:r>
          </w:p>
        </w:tc>
        <w:tc>
          <w:tcPr>
            <w:tcW w:w="0" w:type="auto"/>
            <w:gridSpan w:val="9"/>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EQUITABLE HOLDINGS, INC</w:t>
            </w:r>
            <w:r>
              <w:rPr>
                <w:rFonts w:eastAsia="Times New Roman"/>
                <w:color w:val="000000"/>
                <w:sz w:val="20"/>
                <w:szCs w:val="20"/>
              </w:rPr>
              <w:t>.</w:t>
            </w:r>
          </w:p>
        </w:tc>
        <w:tc>
          <w:tcPr>
            <w:tcW w:w="0" w:type="auto"/>
            <w:gridSpan w:val="3"/>
            <w:vAlign w:val="center"/>
            <w:hideMark/>
          </w:tcPr>
          <w:p w:rsidR="00000000" w:rsidRDefault="00775A8F">
            <w:pPr>
              <w:rPr>
                <w:rFonts w:eastAsia="Times New Roman"/>
              </w:rPr>
            </w:pPr>
          </w:p>
        </w:tc>
        <w:tc>
          <w:tcPr>
            <w:tcW w:w="0" w:type="auto"/>
            <w:gridSpan w:val="3"/>
            <w:vAlign w:val="center"/>
            <w:hideMark/>
          </w:tcPr>
          <w:p w:rsidR="00000000" w:rsidRDefault="00775A8F">
            <w:pPr>
              <w:rPr>
                <w:rFonts w:eastAsia="Times New Roman"/>
                <w:sz w:val="20"/>
                <w:szCs w:val="20"/>
              </w:rPr>
            </w:pPr>
          </w:p>
        </w:tc>
      </w:tr>
      <w:tr w:rsidR="00000000">
        <w:trPr>
          <w:divId w:val="727416174"/>
          <w:trHeight w:val="300"/>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6"/>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jc w:val="both"/>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6"/>
            <w:tcMar>
              <w:top w:w="30" w:type="dxa"/>
              <w:left w:w="20" w:type="dxa"/>
              <w:bottom w:w="30" w:type="dxa"/>
              <w:right w:w="20" w:type="dxa"/>
            </w:tcMar>
            <w:vAlign w:val="bottom"/>
            <w:hideMark/>
          </w:tcPr>
          <w:p w:rsidR="00000000" w:rsidRDefault="00775A8F">
            <w:pPr>
              <w:jc w:val="both"/>
              <w:rPr>
                <w:rFonts w:eastAsia="Times New Roman"/>
              </w:rPr>
            </w:pPr>
            <w:r>
              <w:rPr>
                <w:rFonts w:eastAsia="Times New Roman"/>
                <w:color w:val="000000"/>
                <w:sz w:val="20"/>
                <w:szCs w:val="20"/>
              </w:rPr>
              <w:t>/s/ Anders Malmströ</w:t>
            </w:r>
            <w:r>
              <w:rPr>
                <w:rFonts w:eastAsia="Times New Roman"/>
                <w:color w:val="000000"/>
                <w:sz w:val="20"/>
                <w:szCs w:val="20"/>
              </w:rPr>
              <w:t>m</w:t>
            </w:r>
          </w:p>
        </w:tc>
        <w:tc>
          <w:tcPr>
            <w:tcW w:w="0" w:type="auto"/>
            <w:gridSpan w:val="3"/>
            <w:vAlign w:val="center"/>
            <w:hideMark/>
          </w:tcPr>
          <w:p w:rsidR="00000000" w:rsidRDefault="00775A8F">
            <w:pPr>
              <w:jc w:val="both"/>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Name</w:t>
            </w: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20"/>
                <w:szCs w:val="20"/>
              </w:rPr>
              <w:t>Anders Malmströ</w:t>
            </w:r>
            <w:r>
              <w:rPr>
                <w:rFonts w:eastAsia="Times New Roman"/>
                <w:color w:val="000000"/>
                <w:sz w:val="20"/>
                <w:szCs w:val="20"/>
              </w:rPr>
              <w:t>m</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Pr>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Title</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775A8F">
            <w:pPr>
              <w:rPr>
                <w:rFonts w:eastAsia="Times New Roman"/>
              </w:rPr>
            </w:pPr>
            <w:r>
              <w:rPr>
                <w:rFonts w:eastAsia="Times New Roman"/>
                <w:color w:val="000000"/>
                <w:sz w:val="20"/>
                <w:szCs w:val="20"/>
              </w:rPr>
              <w:t>Senior Executive Vice President and Chief Financial Officer</w:t>
            </w:r>
            <w:r>
              <w:rPr>
                <w:rFonts w:eastAsia="Times New Roman"/>
                <w:color w:val="000000"/>
                <w:sz w:val="20"/>
                <w:szCs w:val="20"/>
              </w:rPr>
              <w:br/>
              <w:t>(Principal Financial Officer</w:t>
            </w:r>
            <w:r>
              <w:rPr>
                <w:rFonts w:eastAsia="Times New Roman"/>
                <w:color w:val="000000"/>
                <w:sz w:val="20"/>
                <w:szCs w:val="20"/>
              </w:rPr>
              <w: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Height w:val="300"/>
        </w:trPr>
        <w:tc>
          <w:tcPr>
            <w:tcW w:w="0" w:type="auto"/>
            <w:gridSpan w:val="3"/>
            <w:tcMar>
              <w:top w:w="15" w:type="dxa"/>
              <w:left w:w="20" w:type="dxa"/>
              <w:bottom w:w="15" w:type="dxa"/>
              <w:right w:w="20" w:type="dxa"/>
            </w:tcMar>
            <w:vAlign w:val="bottom"/>
            <w:hideMark/>
          </w:tcPr>
          <w:p w:rsidR="00000000" w:rsidRDefault="00775A8F">
            <w:pPr>
              <w:rPr>
                <w:rFonts w:eastAsia="Times New Roman"/>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Pr>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Date: August 5, 202</w:t>
            </w:r>
            <w:r>
              <w:rPr>
                <w:rFonts w:eastAsia="Times New Roman"/>
                <w:color w:val="000000"/>
                <w:sz w:val="20"/>
                <w:szCs w:val="20"/>
              </w:rPr>
              <w:t>0</w:t>
            </w: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6"/>
            <w:tcMar>
              <w:top w:w="30" w:type="dxa"/>
              <w:left w:w="20" w:type="dxa"/>
              <w:bottom w:w="30" w:type="dxa"/>
              <w:right w:w="20" w:type="dxa"/>
            </w:tcMar>
            <w:vAlign w:val="bottom"/>
            <w:hideMark/>
          </w:tcPr>
          <w:p w:rsidR="00000000" w:rsidRDefault="00775A8F">
            <w:pPr>
              <w:jc w:val="both"/>
              <w:rPr>
                <w:rFonts w:eastAsia="Times New Roman"/>
              </w:rPr>
            </w:pPr>
            <w:r>
              <w:rPr>
                <w:rFonts w:eastAsia="Times New Roman"/>
                <w:color w:val="000000"/>
                <w:sz w:val="20"/>
                <w:szCs w:val="20"/>
              </w:rPr>
              <w:t>/s/ William Ecker</w:t>
            </w:r>
            <w:r>
              <w:rPr>
                <w:rFonts w:eastAsia="Times New Roman"/>
                <w:color w:val="000000"/>
                <w:sz w:val="20"/>
                <w:szCs w:val="20"/>
              </w:rPr>
              <w:t>t</w:t>
            </w:r>
          </w:p>
        </w:tc>
        <w:tc>
          <w:tcPr>
            <w:tcW w:w="0" w:type="auto"/>
            <w:gridSpan w:val="3"/>
            <w:vAlign w:val="center"/>
            <w:hideMark/>
          </w:tcPr>
          <w:p w:rsidR="00000000" w:rsidRDefault="00775A8F">
            <w:pPr>
              <w:jc w:val="both"/>
              <w:rPr>
                <w:rFonts w:eastAsia="Times New Roman"/>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Pr>
        <w:tc>
          <w:tcPr>
            <w:tcW w:w="0" w:type="auto"/>
            <w:gridSpan w:val="3"/>
            <w:tcMar>
              <w:top w:w="15" w:type="dxa"/>
              <w:left w:w="20" w:type="dxa"/>
              <w:bottom w:w="15" w:type="dxa"/>
              <w:right w:w="20" w:type="dxa"/>
            </w:tcMar>
            <w:vAlign w:val="bottom"/>
            <w:hideMark/>
          </w:tcPr>
          <w:p w:rsidR="00000000" w:rsidRDefault="00775A8F">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Name</w:t>
            </w:r>
            <w:r>
              <w:rPr>
                <w:rFonts w:eastAsia="Times New Roman"/>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775A8F">
            <w:pPr>
              <w:jc w:val="both"/>
              <w:rPr>
                <w:rFonts w:eastAsia="Times New Roman"/>
              </w:rPr>
            </w:pPr>
            <w:r>
              <w:rPr>
                <w:rFonts w:eastAsia="Times New Roman"/>
                <w:color w:val="000000"/>
                <w:sz w:val="20"/>
                <w:szCs w:val="20"/>
              </w:rPr>
              <w:t>William Ecker</w:t>
            </w:r>
            <w:r>
              <w:rPr>
                <w:rFonts w:eastAsia="Times New Roman"/>
                <w:color w:val="000000"/>
                <w:sz w:val="20"/>
                <w:szCs w:val="20"/>
              </w:rPr>
              <w:t>t</w:t>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r w:rsidR="00000000">
        <w:trPr>
          <w:divId w:val="727416174"/>
        </w:trPr>
        <w:tc>
          <w:tcPr>
            <w:tcW w:w="0" w:type="auto"/>
            <w:gridSpan w:val="3"/>
            <w:tcMar>
              <w:top w:w="15" w:type="dxa"/>
              <w:left w:w="20" w:type="dxa"/>
              <w:bottom w:w="15" w:type="dxa"/>
              <w:right w:w="20" w:type="dxa"/>
            </w:tcMar>
            <w:vAlign w:val="bottom"/>
            <w:hideMark/>
          </w:tcPr>
          <w:p w:rsidR="00000000" w:rsidRDefault="00775A8F">
            <w:pPr>
              <w:jc w:val="both"/>
              <w:rPr>
                <w:rFonts w:eastAsia="Times New Roman"/>
              </w:rPr>
            </w:pPr>
          </w:p>
        </w:tc>
        <w:tc>
          <w:tcPr>
            <w:tcW w:w="0" w:type="auto"/>
            <w:gridSpan w:val="3"/>
            <w:tcMar>
              <w:top w:w="30" w:type="dxa"/>
              <w:left w:w="20" w:type="dxa"/>
              <w:bottom w:w="30" w:type="dxa"/>
              <w:right w:w="20" w:type="dxa"/>
            </w:tcMar>
            <w:vAlign w:val="bottom"/>
            <w:hideMark/>
          </w:tcPr>
          <w:p w:rsidR="00000000" w:rsidRDefault="00775A8F">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775A8F">
            <w:pPr>
              <w:jc w:val="both"/>
              <w:rPr>
                <w:rFonts w:eastAsia="Times New Roman"/>
              </w:rPr>
            </w:pPr>
            <w:r>
              <w:rPr>
                <w:rFonts w:eastAsia="Times New Roman"/>
                <w:color w:val="000000"/>
                <w:sz w:val="20"/>
                <w:szCs w:val="20"/>
              </w:rPr>
              <w:t>Title</w:t>
            </w: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775A8F">
            <w:pPr>
              <w:jc w:val="both"/>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r>
              <w:rPr>
                <w:rFonts w:eastAsia="Times New Roman"/>
                <w:color w:val="000000"/>
                <w:sz w:val="20"/>
                <w:szCs w:val="20"/>
              </w:rPr>
              <w:br/>
            </w: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c>
          <w:tcPr>
            <w:tcW w:w="0" w:type="auto"/>
            <w:vAlign w:val="center"/>
            <w:hideMark/>
          </w:tcPr>
          <w:p w:rsidR="00000000" w:rsidRDefault="00775A8F">
            <w:pPr>
              <w:rPr>
                <w:rFonts w:eastAsia="Times New Roman"/>
                <w:sz w:val="20"/>
                <w:szCs w:val="20"/>
              </w:rPr>
            </w:pPr>
          </w:p>
        </w:tc>
      </w:tr>
    </w:tbl>
    <w:p w:rsidR="00000000" w:rsidRDefault="00775A8F">
      <w:pPr>
        <w:divId w:val="28722168"/>
        <w:rPr>
          <w:rFonts w:eastAsia="Times New Roman"/>
        </w:rPr>
      </w:pPr>
    </w:p>
    <w:p w:rsidR="00000000" w:rsidRDefault="00775A8F">
      <w:pPr>
        <w:jc w:val="center"/>
        <w:divId w:val="259460280"/>
        <w:rPr>
          <w:rFonts w:eastAsia="Times New Roman"/>
        </w:rPr>
      </w:pPr>
      <w:r>
        <w:rPr>
          <w:rFonts w:eastAsia="Times New Roman"/>
          <w:color w:val="000000"/>
          <w:sz w:val="20"/>
          <w:szCs w:val="20"/>
        </w:rPr>
        <w:t>11</w:t>
      </w:r>
      <w:r>
        <w:rPr>
          <w:rFonts w:eastAsia="Times New Roman"/>
          <w:color w:val="000000"/>
          <w:sz w:val="20"/>
          <w:szCs w:val="20"/>
        </w:rPr>
        <w:t>0</w:t>
      </w:r>
    </w:p>
    <w:p w:rsidR="00000000" w:rsidRDefault="00775A8F">
      <w:pPr>
        <w:jc w:val="center"/>
        <w:divId w:val="259460280"/>
        <w:rPr>
          <w:rFonts w:eastAsia="Times New Roman"/>
        </w:rPr>
      </w:pPr>
    </w:p>
    <w:p w:rsidR="00000000" w:rsidRDefault="00775A8F">
      <w:pPr>
        <w:jc w:val="center"/>
        <w:divId w:val="259460280"/>
        <w:rPr>
          <w:rFonts w:eastAsia="Times New Roman"/>
        </w:rPr>
      </w:pPr>
    </w:p>
    <w:p w:rsidR="00000000" w:rsidRDefault="00775A8F">
      <w:pPr>
        <w:jc w:val="center"/>
        <w:divId w:val="259460280"/>
        <w:rPr>
          <w:rFonts w:eastAsia="Times New Roman"/>
        </w:rPr>
      </w:pPr>
    </w:p>
    <w:p w:rsidR="00000000" w:rsidRDefault="00775A8F">
      <w:pPr>
        <w:jc w:val="center"/>
        <w:divId w:val="259460280"/>
        <w:rPr>
          <w:rFonts w:eastAsia="Times New Roman"/>
        </w:rPr>
      </w:pPr>
    </w:p>
    <w:p w:rsidR="00000000" w:rsidRDefault="00775A8F">
      <w:pPr>
        <w:jc w:val="center"/>
        <w:divId w:val="259460280"/>
        <w:rPr>
          <w:rFonts w:eastAsia="Times New Roman"/>
        </w:rPr>
      </w:pPr>
    </w:p>
    <w:p w:rsidR="00000000" w:rsidRDefault="00775A8F">
      <w:pPr>
        <w:jc w:val="center"/>
        <w:divId w:val="259460280"/>
        <w:rPr>
          <w:rFonts w:eastAsia="Times New Roman"/>
        </w:rPr>
      </w:pPr>
    </w:p>
    <w:p w:rsidR="00000000" w:rsidRDefault="00775A8F">
      <w:pPr>
        <w:jc w:val="center"/>
        <w:divId w:val="259460280"/>
        <w:rPr>
          <w:rFonts w:eastAsia="Times New Roman"/>
        </w:rPr>
      </w:pPr>
    </w:p>
    <w:p w:rsidR="00775A8F" w:rsidRDefault="00775A8F">
      <w:pPr>
        <w:jc w:val="center"/>
        <w:divId w:val="259460280"/>
        <w:rPr>
          <w:rFonts w:eastAsia="Times New Roman"/>
        </w:rPr>
      </w:pPr>
    </w:p>
    <w:sectPr w:rsidR="00775A8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5A8F"/>
    <w:rsid w:val="00775A8F"/>
  </w:rsids>
  <m:mathPr>
    <m:mathFont m:val="Cambria Math"/>
    <m:brkBin m:val="before"/>
    <m:brkBinSub m:val="--"/>
    <m:smallFrac m:val="0"/>
    <m:dispDef/>
    <m:lMargin m:val="0"/>
    <m:rMargin m:val="0"/>
    <m:defJc m:val="centerGroup"/>
    <m:wrapIndent m:val="1440"/>
    <m:intLim m:val="subSup"/>
    <m:naryLim m:val="undOvr"/>
  </m:mathPr>
  <w:attachedSchema w:val="http://www.xbrl.org/2003/iso4217"/>
  <w:attachedSchema w:val="http://xbrl.sec.gov/dei/2019-01-31"/>
  <w:attachedSchema w:val="http://www.w3.org/1999/xlink"/>
  <w:attachedSchema w:val="http://xbrl.sec.gov/exch/2020-01-31"/>
  <w:attachedSchema w:val="http://fasb.org/srt/2020-01-31"/>
  <w:attachedSchema w:val="http://www.xbrl.org/2003/instance"/>
  <w:attachedSchema w:val="http://www.xbrl.org/inlineXBRL/transformation/2015-02-26"/>
  <w:attachedSchema w:val="http://www.axa-equitable.com/20200630"/>
  <w:attachedSchema w:val="http://www.sec.gov/inlineXBRL/transformation/2015-08-31"/>
  <w:attachedSchema w:val="http://www.xbrl.org/2003/linkbase"/>
  <w:attachedSchema w:val="http://xbrl.org/2006/xbrldi"/>
  <w:attachedSchema w:val="http://www.xbrl.org/2013/inlineXBRL"/>
  <w:attachedSchema w:val="http://fasb.org/us-gaap/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
      <w:marLeft w:val="0"/>
      <w:marRight w:val="0"/>
      <w:marTop w:val="180"/>
      <w:marBottom w:val="180"/>
      <w:divBdr>
        <w:top w:val="none" w:sz="0" w:space="0" w:color="auto"/>
        <w:left w:val="none" w:sz="0" w:space="0" w:color="auto"/>
        <w:bottom w:val="none" w:sz="0" w:space="0" w:color="auto"/>
        <w:right w:val="none" w:sz="0" w:space="0" w:color="auto"/>
      </w:divBdr>
    </w:div>
    <w:div w:id="2561041">
      <w:marLeft w:val="0"/>
      <w:marRight w:val="0"/>
      <w:marTop w:val="0"/>
      <w:marBottom w:val="180"/>
      <w:divBdr>
        <w:top w:val="none" w:sz="0" w:space="0" w:color="auto"/>
        <w:left w:val="none" w:sz="0" w:space="0" w:color="auto"/>
        <w:bottom w:val="none" w:sz="0" w:space="0" w:color="auto"/>
        <w:right w:val="none" w:sz="0" w:space="0" w:color="auto"/>
      </w:divBdr>
    </w:div>
    <w:div w:id="13315309">
      <w:marLeft w:val="0"/>
      <w:marRight w:val="0"/>
      <w:marTop w:val="0"/>
      <w:marBottom w:val="0"/>
      <w:divBdr>
        <w:top w:val="none" w:sz="0" w:space="0" w:color="auto"/>
        <w:left w:val="none" w:sz="0" w:space="0" w:color="auto"/>
        <w:bottom w:val="none" w:sz="0" w:space="0" w:color="auto"/>
        <w:right w:val="none" w:sz="0" w:space="0" w:color="auto"/>
      </w:divBdr>
      <w:divsChild>
        <w:div w:id="668411213">
          <w:marLeft w:val="0"/>
          <w:marRight w:val="0"/>
          <w:marTop w:val="0"/>
          <w:marBottom w:val="0"/>
          <w:divBdr>
            <w:top w:val="none" w:sz="0" w:space="0" w:color="auto"/>
            <w:left w:val="none" w:sz="0" w:space="0" w:color="auto"/>
            <w:bottom w:val="none" w:sz="0" w:space="0" w:color="auto"/>
            <w:right w:val="none" w:sz="0" w:space="0" w:color="auto"/>
          </w:divBdr>
        </w:div>
      </w:divsChild>
    </w:div>
    <w:div w:id="13463044">
      <w:marLeft w:val="0"/>
      <w:marRight w:val="0"/>
      <w:marTop w:val="0"/>
      <w:marBottom w:val="240"/>
      <w:divBdr>
        <w:top w:val="none" w:sz="0" w:space="0" w:color="auto"/>
        <w:left w:val="none" w:sz="0" w:space="0" w:color="auto"/>
        <w:bottom w:val="none" w:sz="0" w:space="0" w:color="auto"/>
        <w:right w:val="none" w:sz="0" w:space="0" w:color="auto"/>
      </w:divBdr>
    </w:div>
    <w:div w:id="14423484">
      <w:marLeft w:val="0"/>
      <w:marRight w:val="0"/>
      <w:marTop w:val="0"/>
      <w:marBottom w:val="240"/>
      <w:divBdr>
        <w:top w:val="none" w:sz="0" w:space="0" w:color="auto"/>
        <w:left w:val="none" w:sz="0" w:space="0" w:color="auto"/>
        <w:bottom w:val="none" w:sz="0" w:space="0" w:color="auto"/>
        <w:right w:val="none" w:sz="0" w:space="0" w:color="auto"/>
      </w:divBdr>
    </w:div>
    <w:div w:id="15884121">
      <w:marLeft w:val="0"/>
      <w:marRight w:val="0"/>
      <w:marTop w:val="0"/>
      <w:marBottom w:val="240"/>
      <w:divBdr>
        <w:top w:val="none" w:sz="0" w:space="0" w:color="auto"/>
        <w:left w:val="none" w:sz="0" w:space="0" w:color="auto"/>
        <w:bottom w:val="none" w:sz="0" w:space="0" w:color="auto"/>
        <w:right w:val="none" w:sz="0" w:space="0" w:color="auto"/>
      </w:divBdr>
    </w:div>
    <w:div w:id="15885491">
      <w:marLeft w:val="0"/>
      <w:marRight w:val="0"/>
      <w:marTop w:val="0"/>
      <w:marBottom w:val="0"/>
      <w:divBdr>
        <w:top w:val="none" w:sz="0" w:space="0" w:color="auto"/>
        <w:left w:val="none" w:sz="0" w:space="0" w:color="auto"/>
        <w:bottom w:val="none" w:sz="0" w:space="0" w:color="auto"/>
        <w:right w:val="none" w:sz="0" w:space="0" w:color="auto"/>
      </w:divBdr>
    </w:div>
    <w:div w:id="17705433">
      <w:marLeft w:val="0"/>
      <w:marRight w:val="0"/>
      <w:marTop w:val="100"/>
      <w:marBottom w:val="100"/>
      <w:divBdr>
        <w:top w:val="none" w:sz="0" w:space="0" w:color="auto"/>
        <w:left w:val="none" w:sz="0" w:space="0" w:color="auto"/>
        <w:bottom w:val="none" w:sz="0" w:space="0" w:color="auto"/>
        <w:right w:val="none" w:sz="0" w:space="0" w:color="auto"/>
      </w:divBdr>
    </w:div>
    <w:div w:id="20017006">
      <w:marLeft w:val="0"/>
      <w:marRight w:val="0"/>
      <w:marTop w:val="0"/>
      <w:marBottom w:val="240"/>
      <w:divBdr>
        <w:top w:val="none" w:sz="0" w:space="0" w:color="auto"/>
        <w:left w:val="none" w:sz="0" w:space="0" w:color="auto"/>
        <w:bottom w:val="none" w:sz="0" w:space="0" w:color="auto"/>
        <w:right w:val="none" w:sz="0" w:space="0" w:color="auto"/>
      </w:divBdr>
    </w:div>
    <w:div w:id="21828923">
      <w:marLeft w:val="0"/>
      <w:marRight w:val="0"/>
      <w:marTop w:val="0"/>
      <w:marBottom w:val="180"/>
      <w:divBdr>
        <w:top w:val="none" w:sz="0" w:space="0" w:color="auto"/>
        <w:left w:val="none" w:sz="0" w:space="0" w:color="auto"/>
        <w:bottom w:val="none" w:sz="0" w:space="0" w:color="auto"/>
        <w:right w:val="none" w:sz="0" w:space="0" w:color="auto"/>
      </w:divBdr>
    </w:div>
    <w:div w:id="27417908">
      <w:marLeft w:val="0"/>
      <w:marRight w:val="0"/>
      <w:marTop w:val="0"/>
      <w:marBottom w:val="180"/>
      <w:divBdr>
        <w:top w:val="none" w:sz="0" w:space="0" w:color="auto"/>
        <w:left w:val="none" w:sz="0" w:space="0" w:color="auto"/>
        <w:bottom w:val="none" w:sz="0" w:space="0" w:color="auto"/>
        <w:right w:val="none" w:sz="0" w:space="0" w:color="auto"/>
      </w:divBdr>
    </w:div>
    <w:div w:id="27923423">
      <w:marLeft w:val="0"/>
      <w:marRight w:val="0"/>
      <w:marTop w:val="120"/>
      <w:marBottom w:val="120"/>
      <w:divBdr>
        <w:top w:val="none" w:sz="0" w:space="0" w:color="auto"/>
        <w:left w:val="none" w:sz="0" w:space="0" w:color="auto"/>
        <w:bottom w:val="none" w:sz="0" w:space="0" w:color="auto"/>
        <w:right w:val="none" w:sz="0" w:space="0" w:color="auto"/>
      </w:divBdr>
    </w:div>
    <w:div w:id="28187752">
      <w:marLeft w:val="0"/>
      <w:marRight w:val="0"/>
      <w:marTop w:val="0"/>
      <w:marBottom w:val="240"/>
      <w:divBdr>
        <w:top w:val="none" w:sz="0" w:space="0" w:color="auto"/>
        <w:left w:val="none" w:sz="0" w:space="0" w:color="auto"/>
        <w:bottom w:val="none" w:sz="0" w:space="0" w:color="auto"/>
        <w:right w:val="none" w:sz="0" w:space="0" w:color="auto"/>
      </w:divBdr>
    </w:div>
    <w:div w:id="28722168">
      <w:marLeft w:val="0"/>
      <w:marRight w:val="0"/>
      <w:marTop w:val="0"/>
      <w:marBottom w:val="0"/>
      <w:divBdr>
        <w:top w:val="none" w:sz="0" w:space="0" w:color="auto"/>
        <w:left w:val="none" w:sz="0" w:space="0" w:color="auto"/>
        <w:bottom w:val="none" w:sz="0" w:space="0" w:color="auto"/>
        <w:right w:val="none" w:sz="0" w:space="0" w:color="auto"/>
      </w:divBdr>
    </w:div>
    <w:div w:id="31421645">
      <w:marLeft w:val="0"/>
      <w:marRight w:val="0"/>
      <w:marTop w:val="120"/>
      <w:marBottom w:val="120"/>
      <w:divBdr>
        <w:top w:val="none" w:sz="0" w:space="0" w:color="auto"/>
        <w:left w:val="none" w:sz="0" w:space="0" w:color="auto"/>
        <w:bottom w:val="none" w:sz="0" w:space="0" w:color="auto"/>
        <w:right w:val="none" w:sz="0" w:space="0" w:color="auto"/>
      </w:divBdr>
    </w:div>
    <w:div w:id="32778767">
      <w:marLeft w:val="0"/>
      <w:marRight w:val="0"/>
      <w:marTop w:val="120"/>
      <w:marBottom w:val="120"/>
      <w:divBdr>
        <w:top w:val="none" w:sz="0" w:space="0" w:color="auto"/>
        <w:left w:val="none" w:sz="0" w:space="0" w:color="auto"/>
        <w:bottom w:val="none" w:sz="0" w:space="0" w:color="auto"/>
        <w:right w:val="none" w:sz="0" w:space="0" w:color="auto"/>
      </w:divBdr>
    </w:div>
    <w:div w:id="33041325">
      <w:marLeft w:val="0"/>
      <w:marRight w:val="0"/>
      <w:marTop w:val="180"/>
      <w:marBottom w:val="180"/>
      <w:divBdr>
        <w:top w:val="none" w:sz="0" w:space="0" w:color="auto"/>
        <w:left w:val="none" w:sz="0" w:space="0" w:color="auto"/>
        <w:bottom w:val="none" w:sz="0" w:space="0" w:color="auto"/>
        <w:right w:val="none" w:sz="0" w:space="0" w:color="auto"/>
      </w:divBdr>
    </w:div>
    <w:div w:id="33966161">
      <w:marLeft w:val="0"/>
      <w:marRight w:val="0"/>
      <w:marTop w:val="0"/>
      <w:marBottom w:val="240"/>
      <w:divBdr>
        <w:top w:val="none" w:sz="0" w:space="0" w:color="auto"/>
        <w:left w:val="none" w:sz="0" w:space="0" w:color="auto"/>
        <w:bottom w:val="none" w:sz="0" w:space="0" w:color="auto"/>
        <w:right w:val="none" w:sz="0" w:space="0" w:color="auto"/>
      </w:divBdr>
    </w:div>
    <w:div w:id="35012751">
      <w:marLeft w:val="0"/>
      <w:marRight w:val="0"/>
      <w:marTop w:val="0"/>
      <w:marBottom w:val="180"/>
      <w:divBdr>
        <w:top w:val="none" w:sz="0" w:space="0" w:color="auto"/>
        <w:left w:val="none" w:sz="0" w:space="0" w:color="auto"/>
        <w:bottom w:val="none" w:sz="0" w:space="0" w:color="auto"/>
        <w:right w:val="none" w:sz="0" w:space="0" w:color="auto"/>
      </w:divBdr>
    </w:div>
    <w:div w:id="36197535">
      <w:marLeft w:val="0"/>
      <w:marRight w:val="0"/>
      <w:marTop w:val="120"/>
      <w:marBottom w:val="180"/>
      <w:divBdr>
        <w:top w:val="none" w:sz="0" w:space="0" w:color="auto"/>
        <w:left w:val="none" w:sz="0" w:space="0" w:color="auto"/>
        <w:bottom w:val="none" w:sz="0" w:space="0" w:color="auto"/>
        <w:right w:val="none" w:sz="0" w:space="0" w:color="auto"/>
      </w:divBdr>
    </w:div>
    <w:div w:id="36201492">
      <w:marLeft w:val="0"/>
      <w:marRight w:val="0"/>
      <w:marTop w:val="120"/>
      <w:marBottom w:val="180"/>
      <w:divBdr>
        <w:top w:val="none" w:sz="0" w:space="0" w:color="auto"/>
        <w:left w:val="none" w:sz="0" w:space="0" w:color="auto"/>
        <w:bottom w:val="none" w:sz="0" w:space="0" w:color="auto"/>
        <w:right w:val="none" w:sz="0" w:space="0" w:color="auto"/>
      </w:divBdr>
    </w:div>
    <w:div w:id="37630167">
      <w:marLeft w:val="0"/>
      <w:marRight w:val="0"/>
      <w:marTop w:val="0"/>
      <w:marBottom w:val="240"/>
      <w:divBdr>
        <w:top w:val="none" w:sz="0" w:space="0" w:color="auto"/>
        <w:left w:val="none" w:sz="0" w:space="0" w:color="auto"/>
        <w:bottom w:val="none" w:sz="0" w:space="0" w:color="auto"/>
        <w:right w:val="none" w:sz="0" w:space="0" w:color="auto"/>
      </w:divBdr>
    </w:div>
    <w:div w:id="38284590">
      <w:marLeft w:val="0"/>
      <w:marRight w:val="0"/>
      <w:marTop w:val="240"/>
      <w:marBottom w:val="240"/>
      <w:divBdr>
        <w:top w:val="none" w:sz="0" w:space="0" w:color="auto"/>
        <w:left w:val="none" w:sz="0" w:space="0" w:color="auto"/>
        <w:bottom w:val="none" w:sz="0" w:space="0" w:color="auto"/>
        <w:right w:val="none" w:sz="0" w:space="0" w:color="auto"/>
      </w:divBdr>
    </w:div>
    <w:div w:id="40637200">
      <w:marLeft w:val="0"/>
      <w:marRight w:val="0"/>
      <w:marTop w:val="0"/>
      <w:marBottom w:val="180"/>
      <w:divBdr>
        <w:top w:val="none" w:sz="0" w:space="0" w:color="auto"/>
        <w:left w:val="none" w:sz="0" w:space="0" w:color="auto"/>
        <w:bottom w:val="none" w:sz="0" w:space="0" w:color="auto"/>
        <w:right w:val="none" w:sz="0" w:space="0" w:color="auto"/>
      </w:divBdr>
    </w:div>
    <w:div w:id="41223165">
      <w:marLeft w:val="0"/>
      <w:marRight w:val="0"/>
      <w:marTop w:val="0"/>
      <w:marBottom w:val="0"/>
      <w:divBdr>
        <w:top w:val="none" w:sz="0" w:space="0" w:color="auto"/>
        <w:left w:val="none" w:sz="0" w:space="0" w:color="auto"/>
        <w:bottom w:val="none" w:sz="0" w:space="0" w:color="auto"/>
        <w:right w:val="none" w:sz="0" w:space="0" w:color="auto"/>
      </w:divBdr>
      <w:divsChild>
        <w:div w:id="539634180">
          <w:marLeft w:val="0"/>
          <w:marRight w:val="0"/>
          <w:marTop w:val="0"/>
          <w:marBottom w:val="0"/>
          <w:divBdr>
            <w:top w:val="none" w:sz="0" w:space="0" w:color="auto"/>
            <w:left w:val="none" w:sz="0" w:space="0" w:color="auto"/>
            <w:bottom w:val="none" w:sz="0" w:space="0" w:color="auto"/>
            <w:right w:val="none" w:sz="0" w:space="0" w:color="auto"/>
          </w:divBdr>
        </w:div>
      </w:divsChild>
    </w:div>
    <w:div w:id="42213018">
      <w:marLeft w:val="0"/>
      <w:marRight w:val="0"/>
      <w:marTop w:val="0"/>
      <w:marBottom w:val="180"/>
      <w:divBdr>
        <w:top w:val="none" w:sz="0" w:space="0" w:color="auto"/>
        <w:left w:val="none" w:sz="0" w:space="0" w:color="auto"/>
        <w:bottom w:val="none" w:sz="0" w:space="0" w:color="auto"/>
        <w:right w:val="none" w:sz="0" w:space="0" w:color="auto"/>
      </w:divBdr>
    </w:div>
    <w:div w:id="45373066">
      <w:marLeft w:val="0"/>
      <w:marRight w:val="0"/>
      <w:marTop w:val="100"/>
      <w:marBottom w:val="100"/>
      <w:divBdr>
        <w:top w:val="none" w:sz="0" w:space="0" w:color="auto"/>
        <w:left w:val="none" w:sz="0" w:space="0" w:color="auto"/>
        <w:bottom w:val="none" w:sz="0" w:space="0" w:color="auto"/>
        <w:right w:val="none" w:sz="0" w:space="0" w:color="auto"/>
      </w:divBdr>
      <w:divsChild>
        <w:div w:id="184948344">
          <w:marLeft w:val="0"/>
          <w:marRight w:val="0"/>
          <w:marTop w:val="0"/>
          <w:marBottom w:val="0"/>
          <w:divBdr>
            <w:top w:val="none" w:sz="0" w:space="0" w:color="auto"/>
            <w:left w:val="none" w:sz="0" w:space="0" w:color="auto"/>
            <w:bottom w:val="none" w:sz="0" w:space="0" w:color="auto"/>
            <w:right w:val="none" w:sz="0" w:space="0" w:color="auto"/>
          </w:divBdr>
        </w:div>
        <w:div w:id="201603122">
          <w:marLeft w:val="0"/>
          <w:marRight w:val="0"/>
          <w:marTop w:val="0"/>
          <w:marBottom w:val="0"/>
          <w:divBdr>
            <w:top w:val="none" w:sz="0" w:space="0" w:color="auto"/>
            <w:left w:val="none" w:sz="0" w:space="0" w:color="auto"/>
            <w:bottom w:val="none" w:sz="0" w:space="0" w:color="auto"/>
            <w:right w:val="none" w:sz="0" w:space="0" w:color="auto"/>
          </w:divBdr>
        </w:div>
        <w:div w:id="1771194162">
          <w:marLeft w:val="0"/>
          <w:marRight w:val="0"/>
          <w:marTop w:val="0"/>
          <w:marBottom w:val="0"/>
          <w:divBdr>
            <w:top w:val="none" w:sz="0" w:space="0" w:color="auto"/>
            <w:left w:val="none" w:sz="0" w:space="0" w:color="auto"/>
            <w:bottom w:val="none" w:sz="0" w:space="0" w:color="auto"/>
            <w:right w:val="none" w:sz="0" w:space="0" w:color="auto"/>
          </w:divBdr>
        </w:div>
        <w:div w:id="1469778947">
          <w:marLeft w:val="0"/>
          <w:marRight w:val="0"/>
          <w:marTop w:val="0"/>
          <w:marBottom w:val="0"/>
          <w:divBdr>
            <w:top w:val="none" w:sz="0" w:space="0" w:color="auto"/>
            <w:left w:val="none" w:sz="0" w:space="0" w:color="auto"/>
            <w:bottom w:val="none" w:sz="0" w:space="0" w:color="auto"/>
            <w:right w:val="none" w:sz="0" w:space="0" w:color="auto"/>
          </w:divBdr>
        </w:div>
        <w:div w:id="1543636417">
          <w:marLeft w:val="0"/>
          <w:marRight w:val="0"/>
          <w:marTop w:val="0"/>
          <w:marBottom w:val="0"/>
          <w:divBdr>
            <w:top w:val="none" w:sz="0" w:space="0" w:color="auto"/>
            <w:left w:val="none" w:sz="0" w:space="0" w:color="auto"/>
            <w:bottom w:val="none" w:sz="0" w:space="0" w:color="auto"/>
            <w:right w:val="none" w:sz="0" w:space="0" w:color="auto"/>
          </w:divBdr>
        </w:div>
        <w:div w:id="1167286555">
          <w:marLeft w:val="0"/>
          <w:marRight w:val="0"/>
          <w:marTop w:val="0"/>
          <w:marBottom w:val="0"/>
          <w:divBdr>
            <w:top w:val="none" w:sz="0" w:space="0" w:color="auto"/>
            <w:left w:val="none" w:sz="0" w:space="0" w:color="auto"/>
            <w:bottom w:val="none" w:sz="0" w:space="0" w:color="auto"/>
            <w:right w:val="none" w:sz="0" w:space="0" w:color="auto"/>
          </w:divBdr>
        </w:div>
        <w:div w:id="1559898033">
          <w:marLeft w:val="0"/>
          <w:marRight w:val="0"/>
          <w:marTop w:val="0"/>
          <w:marBottom w:val="0"/>
          <w:divBdr>
            <w:top w:val="none" w:sz="0" w:space="0" w:color="auto"/>
            <w:left w:val="none" w:sz="0" w:space="0" w:color="auto"/>
            <w:bottom w:val="none" w:sz="0" w:space="0" w:color="auto"/>
            <w:right w:val="none" w:sz="0" w:space="0" w:color="auto"/>
          </w:divBdr>
        </w:div>
        <w:div w:id="1239169114">
          <w:marLeft w:val="0"/>
          <w:marRight w:val="0"/>
          <w:marTop w:val="0"/>
          <w:marBottom w:val="0"/>
          <w:divBdr>
            <w:top w:val="none" w:sz="0" w:space="0" w:color="auto"/>
            <w:left w:val="none" w:sz="0" w:space="0" w:color="auto"/>
            <w:bottom w:val="none" w:sz="0" w:space="0" w:color="auto"/>
            <w:right w:val="none" w:sz="0" w:space="0" w:color="auto"/>
          </w:divBdr>
        </w:div>
        <w:div w:id="1933389491">
          <w:marLeft w:val="0"/>
          <w:marRight w:val="0"/>
          <w:marTop w:val="0"/>
          <w:marBottom w:val="0"/>
          <w:divBdr>
            <w:top w:val="none" w:sz="0" w:space="0" w:color="auto"/>
            <w:left w:val="none" w:sz="0" w:space="0" w:color="auto"/>
            <w:bottom w:val="none" w:sz="0" w:space="0" w:color="auto"/>
            <w:right w:val="none" w:sz="0" w:space="0" w:color="auto"/>
          </w:divBdr>
        </w:div>
        <w:div w:id="767114032">
          <w:marLeft w:val="0"/>
          <w:marRight w:val="0"/>
          <w:marTop w:val="0"/>
          <w:marBottom w:val="0"/>
          <w:divBdr>
            <w:top w:val="none" w:sz="0" w:space="0" w:color="auto"/>
            <w:left w:val="none" w:sz="0" w:space="0" w:color="auto"/>
            <w:bottom w:val="none" w:sz="0" w:space="0" w:color="auto"/>
            <w:right w:val="none" w:sz="0" w:space="0" w:color="auto"/>
          </w:divBdr>
        </w:div>
        <w:div w:id="678628524">
          <w:marLeft w:val="0"/>
          <w:marRight w:val="0"/>
          <w:marTop w:val="0"/>
          <w:marBottom w:val="0"/>
          <w:divBdr>
            <w:top w:val="none" w:sz="0" w:space="0" w:color="auto"/>
            <w:left w:val="none" w:sz="0" w:space="0" w:color="auto"/>
            <w:bottom w:val="none" w:sz="0" w:space="0" w:color="auto"/>
            <w:right w:val="none" w:sz="0" w:space="0" w:color="auto"/>
          </w:divBdr>
        </w:div>
      </w:divsChild>
    </w:div>
    <w:div w:id="46491642">
      <w:marLeft w:val="0"/>
      <w:marRight w:val="0"/>
      <w:marTop w:val="0"/>
      <w:marBottom w:val="0"/>
      <w:divBdr>
        <w:top w:val="none" w:sz="0" w:space="0" w:color="auto"/>
        <w:left w:val="none" w:sz="0" w:space="0" w:color="auto"/>
        <w:bottom w:val="none" w:sz="0" w:space="0" w:color="auto"/>
        <w:right w:val="none" w:sz="0" w:space="0" w:color="auto"/>
      </w:divBdr>
    </w:div>
    <w:div w:id="46733014">
      <w:marLeft w:val="0"/>
      <w:marRight w:val="0"/>
      <w:marTop w:val="0"/>
      <w:marBottom w:val="180"/>
      <w:divBdr>
        <w:top w:val="none" w:sz="0" w:space="0" w:color="auto"/>
        <w:left w:val="none" w:sz="0" w:space="0" w:color="auto"/>
        <w:bottom w:val="none" w:sz="0" w:space="0" w:color="auto"/>
        <w:right w:val="none" w:sz="0" w:space="0" w:color="auto"/>
      </w:divBdr>
    </w:div>
    <w:div w:id="48041986">
      <w:marLeft w:val="0"/>
      <w:marRight w:val="0"/>
      <w:marTop w:val="0"/>
      <w:marBottom w:val="240"/>
      <w:divBdr>
        <w:top w:val="none" w:sz="0" w:space="0" w:color="auto"/>
        <w:left w:val="none" w:sz="0" w:space="0" w:color="auto"/>
        <w:bottom w:val="none" w:sz="0" w:space="0" w:color="auto"/>
        <w:right w:val="none" w:sz="0" w:space="0" w:color="auto"/>
      </w:divBdr>
    </w:div>
    <w:div w:id="52318940">
      <w:marLeft w:val="0"/>
      <w:marRight w:val="0"/>
      <w:marTop w:val="180"/>
      <w:marBottom w:val="180"/>
      <w:divBdr>
        <w:top w:val="none" w:sz="0" w:space="0" w:color="auto"/>
        <w:left w:val="none" w:sz="0" w:space="0" w:color="auto"/>
        <w:bottom w:val="none" w:sz="0" w:space="0" w:color="auto"/>
        <w:right w:val="none" w:sz="0" w:space="0" w:color="auto"/>
      </w:divBdr>
    </w:div>
    <w:div w:id="52430157">
      <w:marLeft w:val="0"/>
      <w:marRight w:val="0"/>
      <w:marTop w:val="0"/>
      <w:marBottom w:val="0"/>
      <w:divBdr>
        <w:top w:val="none" w:sz="0" w:space="0" w:color="auto"/>
        <w:left w:val="none" w:sz="0" w:space="0" w:color="auto"/>
        <w:bottom w:val="none" w:sz="0" w:space="0" w:color="auto"/>
        <w:right w:val="none" w:sz="0" w:space="0" w:color="auto"/>
      </w:divBdr>
      <w:divsChild>
        <w:div w:id="1460613787">
          <w:marLeft w:val="0"/>
          <w:marRight w:val="0"/>
          <w:marTop w:val="0"/>
          <w:marBottom w:val="0"/>
          <w:divBdr>
            <w:top w:val="none" w:sz="0" w:space="0" w:color="auto"/>
            <w:left w:val="none" w:sz="0" w:space="0" w:color="auto"/>
            <w:bottom w:val="none" w:sz="0" w:space="0" w:color="auto"/>
            <w:right w:val="none" w:sz="0" w:space="0" w:color="auto"/>
          </w:divBdr>
        </w:div>
      </w:divsChild>
    </w:div>
    <w:div w:id="53235981">
      <w:marLeft w:val="0"/>
      <w:marRight w:val="0"/>
      <w:marTop w:val="0"/>
      <w:marBottom w:val="0"/>
      <w:divBdr>
        <w:top w:val="none" w:sz="0" w:space="0" w:color="auto"/>
        <w:left w:val="none" w:sz="0" w:space="0" w:color="auto"/>
        <w:bottom w:val="none" w:sz="0" w:space="0" w:color="auto"/>
        <w:right w:val="none" w:sz="0" w:space="0" w:color="auto"/>
      </w:divBdr>
      <w:divsChild>
        <w:div w:id="1261987333">
          <w:marLeft w:val="0"/>
          <w:marRight w:val="0"/>
          <w:marTop w:val="0"/>
          <w:marBottom w:val="0"/>
          <w:divBdr>
            <w:top w:val="none" w:sz="0" w:space="0" w:color="auto"/>
            <w:left w:val="none" w:sz="0" w:space="0" w:color="auto"/>
            <w:bottom w:val="none" w:sz="0" w:space="0" w:color="auto"/>
            <w:right w:val="none" w:sz="0" w:space="0" w:color="auto"/>
          </w:divBdr>
        </w:div>
      </w:divsChild>
    </w:div>
    <w:div w:id="53432080">
      <w:marLeft w:val="0"/>
      <w:marRight w:val="0"/>
      <w:marTop w:val="0"/>
      <w:marBottom w:val="0"/>
      <w:divBdr>
        <w:top w:val="none" w:sz="0" w:space="0" w:color="auto"/>
        <w:left w:val="none" w:sz="0" w:space="0" w:color="auto"/>
        <w:bottom w:val="none" w:sz="0" w:space="0" w:color="auto"/>
        <w:right w:val="none" w:sz="0" w:space="0" w:color="auto"/>
      </w:divBdr>
    </w:div>
    <w:div w:id="53624551">
      <w:marLeft w:val="0"/>
      <w:marRight w:val="0"/>
      <w:marTop w:val="0"/>
      <w:marBottom w:val="180"/>
      <w:divBdr>
        <w:top w:val="none" w:sz="0" w:space="0" w:color="auto"/>
        <w:left w:val="none" w:sz="0" w:space="0" w:color="auto"/>
        <w:bottom w:val="none" w:sz="0" w:space="0" w:color="auto"/>
        <w:right w:val="none" w:sz="0" w:space="0" w:color="auto"/>
      </w:divBdr>
    </w:div>
    <w:div w:id="54594821">
      <w:marLeft w:val="0"/>
      <w:marRight w:val="0"/>
      <w:marTop w:val="0"/>
      <w:marBottom w:val="180"/>
      <w:divBdr>
        <w:top w:val="none" w:sz="0" w:space="0" w:color="auto"/>
        <w:left w:val="none" w:sz="0" w:space="0" w:color="auto"/>
        <w:bottom w:val="none" w:sz="0" w:space="0" w:color="auto"/>
        <w:right w:val="none" w:sz="0" w:space="0" w:color="auto"/>
      </w:divBdr>
    </w:div>
    <w:div w:id="56708057">
      <w:marLeft w:val="0"/>
      <w:marRight w:val="0"/>
      <w:marTop w:val="180"/>
      <w:marBottom w:val="180"/>
      <w:divBdr>
        <w:top w:val="none" w:sz="0" w:space="0" w:color="auto"/>
        <w:left w:val="none" w:sz="0" w:space="0" w:color="auto"/>
        <w:bottom w:val="none" w:sz="0" w:space="0" w:color="auto"/>
        <w:right w:val="none" w:sz="0" w:space="0" w:color="auto"/>
      </w:divBdr>
    </w:div>
    <w:div w:id="56829255">
      <w:marLeft w:val="0"/>
      <w:marRight w:val="0"/>
      <w:marTop w:val="120"/>
      <w:marBottom w:val="120"/>
      <w:divBdr>
        <w:top w:val="none" w:sz="0" w:space="0" w:color="auto"/>
        <w:left w:val="none" w:sz="0" w:space="0" w:color="auto"/>
        <w:bottom w:val="none" w:sz="0" w:space="0" w:color="auto"/>
        <w:right w:val="none" w:sz="0" w:space="0" w:color="auto"/>
      </w:divBdr>
    </w:div>
    <w:div w:id="57484157">
      <w:marLeft w:val="0"/>
      <w:marRight w:val="0"/>
      <w:marTop w:val="0"/>
      <w:marBottom w:val="180"/>
      <w:divBdr>
        <w:top w:val="none" w:sz="0" w:space="0" w:color="auto"/>
        <w:left w:val="none" w:sz="0" w:space="0" w:color="auto"/>
        <w:bottom w:val="none" w:sz="0" w:space="0" w:color="auto"/>
        <w:right w:val="none" w:sz="0" w:space="0" w:color="auto"/>
      </w:divBdr>
    </w:div>
    <w:div w:id="59910904">
      <w:marLeft w:val="0"/>
      <w:marRight w:val="0"/>
      <w:marTop w:val="0"/>
      <w:marBottom w:val="240"/>
      <w:divBdr>
        <w:top w:val="none" w:sz="0" w:space="0" w:color="auto"/>
        <w:left w:val="none" w:sz="0" w:space="0" w:color="auto"/>
        <w:bottom w:val="none" w:sz="0" w:space="0" w:color="auto"/>
        <w:right w:val="none" w:sz="0" w:space="0" w:color="auto"/>
      </w:divBdr>
    </w:div>
    <w:div w:id="60715336">
      <w:marLeft w:val="0"/>
      <w:marRight w:val="0"/>
      <w:marTop w:val="0"/>
      <w:marBottom w:val="0"/>
      <w:divBdr>
        <w:top w:val="none" w:sz="0" w:space="0" w:color="auto"/>
        <w:left w:val="none" w:sz="0" w:space="0" w:color="auto"/>
        <w:bottom w:val="none" w:sz="0" w:space="0" w:color="auto"/>
        <w:right w:val="none" w:sz="0" w:space="0" w:color="auto"/>
      </w:divBdr>
    </w:div>
    <w:div w:id="61220194">
      <w:marLeft w:val="0"/>
      <w:marRight w:val="0"/>
      <w:marTop w:val="0"/>
      <w:marBottom w:val="0"/>
      <w:divBdr>
        <w:top w:val="none" w:sz="0" w:space="0" w:color="auto"/>
        <w:left w:val="none" w:sz="0" w:space="0" w:color="auto"/>
        <w:bottom w:val="none" w:sz="0" w:space="0" w:color="auto"/>
        <w:right w:val="none" w:sz="0" w:space="0" w:color="auto"/>
      </w:divBdr>
      <w:divsChild>
        <w:div w:id="1335064214">
          <w:marLeft w:val="0"/>
          <w:marRight w:val="0"/>
          <w:marTop w:val="0"/>
          <w:marBottom w:val="0"/>
          <w:divBdr>
            <w:top w:val="none" w:sz="0" w:space="0" w:color="auto"/>
            <w:left w:val="none" w:sz="0" w:space="0" w:color="auto"/>
            <w:bottom w:val="none" w:sz="0" w:space="0" w:color="auto"/>
            <w:right w:val="none" w:sz="0" w:space="0" w:color="auto"/>
          </w:divBdr>
        </w:div>
      </w:divsChild>
    </w:div>
    <w:div w:id="64184091">
      <w:marLeft w:val="0"/>
      <w:marRight w:val="0"/>
      <w:marTop w:val="0"/>
      <w:marBottom w:val="240"/>
      <w:divBdr>
        <w:top w:val="none" w:sz="0" w:space="0" w:color="auto"/>
        <w:left w:val="none" w:sz="0" w:space="0" w:color="auto"/>
        <w:bottom w:val="none" w:sz="0" w:space="0" w:color="auto"/>
        <w:right w:val="none" w:sz="0" w:space="0" w:color="auto"/>
      </w:divBdr>
    </w:div>
    <w:div w:id="68502438">
      <w:marLeft w:val="0"/>
      <w:marRight w:val="0"/>
      <w:marTop w:val="120"/>
      <w:marBottom w:val="180"/>
      <w:divBdr>
        <w:top w:val="none" w:sz="0" w:space="0" w:color="auto"/>
        <w:left w:val="none" w:sz="0" w:space="0" w:color="auto"/>
        <w:bottom w:val="none" w:sz="0" w:space="0" w:color="auto"/>
        <w:right w:val="none" w:sz="0" w:space="0" w:color="auto"/>
      </w:divBdr>
    </w:div>
    <w:div w:id="70857794">
      <w:marLeft w:val="0"/>
      <w:marRight w:val="0"/>
      <w:marTop w:val="120"/>
      <w:marBottom w:val="120"/>
      <w:divBdr>
        <w:top w:val="none" w:sz="0" w:space="0" w:color="auto"/>
        <w:left w:val="none" w:sz="0" w:space="0" w:color="auto"/>
        <w:bottom w:val="none" w:sz="0" w:space="0" w:color="auto"/>
        <w:right w:val="none" w:sz="0" w:space="0" w:color="auto"/>
      </w:divBdr>
    </w:div>
    <w:div w:id="71391485">
      <w:marLeft w:val="0"/>
      <w:marRight w:val="0"/>
      <w:marTop w:val="180"/>
      <w:marBottom w:val="180"/>
      <w:divBdr>
        <w:top w:val="none" w:sz="0" w:space="0" w:color="auto"/>
        <w:left w:val="none" w:sz="0" w:space="0" w:color="auto"/>
        <w:bottom w:val="none" w:sz="0" w:space="0" w:color="auto"/>
        <w:right w:val="none" w:sz="0" w:space="0" w:color="auto"/>
      </w:divBdr>
    </w:div>
    <w:div w:id="72287297">
      <w:marLeft w:val="0"/>
      <w:marRight w:val="0"/>
      <w:marTop w:val="0"/>
      <w:marBottom w:val="0"/>
      <w:divBdr>
        <w:top w:val="none" w:sz="0" w:space="0" w:color="auto"/>
        <w:left w:val="none" w:sz="0" w:space="0" w:color="auto"/>
        <w:bottom w:val="none" w:sz="0" w:space="0" w:color="auto"/>
        <w:right w:val="none" w:sz="0" w:space="0" w:color="auto"/>
      </w:divBdr>
    </w:div>
    <w:div w:id="74209961">
      <w:marLeft w:val="0"/>
      <w:marRight w:val="0"/>
      <w:marTop w:val="180"/>
      <w:marBottom w:val="180"/>
      <w:divBdr>
        <w:top w:val="none" w:sz="0" w:space="0" w:color="auto"/>
        <w:left w:val="none" w:sz="0" w:space="0" w:color="auto"/>
        <w:bottom w:val="none" w:sz="0" w:space="0" w:color="auto"/>
        <w:right w:val="none" w:sz="0" w:space="0" w:color="auto"/>
      </w:divBdr>
    </w:div>
    <w:div w:id="76949898">
      <w:marLeft w:val="0"/>
      <w:marRight w:val="0"/>
      <w:marTop w:val="100"/>
      <w:marBottom w:val="100"/>
      <w:divBdr>
        <w:top w:val="none" w:sz="0" w:space="0" w:color="auto"/>
        <w:left w:val="none" w:sz="0" w:space="0" w:color="auto"/>
        <w:bottom w:val="none" w:sz="0" w:space="0" w:color="auto"/>
        <w:right w:val="none" w:sz="0" w:space="0" w:color="auto"/>
      </w:divBdr>
    </w:div>
    <w:div w:id="77094233">
      <w:marLeft w:val="0"/>
      <w:marRight w:val="0"/>
      <w:marTop w:val="0"/>
      <w:marBottom w:val="0"/>
      <w:divBdr>
        <w:top w:val="none" w:sz="0" w:space="0" w:color="auto"/>
        <w:left w:val="none" w:sz="0" w:space="0" w:color="auto"/>
        <w:bottom w:val="none" w:sz="0" w:space="0" w:color="auto"/>
        <w:right w:val="none" w:sz="0" w:space="0" w:color="auto"/>
      </w:divBdr>
    </w:div>
    <w:div w:id="77295020">
      <w:marLeft w:val="0"/>
      <w:marRight w:val="0"/>
      <w:marTop w:val="0"/>
      <w:marBottom w:val="0"/>
      <w:divBdr>
        <w:top w:val="none" w:sz="0" w:space="0" w:color="auto"/>
        <w:left w:val="none" w:sz="0" w:space="0" w:color="auto"/>
        <w:bottom w:val="none" w:sz="0" w:space="0" w:color="auto"/>
        <w:right w:val="none" w:sz="0" w:space="0" w:color="auto"/>
      </w:divBdr>
      <w:divsChild>
        <w:div w:id="285695433">
          <w:marLeft w:val="0"/>
          <w:marRight w:val="0"/>
          <w:marTop w:val="0"/>
          <w:marBottom w:val="0"/>
          <w:divBdr>
            <w:top w:val="none" w:sz="0" w:space="0" w:color="auto"/>
            <w:left w:val="none" w:sz="0" w:space="0" w:color="auto"/>
            <w:bottom w:val="none" w:sz="0" w:space="0" w:color="auto"/>
            <w:right w:val="none" w:sz="0" w:space="0" w:color="auto"/>
          </w:divBdr>
        </w:div>
      </w:divsChild>
    </w:div>
    <w:div w:id="78405300">
      <w:marLeft w:val="0"/>
      <w:marRight w:val="0"/>
      <w:marTop w:val="120"/>
      <w:marBottom w:val="180"/>
      <w:divBdr>
        <w:top w:val="none" w:sz="0" w:space="0" w:color="auto"/>
        <w:left w:val="none" w:sz="0" w:space="0" w:color="auto"/>
        <w:bottom w:val="none" w:sz="0" w:space="0" w:color="auto"/>
        <w:right w:val="none" w:sz="0" w:space="0" w:color="auto"/>
      </w:divBdr>
    </w:div>
    <w:div w:id="78870805">
      <w:marLeft w:val="0"/>
      <w:marRight w:val="0"/>
      <w:marTop w:val="0"/>
      <w:marBottom w:val="240"/>
      <w:divBdr>
        <w:top w:val="none" w:sz="0" w:space="0" w:color="auto"/>
        <w:left w:val="none" w:sz="0" w:space="0" w:color="auto"/>
        <w:bottom w:val="none" w:sz="0" w:space="0" w:color="auto"/>
        <w:right w:val="none" w:sz="0" w:space="0" w:color="auto"/>
      </w:divBdr>
    </w:div>
    <w:div w:id="81730969">
      <w:marLeft w:val="0"/>
      <w:marRight w:val="0"/>
      <w:marTop w:val="0"/>
      <w:marBottom w:val="240"/>
      <w:divBdr>
        <w:top w:val="none" w:sz="0" w:space="0" w:color="auto"/>
        <w:left w:val="none" w:sz="0" w:space="0" w:color="auto"/>
        <w:bottom w:val="none" w:sz="0" w:space="0" w:color="auto"/>
        <w:right w:val="none" w:sz="0" w:space="0" w:color="auto"/>
      </w:divBdr>
    </w:div>
    <w:div w:id="85272688">
      <w:marLeft w:val="0"/>
      <w:marRight w:val="0"/>
      <w:marTop w:val="0"/>
      <w:marBottom w:val="240"/>
      <w:divBdr>
        <w:top w:val="none" w:sz="0" w:space="0" w:color="auto"/>
        <w:left w:val="none" w:sz="0" w:space="0" w:color="auto"/>
        <w:bottom w:val="none" w:sz="0" w:space="0" w:color="auto"/>
        <w:right w:val="none" w:sz="0" w:space="0" w:color="auto"/>
      </w:divBdr>
    </w:div>
    <w:div w:id="86392872">
      <w:marLeft w:val="0"/>
      <w:marRight w:val="0"/>
      <w:marTop w:val="120"/>
      <w:marBottom w:val="180"/>
      <w:divBdr>
        <w:top w:val="none" w:sz="0" w:space="0" w:color="auto"/>
        <w:left w:val="none" w:sz="0" w:space="0" w:color="auto"/>
        <w:bottom w:val="none" w:sz="0" w:space="0" w:color="auto"/>
        <w:right w:val="none" w:sz="0" w:space="0" w:color="auto"/>
      </w:divBdr>
    </w:div>
    <w:div w:id="86973306">
      <w:marLeft w:val="0"/>
      <w:marRight w:val="0"/>
      <w:marTop w:val="0"/>
      <w:marBottom w:val="0"/>
      <w:divBdr>
        <w:top w:val="none" w:sz="0" w:space="0" w:color="auto"/>
        <w:left w:val="none" w:sz="0" w:space="0" w:color="auto"/>
        <w:bottom w:val="none" w:sz="0" w:space="0" w:color="auto"/>
        <w:right w:val="none" w:sz="0" w:space="0" w:color="auto"/>
      </w:divBdr>
      <w:divsChild>
        <w:div w:id="1289700744">
          <w:marLeft w:val="0"/>
          <w:marRight w:val="0"/>
          <w:marTop w:val="0"/>
          <w:marBottom w:val="0"/>
          <w:divBdr>
            <w:top w:val="none" w:sz="0" w:space="0" w:color="auto"/>
            <w:left w:val="none" w:sz="0" w:space="0" w:color="auto"/>
            <w:bottom w:val="none" w:sz="0" w:space="0" w:color="auto"/>
            <w:right w:val="none" w:sz="0" w:space="0" w:color="auto"/>
          </w:divBdr>
        </w:div>
      </w:divsChild>
    </w:div>
    <w:div w:id="89934265">
      <w:marLeft w:val="0"/>
      <w:marRight w:val="0"/>
      <w:marTop w:val="0"/>
      <w:marBottom w:val="240"/>
      <w:divBdr>
        <w:top w:val="none" w:sz="0" w:space="0" w:color="auto"/>
        <w:left w:val="none" w:sz="0" w:space="0" w:color="auto"/>
        <w:bottom w:val="none" w:sz="0" w:space="0" w:color="auto"/>
        <w:right w:val="none" w:sz="0" w:space="0" w:color="auto"/>
      </w:divBdr>
    </w:div>
    <w:div w:id="92866863">
      <w:marLeft w:val="0"/>
      <w:marRight w:val="0"/>
      <w:marTop w:val="0"/>
      <w:marBottom w:val="240"/>
      <w:divBdr>
        <w:top w:val="none" w:sz="0" w:space="0" w:color="auto"/>
        <w:left w:val="none" w:sz="0" w:space="0" w:color="auto"/>
        <w:bottom w:val="none" w:sz="0" w:space="0" w:color="auto"/>
        <w:right w:val="none" w:sz="0" w:space="0" w:color="auto"/>
      </w:divBdr>
    </w:div>
    <w:div w:id="93863156">
      <w:marLeft w:val="0"/>
      <w:marRight w:val="0"/>
      <w:marTop w:val="0"/>
      <w:marBottom w:val="0"/>
      <w:divBdr>
        <w:top w:val="none" w:sz="0" w:space="0" w:color="auto"/>
        <w:left w:val="none" w:sz="0" w:space="0" w:color="auto"/>
        <w:bottom w:val="none" w:sz="0" w:space="0" w:color="auto"/>
        <w:right w:val="none" w:sz="0" w:space="0" w:color="auto"/>
      </w:divBdr>
    </w:div>
    <w:div w:id="94711815">
      <w:marLeft w:val="0"/>
      <w:marRight w:val="0"/>
      <w:marTop w:val="180"/>
      <w:marBottom w:val="180"/>
      <w:divBdr>
        <w:top w:val="none" w:sz="0" w:space="0" w:color="auto"/>
        <w:left w:val="none" w:sz="0" w:space="0" w:color="auto"/>
        <w:bottom w:val="none" w:sz="0" w:space="0" w:color="auto"/>
        <w:right w:val="none" w:sz="0" w:space="0" w:color="auto"/>
      </w:divBdr>
    </w:div>
    <w:div w:id="97453047">
      <w:marLeft w:val="0"/>
      <w:marRight w:val="0"/>
      <w:marTop w:val="0"/>
      <w:marBottom w:val="0"/>
      <w:divBdr>
        <w:top w:val="none" w:sz="0" w:space="0" w:color="auto"/>
        <w:left w:val="none" w:sz="0" w:space="0" w:color="auto"/>
        <w:bottom w:val="none" w:sz="0" w:space="0" w:color="auto"/>
        <w:right w:val="none" w:sz="0" w:space="0" w:color="auto"/>
      </w:divBdr>
      <w:divsChild>
        <w:div w:id="159082713">
          <w:marLeft w:val="0"/>
          <w:marRight w:val="0"/>
          <w:marTop w:val="0"/>
          <w:marBottom w:val="0"/>
          <w:divBdr>
            <w:top w:val="none" w:sz="0" w:space="0" w:color="auto"/>
            <w:left w:val="none" w:sz="0" w:space="0" w:color="auto"/>
            <w:bottom w:val="none" w:sz="0" w:space="0" w:color="auto"/>
            <w:right w:val="none" w:sz="0" w:space="0" w:color="auto"/>
          </w:divBdr>
        </w:div>
      </w:divsChild>
    </w:div>
    <w:div w:id="103621902">
      <w:marLeft w:val="0"/>
      <w:marRight w:val="0"/>
      <w:marTop w:val="100"/>
      <w:marBottom w:val="100"/>
      <w:divBdr>
        <w:top w:val="none" w:sz="0" w:space="0" w:color="auto"/>
        <w:left w:val="none" w:sz="0" w:space="0" w:color="auto"/>
        <w:bottom w:val="none" w:sz="0" w:space="0" w:color="auto"/>
        <w:right w:val="none" w:sz="0" w:space="0" w:color="auto"/>
      </w:divBdr>
    </w:div>
    <w:div w:id="103694615">
      <w:marLeft w:val="0"/>
      <w:marRight w:val="0"/>
      <w:marTop w:val="0"/>
      <w:marBottom w:val="0"/>
      <w:divBdr>
        <w:top w:val="none" w:sz="0" w:space="0" w:color="auto"/>
        <w:left w:val="none" w:sz="0" w:space="0" w:color="auto"/>
        <w:bottom w:val="none" w:sz="0" w:space="0" w:color="auto"/>
        <w:right w:val="none" w:sz="0" w:space="0" w:color="auto"/>
      </w:divBdr>
    </w:div>
    <w:div w:id="103817609">
      <w:marLeft w:val="0"/>
      <w:marRight w:val="0"/>
      <w:marTop w:val="0"/>
      <w:marBottom w:val="180"/>
      <w:divBdr>
        <w:top w:val="none" w:sz="0" w:space="0" w:color="auto"/>
        <w:left w:val="none" w:sz="0" w:space="0" w:color="auto"/>
        <w:bottom w:val="none" w:sz="0" w:space="0" w:color="auto"/>
        <w:right w:val="none" w:sz="0" w:space="0" w:color="auto"/>
      </w:divBdr>
    </w:div>
    <w:div w:id="104547691">
      <w:marLeft w:val="0"/>
      <w:marRight w:val="0"/>
      <w:marTop w:val="180"/>
      <w:marBottom w:val="180"/>
      <w:divBdr>
        <w:top w:val="none" w:sz="0" w:space="0" w:color="auto"/>
        <w:left w:val="none" w:sz="0" w:space="0" w:color="auto"/>
        <w:bottom w:val="none" w:sz="0" w:space="0" w:color="auto"/>
        <w:right w:val="none" w:sz="0" w:space="0" w:color="auto"/>
      </w:divBdr>
    </w:div>
    <w:div w:id="104886182">
      <w:marLeft w:val="0"/>
      <w:marRight w:val="0"/>
      <w:marTop w:val="100"/>
      <w:marBottom w:val="100"/>
      <w:divBdr>
        <w:top w:val="none" w:sz="0" w:space="0" w:color="auto"/>
        <w:left w:val="none" w:sz="0" w:space="0" w:color="auto"/>
        <w:bottom w:val="none" w:sz="0" w:space="0" w:color="auto"/>
        <w:right w:val="none" w:sz="0" w:space="0" w:color="auto"/>
      </w:divBdr>
    </w:div>
    <w:div w:id="105539795">
      <w:marLeft w:val="0"/>
      <w:marRight w:val="0"/>
      <w:marTop w:val="0"/>
      <w:marBottom w:val="180"/>
      <w:divBdr>
        <w:top w:val="none" w:sz="0" w:space="0" w:color="auto"/>
        <w:left w:val="none" w:sz="0" w:space="0" w:color="auto"/>
        <w:bottom w:val="none" w:sz="0" w:space="0" w:color="auto"/>
        <w:right w:val="none" w:sz="0" w:space="0" w:color="auto"/>
      </w:divBdr>
    </w:div>
    <w:div w:id="106001759">
      <w:marLeft w:val="0"/>
      <w:marRight w:val="0"/>
      <w:marTop w:val="0"/>
      <w:marBottom w:val="240"/>
      <w:divBdr>
        <w:top w:val="none" w:sz="0" w:space="0" w:color="auto"/>
        <w:left w:val="none" w:sz="0" w:space="0" w:color="auto"/>
        <w:bottom w:val="none" w:sz="0" w:space="0" w:color="auto"/>
        <w:right w:val="none" w:sz="0" w:space="0" w:color="auto"/>
      </w:divBdr>
    </w:div>
    <w:div w:id="106699620">
      <w:marLeft w:val="0"/>
      <w:marRight w:val="0"/>
      <w:marTop w:val="0"/>
      <w:marBottom w:val="240"/>
      <w:divBdr>
        <w:top w:val="none" w:sz="0" w:space="0" w:color="auto"/>
        <w:left w:val="none" w:sz="0" w:space="0" w:color="auto"/>
        <w:bottom w:val="none" w:sz="0" w:space="0" w:color="auto"/>
        <w:right w:val="none" w:sz="0" w:space="0" w:color="auto"/>
      </w:divBdr>
    </w:div>
    <w:div w:id="107507269">
      <w:marLeft w:val="0"/>
      <w:marRight w:val="0"/>
      <w:marTop w:val="100"/>
      <w:marBottom w:val="100"/>
      <w:divBdr>
        <w:top w:val="none" w:sz="0" w:space="0" w:color="auto"/>
        <w:left w:val="none" w:sz="0" w:space="0" w:color="auto"/>
        <w:bottom w:val="none" w:sz="0" w:space="0" w:color="auto"/>
        <w:right w:val="none" w:sz="0" w:space="0" w:color="auto"/>
      </w:divBdr>
    </w:div>
    <w:div w:id="108668496">
      <w:marLeft w:val="0"/>
      <w:marRight w:val="0"/>
      <w:marTop w:val="0"/>
      <w:marBottom w:val="0"/>
      <w:divBdr>
        <w:top w:val="none" w:sz="0" w:space="0" w:color="auto"/>
        <w:left w:val="none" w:sz="0" w:space="0" w:color="auto"/>
        <w:bottom w:val="none" w:sz="0" w:space="0" w:color="auto"/>
        <w:right w:val="none" w:sz="0" w:space="0" w:color="auto"/>
      </w:divBdr>
    </w:div>
    <w:div w:id="108669280">
      <w:marLeft w:val="0"/>
      <w:marRight w:val="0"/>
      <w:marTop w:val="0"/>
      <w:marBottom w:val="0"/>
      <w:divBdr>
        <w:top w:val="none" w:sz="0" w:space="0" w:color="auto"/>
        <w:left w:val="none" w:sz="0" w:space="0" w:color="auto"/>
        <w:bottom w:val="none" w:sz="0" w:space="0" w:color="auto"/>
        <w:right w:val="none" w:sz="0" w:space="0" w:color="auto"/>
      </w:divBdr>
    </w:div>
    <w:div w:id="110828117">
      <w:marLeft w:val="0"/>
      <w:marRight w:val="0"/>
      <w:marTop w:val="0"/>
      <w:marBottom w:val="0"/>
      <w:divBdr>
        <w:top w:val="none" w:sz="0" w:space="0" w:color="auto"/>
        <w:left w:val="none" w:sz="0" w:space="0" w:color="auto"/>
        <w:bottom w:val="none" w:sz="0" w:space="0" w:color="auto"/>
        <w:right w:val="none" w:sz="0" w:space="0" w:color="auto"/>
      </w:divBdr>
      <w:divsChild>
        <w:div w:id="1569536798">
          <w:marLeft w:val="0"/>
          <w:marRight w:val="0"/>
          <w:marTop w:val="0"/>
          <w:marBottom w:val="0"/>
          <w:divBdr>
            <w:top w:val="none" w:sz="0" w:space="0" w:color="auto"/>
            <w:left w:val="none" w:sz="0" w:space="0" w:color="auto"/>
            <w:bottom w:val="none" w:sz="0" w:space="0" w:color="auto"/>
            <w:right w:val="none" w:sz="0" w:space="0" w:color="auto"/>
          </w:divBdr>
        </w:div>
      </w:divsChild>
    </w:div>
    <w:div w:id="111290660">
      <w:marLeft w:val="0"/>
      <w:marRight w:val="0"/>
      <w:marTop w:val="0"/>
      <w:marBottom w:val="0"/>
      <w:divBdr>
        <w:top w:val="none" w:sz="0" w:space="0" w:color="auto"/>
        <w:left w:val="none" w:sz="0" w:space="0" w:color="auto"/>
        <w:bottom w:val="none" w:sz="0" w:space="0" w:color="auto"/>
        <w:right w:val="none" w:sz="0" w:space="0" w:color="auto"/>
      </w:divBdr>
    </w:div>
    <w:div w:id="111292345">
      <w:marLeft w:val="0"/>
      <w:marRight w:val="0"/>
      <w:marTop w:val="100"/>
      <w:marBottom w:val="100"/>
      <w:divBdr>
        <w:top w:val="none" w:sz="0" w:space="0" w:color="auto"/>
        <w:left w:val="none" w:sz="0" w:space="0" w:color="auto"/>
        <w:bottom w:val="none" w:sz="0" w:space="0" w:color="auto"/>
        <w:right w:val="none" w:sz="0" w:space="0" w:color="auto"/>
      </w:divBdr>
    </w:div>
    <w:div w:id="113066518">
      <w:marLeft w:val="0"/>
      <w:marRight w:val="0"/>
      <w:marTop w:val="120"/>
      <w:marBottom w:val="240"/>
      <w:divBdr>
        <w:top w:val="none" w:sz="0" w:space="0" w:color="auto"/>
        <w:left w:val="none" w:sz="0" w:space="0" w:color="auto"/>
        <w:bottom w:val="none" w:sz="0" w:space="0" w:color="auto"/>
        <w:right w:val="none" w:sz="0" w:space="0" w:color="auto"/>
      </w:divBdr>
    </w:div>
    <w:div w:id="113642128">
      <w:marLeft w:val="0"/>
      <w:marRight w:val="0"/>
      <w:marTop w:val="0"/>
      <w:marBottom w:val="180"/>
      <w:divBdr>
        <w:top w:val="none" w:sz="0" w:space="0" w:color="auto"/>
        <w:left w:val="none" w:sz="0" w:space="0" w:color="auto"/>
        <w:bottom w:val="none" w:sz="0" w:space="0" w:color="auto"/>
        <w:right w:val="none" w:sz="0" w:space="0" w:color="auto"/>
      </w:divBdr>
    </w:div>
    <w:div w:id="114446952">
      <w:marLeft w:val="0"/>
      <w:marRight w:val="0"/>
      <w:marTop w:val="0"/>
      <w:marBottom w:val="240"/>
      <w:divBdr>
        <w:top w:val="none" w:sz="0" w:space="0" w:color="auto"/>
        <w:left w:val="none" w:sz="0" w:space="0" w:color="auto"/>
        <w:bottom w:val="none" w:sz="0" w:space="0" w:color="auto"/>
        <w:right w:val="none" w:sz="0" w:space="0" w:color="auto"/>
      </w:divBdr>
    </w:div>
    <w:div w:id="114637179">
      <w:marLeft w:val="0"/>
      <w:marRight w:val="0"/>
      <w:marTop w:val="0"/>
      <w:marBottom w:val="240"/>
      <w:divBdr>
        <w:top w:val="none" w:sz="0" w:space="0" w:color="auto"/>
        <w:left w:val="none" w:sz="0" w:space="0" w:color="auto"/>
        <w:bottom w:val="none" w:sz="0" w:space="0" w:color="auto"/>
        <w:right w:val="none" w:sz="0" w:space="0" w:color="auto"/>
      </w:divBdr>
    </w:div>
    <w:div w:id="114911633">
      <w:marLeft w:val="0"/>
      <w:marRight w:val="0"/>
      <w:marTop w:val="0"/>
      <w:marBottom w:val="0"/>
      <w:divBdr>
        <w:top w:val="none" w:sz="0" w:space="0" w:color="auto"/>
        <w:left w:val="none" w:sz="0" w:space="0" w:color="auto"/>
        <w:bottom w:val="none" w:sz="0" w:space="0" w:color="auto"/>
        <w:right w:val="none" w:sz="0" w:space="0" w:color="auto"/>
      </w:divBdr>
    </w:div>
    <w:div w:id="115371979">
      <w:marLeft w:val="0"/>
      <w:marRight w:val="0"/>
      <w:marTop w:val="120"/>
      <w:marBottom w:val="120"/>
      <w:divBdr>
        <w:top w:val="none" w:sz="0" w:space="0" w:color="auto"/>
        <w:left w:val="none" w:sz="0" w:space="0" w:color="auto"/>
        <w:bottom w:val="none" w:sz="0" w:space="0" w:color="auto"/>
        <w:right w:val="none" w:sz="0" w:space="0" w:color="auto"/>
      </w:divBdr>
    </w:div>
    <w:div w:id="115409974">
      <w:marLeft w:val="0"/>
      <w:marRight w:val="0"/>
      <w:marTop w:val="120"/>
      <w:marBottom w:val="120"/>
      <w:divBdr>
        <w:top w:val="none" w:sz="0" w:space="0" w:color="auto"/>
        <w:left w:val="none" w:sz="0" w:space="0" w:color="auto"/>
        <w:bottom w:val="none" w:sz="0" w:space="0" w:color="auto"/>
        <w:right w:val="none" w:sz="0" w:space="0" w:color="auto"/>
      </w:divBdr>
    </w:div>
    <w:div w:id="116876731">
      <w:marLeft w:val="0"/>
      <w:marRight w:val="0"/>
      <w:marTop w:val="180"/>
      <w:marBottom w:val="180"/>
      <w:divBdr>
        <w:top w:val="none" w:sz="0" w:space="0" w:color="auto"/>
        <w:left w:val="none" w:sz="0" w:space="0" w:color="auto"/>
        <w:bottom w:val="none" w:sz="0" w:space="0" w:color="auto"/>
        <w:right w:val="none" w:sz="0" w:space="0" w:color="auto"/>
      </w:divBdr>
    </w:div>
    <w:div w:id="118499423">
      <w:marLeft w:val="0"/>
      <w:marRight w:val="0"/>
      <w:marTop w:val="0"/>
      <w:marBottom w:val="0"/>
      <w:divBdr>
        <w:top w:val="none" w:sz="0" w:space="0" w:color="auto"/>
        <w:left w:val="none" w:sz="0" w:space="0" w:color="auto"/>
        <w:bottom w:val="none" w:sz="0" w:space="0" w:color="auto"/>
        <w:right w:val="none" w:sz="0" w:space="0" w:color="auto"/>
      </w:divBdr>
      <w:divsChild>
        <w:div w:id="55278684">
          <w:marLeft w:val="0"/>
          <w:marRight w:val="0"/>
          <w:marTop w:val="0"/>
          <w:marBottom w:val="0"/>
          <w:divBdr>
            <w:top w:val="none" w:sz="0" w:space="0" w:color="auto"/>
            <w:left w:val="none" w:sz="0" w:space="0" w:color="auto"/>
            <w:bottom w:val="none" w:sz="0" w:space="0" w:color="auto"/>
            <w:right w:val="none" w:sz="0" w:space="0" w:color="auto"/>
          </w:divBdr>
        </w:div>
      </w:divsChild>
    </w:div>
    <w:div w:id="121001814">
      <w:marLeft w:val="0"/>
      <w:marRight w:val="0"/>
      <w:marTop w:val="120"/>
      <w:marBottom w:val="120"/>
      <w:divBdr>
        <w:top w:val="none" w:sz="0" w:space="0" w:color="auto"/>
        <w:left w:val="none" w:sz="0" w:space="0" w:color="auto"/>
        <w:bottom w:val="none" w:sz="0" w:space="0" w:color="auto"/>
        <w:right w:val="none" w:sz="0" w:space="0" w:color="auto"/>
      </w:divBdr>
    </w:div>
    <w:div w:id="121196614">
      <w:marLeft w:val="0"/>
      <w:marRight w:val="0"/>
      <w:marTop w:val="180"/>
      <w:marBottom w:val="180"/>
      <w:divBdr>
        <w:top w:val="none" w:sz="0" w:space="0" w:color="auto"/>
        <w:left w:val="none" w:sz="0" w:space="0" w:color="auto"/>
        <w:bottom w:val="none" w:sz="0" w:space="0" w:color="auto"/>
        <w:right w:val="none" w:sz="0" w:space="0" w:color="auto"/>
      </w:divBdr>
    </w:div>
    <w:div w:id="123086546">
      <w:marLeft w:val="0"/>
      <w:marRight w:val="0"/>
      <w:marTop w:val="180"/>
      <w:marBottom w:val="180"/>
      <w:divBdr>
        <w:top w:val="none" w:sz="0" w:space="0" w:color="auto"/>
        <w:left w:val="none" w:sz="0" w:space="0" w:color="auto"/>
        <w:bottom w:val="none" w:sz="0" w:space="0" w:color="auto"/>
        <w:right w:val="none" w:sz="0" w:space="0" w:color="auto"/>
      </w:divBdr>
    </w:div>
    <w:div w:id="128595460">
      <w:marLeft w:val="0"/>
      <w:marRight w:val="0"/>
      <w:marTop w:val="0"/>
      <w:marBottom w:val="240"/>
      <w:divBdr>
        <w:top w:val="none" w:sz="0" w:space="0" w:color="auto"/>
        <w:left w:val="none" w:sz="0" w:space="0" w:color="auto"/>
        <w:bottom w:val="none" w:sz="0" w:space="0" w:color="auto"/>
        <w:right w:val="none" w:sz="0" w:space="0" w:color="auto"/>
      </w:divBdr>
    </w:div>
    <w:div w:id="130173204">
      <w:marLeft w:val="0"/>
      <w:marRight w:val="0"/>
      <w:marTop w:val="180"/>
      <w:marBottom w:val="180"/>
      <w:divBdr>
        <w:top w:val="none" w:sz="0" w:space="0" w:color="auto"/>
        <w:left w:val="none" w:sz="0" w:space="0" w:color="auto"/>
        <w:bottom w:val="none" w:sz="0" w:space="0" w:color="auto"/>
        <w:right w:val="none" w:sz="0" w:space="0" w:color="auto"/>
      </w:divBdr>
    </w:div>
    <w:div w:id="131679183">
      <w:marLeft w:val="0"/>
      <w:marRight w:val="0"/>
      <w:marTop w:val="120"/>
      <w:marBottom w:val="120"/>
      <w:divBdr>
        <w:top w:val="none" w:sz="0" w:space="0" w:color="auto"/>
        <w:left w:val="none" w:sz="0" w:space="0" w:color="auto"/>
        <w:bottom w:val="none" w:sz="0" w:space="0" w:color="auto"/>
        <w:right w:val="none" w:sz="0" w:space="0" w:color="auto"/>
      </w:divBdr>
    </w:div>
    <w:div w:id="133916392">
      <w:marLeft w:val="0"/>
      <w:marRight w:val="0"/>
      <w:marTop w:val="0"/>
      <w:marBottom w:val="180"/>
      <w:divBdr>
        <w:top w:val="none" w:sz="0" w:space="0" w:color="auto"/>
        <w:left w:val="none" w:sz="0" w:space="0" w:color="auto"/>
        <w:bottom w:val="none" w:sz="0" w:space="0" w:color="auto"/>
        <w:right w:val="none" w:sz="0" w:space="0" w:color="auto"/>
      </w:divBdr>
    </w:div>
    <w:div w:id="134377913">
      <w:marLeft w:val="0"/>
      <w:marRight w:val="0"/>
      <w:marTop w:val="180"/>
      <w:marBottom w:val="180"/>
      <w:divBdr>
        <w:top w:val="none" w:sz="0" w:space="0" w:color="auto"/>
        <w:left w:val="none" w:sz="0" w:space="0" w:color="auto"/>
        <w:bottom w:val="none" w:sz="0" w:space="0" w:color="auto"/>
        <w:right w:val="none" w:sz="0" w:space="0" w:color="auto"/>
      </w:divBdr>
    </w:div>
    <w:div w:id="135143241">
      <w:marLeft w:val="0"/>
      <w:marRight w:val="0"/>
      <w:marTop w:val="100"/>
      <w:marBottom w:val="100"/>
      <w:divBdr>
        <w:top w:val="none" w:sz="0" w:space="0" w:color="auto"/>
        <w:left w:val="none" w:sz="0" w:space="0" w:color="auto"/>
        <w:bottom w:val="none" w:sz="0" w:space="0" w:color="auto"/>
        <w:right w:val="none" w:sz="0" w:space="0" w:color="auto"/>
      </w:divBdr>
    </w:div>
    <w:div w:id="135731482">
      <w:marLeft w:val="0"/>
      <w:marRight w:val="0"/>
      <w:marTop w:val="120"/>
      <w:marBottom w:val="120"/>
      <w:divBdr>
        <w:top w:val="none" w:sz="0" w:space="0" w:color="auto"/>
        <w:left w:val="none" w:sz="0" w:space="0" w:color="auto"/>
        <w:bottom w:val="none" w:sz="0" w:space="0" w:color="auto"/>
        <w:right w:val="none" w:sz="0" w:space="0" w:color="auto"/>
      </w:divBdr>
    </w:div>
    <w:div w:id="139155691">
      <w:marLeft w:val="0"/>
      <w:marRight w:val="0"/>
      <w:marTop w:val="0"/>
      <w:marBottom w:val="0"/>
      <w:divBdr>
        <w:top w:val="none" w:sz="0" w:space="0" w:color="auto"/>
        <w:left w:val="none" w:sz="0" w:space="0" w:color="auto"/>
        <w:bottom w:val="none" w:sz="0" w:space="0" w:color="auto"/>
        <w:right w:val="none" w:sz="0" w:space="0" w:color="auto"/>
      </w:divBdr>
      <w:divsChild>
        <w:div w:id="813452377">
          <w:marLeft w:val="0"/>
          <w:marRight w:val="0"/>
          <w:marTop w:val="0"/>
          <w:marBottom w:val="0"/>
          <w:divBdr>
            <w:top w:val="none" w:sz="0" w:space="0" w:color="auto"/>
            <w:left w:val="none" w:sz="0" w:space="0" w:color="auto"/>
            <w:bottom w:val="none" w:sz="0" w:space="0" w:color="auto"/>
            <w:right w:val="none" w:sz="0" w:space="0" w:color="auto"/>
          </w:divBdr>
        </w:div>
      </w:divsChild>
    </w:div>
    <w:div w:id="139230468">
      <w:marLeft w:val="0"/>
      <w:marRight w:val="0"/>
      <w:marTop w:val="100"/>
      <w:marBottom w:val="100"/>
      <w:divBdr>
        <w:top w:val="none" w:sz="0" w:space="0" w:color="auto"/>
        <w:left w:val="none" w:sz="0" w:space="0" w:color="auto"/>
        <w:bottom w:val="none" w:sz="0" w:space="0" w:color="auto"/>
        <w:right w:val="none" w:sz="0" w:space="0" w:color="auto"/>
      </w:divBdr>
    </w:div>
    <w:div w:id="140080065">
      <w:marLeft w:val="0"/>
      <w:marRight w:val="0"/>
      <w:marTop w:val="0"/>
      <w:marBottom w:val="240"/>
      <w:divBdr>
        <w:top w:val="none" w:sz="0" w:space="0" w:color="auto"/>
        <w:left w:val="none" w:sz="0" w:space="0" w:color="auto"/>
        <w:bottom w:val="none" w:sz="0" w:space="0" w:color="auto"/>
        <w:right w:val="none" w:sz="0" w:space="0" w:color="auto"/>
      </w:divBdr>
    </w:div>
    <w:div w:id="140773201">
      <w:marLeft w:val="0"/>
      <w:marRight w:val="0"/>
      <w:marTop w:val="100"/>
      <w:marBottom w:val="100"/>
      <w:divBdr>
        <w:top w:val="none" w:sz="0" w:space="0" w:color="auto"/>
        <w:left w:val="none" w:sz="0" w:space="0" w:color="auto"/>
        <w:bottom w:val="none" w:sz="0" w:space="0" w:color="auto"/>
        <w:right w:val="none" w:sz="0" w:space="0" w:color="auto"/>
      </w:divBdr>
    </w:div>
    <w:div w:id="140774727">
      <w:marLeft w:val="0"/>
      <w:marRight w:val="0"/>
      <w:marTop w:val="0"/>
      <w:marBottom w:val="240"/>
      <w:divBdr>
        <w:top w:val="none" w:sz="0" w:space="0" w:color="auto"/>
        <w:left w:val="none" w:sz="0" w:space="0" w:color="auto"/>
        <w:bottom w:val="none" w:sz="0" w:space="0" w:color="auto"/>
        <w:right w:val="none" w:sz="0" w:space="0" w:color="auto"/>
      </w:divBdr>
    </w:div>
    <w:div w:id="140998900">
      <w:marLeft w:val="0"/>
      <w:marRight w:val="0"/>
      <w:marTop w:val="0"/>
      <w:marBottom w:val="240"/>
      <w:divBdr>
        <w:top w:val="none" w:sz="0" w:space="0" w:color="auto"/>
        <w:left w:val="none" w:sz="0" w:space="0" w:color="auto"/>
        <w:bottom w:val="none" w:sz="0" w:space="0" w:color="auto"/>
        <w:right w:val="none" w:sz="0" w:space="0" w:color="auto"/>
      </w:divBdr>
    </w:div>
    <w:div w:id="143669718">
      <w:marLeft w:val="0"/>
      <w:marRight w:val="0"/>
      <w:marTop w:val="180"/>
      <w:marBottom w:val="180"/>
      <w:divBdr>
        <w:top w:val="none" w:sz="0" w:space="0" w:color="auto"/>
        <w:left w:val="none" w:sz="0" w:space="0" w:color="auto"/>
        <w:bottom w:val="none" w:sz="0" w:space="0" w:color="auto"/>
        <w:right w:val="none" w:sz="0" w:space="0" w:color="auto"/>
      </w:divBdr>
    </w:div>
    <w:div w:id="145435658">
      <w:marLeft w:val="0"/>
      <w:marRight w:val="0"/>
      <w:marTop w:val="120"/>
      <w:marBottom w:val="120"/>
      <w:divBdr>
        <w:top w:val="none" w:sz="0" w:space="0" w:color="auto"/>
        <w:left w:val="none" w:sz="0" w:space="0" w:color="auto"/>
        <w:bottom w:val="none" w:sz="0" w:space="0" w:color="auto"/>
        <w:right w:val="none" w:sz="0" w:space="0" w:color="auto"/>
      </w:divBdr>
    </w:div>
    <w:div w:id="145587587">
      <w:marLeft w:val="0"/>
      <w:marRight w:val="0"/>
      <w:marTop w:val="0"/>
      <w:marBottom w:val="0"/>
      <w:divBdr>
        <w:top w:val="none" w:sz="0" w:space="0" w:color="auto"/>
        <w:left w:val="none" w:sz="0" w:space="0" w:color="auto"/>
        <w:bottom w:val="none" w:sz="0" w:space="0" w:color="auto"/>
        <w:right w:val="none" w:sz="0" w:space="0" w:color="auto"/>
      </w:divBdr>
      <w:divsChild>
        <w:div w:id="510031330">
          <w:marLeft w:val="0"/>
          <w:marRight w:val="0"/>
          <w:marTop w:val="0"/>
          <w:marBottom w:val="0"/>
          <w:divBdr>
            <w:top w:val="none" w:sz="0" w:space="0" w:color="auto"/>
            <w:left w:val="none" w:sz="0" w:space="0" w:color="auto"/>
            <w:bottom w:val="none" w:sz="0" w:space="0" w:color="auto"/>
            <w:right w:val="none" w:sz="0" w:space="0" w:color="auto"/>
          </w:divBdr>
        </w:div>
      </w:divsChild>
    </w:div>
    <w:div w:id="145780138">
      <w:marLeft w:val="0"/>
      <w:marRight w:val="0"/>
      <w:marTop w:val="0"/>
      <w:marBottom w:val="0"/>
      <w:divBdr>
        <w:top w:val="none" w:sz="0" w:space="0" w:color="auto"/>
        <w:left w:val="none" w:sz="0" w:space="0" w:color="auto"/>
        <w:bottom w:val="none" w:sz="0" w:space="0" w:color="auto"/>
        <w:right w:val="none" w:sz="0" w:space="0" w:color="auto"/>
      </w:divBdr>
    </w:div>
    <w:div w:id="149753632">
      <w:marLeft w:val="0"/>
      <w:marRight w:val="0"/>
      <w:marTop w:val="0"/>
      <w:marBottom w:val="240"/>
      <w:divBdr>
        <w:top w:val="none" w:sz="0" w:space="0" w:color="auto"/>
        <w:left w:val="none" w:sz="0" w:space="0" w:color="auto"/>
        <w:bottom w:val="none" w:sz="0" w:space="0" w:color="auto"/>
        <w:right w:val="none" w:sz="0" w:space="0" w:color="auto"/>
      </w:divBdr>
    </w:div>
    <w:div w:id="150414098">
      <w:marLeft w:val="0"/>
      <w:marRight w:val="0"/>
      <w:marTop w:val="0"/>
      <w:marBottom w:val="0"/>
      <w:divBdr>
        <w:top w:val="none" w:sz="0" w:space="0" w:color="auto"/>
        <w:left w:val="none" w:sz="0" w:space="0" w:color="auto"/>
        <w:bottom w:val="none" w:sz="0" w:space="0" w:color="auto"/>
        <w:right w:val="none" w:sz="0" w:space="0" w:color="auto"/>
      </w:divBdr>
      <w:divsChild>
        <w:div w:id="594479278">
          <w:marLeft w:val="0"/>
          <w:marRight w:val="0"/>
          <w:marTop w:val="0"/>
          <w:marBottom w:val="0"/>
          <w:divBdr>
            <w:top w:val="none" w:sz="0" w:space="0" w:color="auto"/>
            <w:left w:val="none" w:sz="0" w:space="0" w:color="auto"/>
            <w:bottom w:val="none" w:sz="0" w:space="0" w:color="auto"/>
            <w:right w:val="none" w:sz="0" w:space="0" w:color="auto"/>
          </w:divBdr>
        </w:div>
      </w:divsChild>
    </w:div>
    <w:div w:id="154302721">
      <w:marLeft w:val="0"/>
      <w:marRight w:val="0"/>
      <w:marTop w:val="0"/>
      <w:marBottom w:val="180"/>
      <w:divBdr>
        <w:top w:val="none" w:sz="0" w:space="0" w:color="auto"/>
        <w:left w:val="none" w:sz="0" w:space="0" w:color="auto"/>
        <w:bottom w:val="none" w:sz="0" w:space="0" w:color="auto"/>
        <w:right w:val="none" w:sz="0" w:space="0" w:color="auto"/>
      </w:divBdr>
    </w:div>
    <w:div w:id="154534550">
      <w:marLeft w:val="0"/>
      <w:marRight w:val="0"/>
      <w:marTop w:val="0"/>
      <w:marBottom w:val="0"/>
      <w:divBdr>
        <w:top w:val="none" w:sz="0" w:space="0" w:color="auto"/>
        <w:left w:val="none" w:sz="0" w:space="0" w:color="auto"/>
        <w:bottom w:val="none" w:sz="0" w:space="0" w:color="auto"/>
        <w:right w:val="none" w:sz="0" w:space="0" w:color="auto"/>
      </w:divBdr>
    </w:div>
    <w:div w:id="154539078">
      <w:marLeft w:val="0"/>
      <w:marRight w:val="0"/>
      <w:marTop w:val="0"/>
      <w:marBottom w:val="0"/>
      <w:divBdr>
        <w:top w:val="none" w:sz="0" w:space="0" w:color="auto"/>
        <w:left w:val="none" w:sz="0" w:space="0" w:color="auto"/>
        <w:bottom w:val="none" w:sz="0" w:space="0" w:color="auto"/>
        <w:right w:val="none" w:sz="0" w:space="0" w:color="auto"/>
      </w:divBdr>
      <w:divsChild>
        <w:div w:id="129396640">
          <w:marLeft w:val="0"/>
          <w:marRight w:val="0"/>
          <w:marTop w:val="0"/>
          <w:marBottom w:val="0"/>
          <w:divBdr>
            <w:top w:val="none" w:sz="0" w:space="0" w:color="auto"/>
            <w:left w:val="none" w:sz="0" w:space="0" w:color="auto"/>
            <w:bottom w:val="none" w:sz="0" w:space="0" w:color="auto"/>
            <w:right w:val="none" w:sz="0" w:space="0" w:color="auto"/>
          </w:divBdr>
        </w:div>
      </w:divsChild>
    </w:div>
    <w:div w:id="157580601">
      <w:marLeft w:val="0"/>
      <w:marRight w:val="0"/>
      <w:marTop w:val="0"/>
      <w:marBottom w:val="180"/>
      <w:divBdr>
        <w:top w:val="none" w:sz="0" w:space="0" w:color="auto"/>
        <w:left w:val="none" w:sz="0" w:space="0" w:color="auto"/>
        <w:bottom w:val="none" w:sz="0" w:space="0" w:color="auto"/>
        <w:right w:val="none" w:sz="0" w:space="0" w:color="auto"/>
      </w:divBdr>
    </w:div>
    <w:div w:id="159588392">
      <w:marLeft w:val="0"/>
      <w:marRight w:val="0"/>
      <w:marTop w:val="0"/>
      <w:marBottom w:val="0"/>
      <w:divBdr>
        <w:top w:val="none" w:sz="0" w:space="0" w:color="auto"/>
        <w:left w:val="none" w:sz="0" w:space="0" w:color="auto"/>
        <w:bottom w:val="none" w:sz="0" w:space="0" w:color="auto"/>
        <w:right w:val="none" w:sz="0" w:space="0" w:color="auto"/>
      </w:divBdr>
    </w:div>
    <w:div w:id="162160666">
      <w:marLeft w:val="0"/>
      <w:marRight w:val="0"/>
      <w:marTop w:val="0"/>
      <w:marBottom w:val="180"/>
      <w:divBdr>
        <w:top w:val="none" w:sz="0" w:space="0" w:color="auto"/>
        <w:left w:val="none" w:sz="0" w:space="0" w:color="auto"/>
        <w:bottom w:val="none" w:sz="0" w:space="0" w:color="auto"/>
        <w:right w:val="none" w:sz="0" w:space="0" w:color="auto"/>
      </w:divBdr>
    </w:div>
    <w:div w:id="163671946">
      <w:marLeft w:val="0"/>
      <w:marRight w:val="0"/>
      <w:marTop w:val="0"/>
      <w:marBottom w:val="0"/>
      <w:divBdr>
        <w:top w:val="none" w:sz="0" w:space="0" w:color="auto"/>
        <w:left w:val="none" w:sz="0" w:space="0" w:color="auto"/>
        <w:bottom w:val="none" w:sz="0" w:space="0" w:color="auto"/>
        <w:right w:val="none" w:sz="0" w:space="0" w:color="auto"/>
      </w:divBdr>
      <w:divsChild>
        <w:div w:id="118107223">
          <w:marLeft w:val="0"/>
          <w:marRight w:val="0"/>
          <w:marTop w:val="0"/>
          <w:marBottom w:val="0"/>
          <w:divBdr>
            <w:top w:val="none" w:sz="0" w:space="0" w:color="auto"/>
            <w:left w:val="none" w:sz="0" w:space="0" w:color="auto"/>
            <w:bottom w:val="none" w:sz="0" w:space="0" w:color="auto"/>
            <w:right w:val="none" w:sz="0" w:space="0" w:color="auto"/>
          </w:divBdr>
        </w:div>
      </w:divsChild>
    </w:div>
    <w:div w:id="164589625">
      <w:marLeft w:val="0"/>
      <w:marRight w:val="0"/>
      <w:marTop w:val="0"/>
      <w:marBottom w:val="240"/>
      <w:divBdr>
        <w:top w:val="none" w:sz="0" w:space="0" w:color="auto"/>
        <w:left w:val="none" w:sz="0" w:space="0" w:color="auto"/>
        <w:bottom w:val="none" w:sz="0" w:space="0" w:color="auto"/>
        <w:right w:val="none" w:sz="0" w:space="0" w:color="auto"/>
      </w:divBdr>
    </w:div>
    <w:div w:id="165366866">
      <w:marLeft w:val="0"/>
      <w:marRight w:val="0"/>
      <w:marTop w:val="180"/>
      <w:marBottom w:val="180"/>
      <w:divBdr>
        <w:top w:val="none" w:sz="0" w:space="0" w:color="auto"/>
        <w:left w:val="none" w:sz="0" w:space="0" w:color="auto"/>
        <w:bottom w:val="none" w:sz="0" w:space="0" w:color="auto"/>
        <w:right w:val="none" w:sz="0" w:space="0" w:color="auto"/>
      </w:divBdr>
    </w:div>
    <w:div w:id="168298975">
      <w:marLeft w:val="0"/>
      <w:marRight w:val="0"/>
      <w:marTop w:val="0"/>
      <w:marBottom w:val="240"/>
      <w:divBdr>
        <w:top w:val="none" w:sz="0" w:space="0" w:color="auto"/>
        <w:left w:val="none" w:sz="0" w:space="0" w:color="auto"/>
        <w:bottom w:val="none" w:sz="0" w:space="0" w:color="auto"/>
        <w:right w:val="none" w:sz="0" w:space="0" w:color="auto"/>
      </w:divBdr>
    </w:div>
    <w:div w:id="171841773">
      <w:marLeft w:val="0"/>
      <w:marRight w:val="0"/>
      <w:marTop w:val="120"/>
      <w:marBottom w:val="240"/>
      <w:divBdr>
        <w:top w:val="none" w:sz="0" w:space="0" w:color="auto"/>
        <w:left w:val="none" w:sz="0" w:space="0" w:color="auto"/>
        <w:bottom w:val="none" w:sz="0" w:space="0" w:color="auto"/>
        <w:right w:val="none" w:sz="0" w:space="0" w:color="auto"/>
      </w:divBdr>
    </w:div>
    <w:div w:id="174074160">
      <w:marLeft w:val="0"/>
      <w:marRight w:val="0"/>
      <w:marTop w:val="0"/>
      <w:marBottom w:val="0"/>
      <w:divBdr>
        <w:top w:val="none" w:sz="0" w:space="0" w:color="auto"/>
        <w:left w:val="none" w:sz="0" w:space="0" w:color="auto"/>
        <w:bottom w:val="none" w:sz="0" w:space="0" w:color="auto"/>
        <w:right w:val="none" w:sz="0" w:space="0" w:color="auto"/>
      </w:divBdr>
    </w:div>
    <w:div w:id="174342835">
      <w:marLeft w:val="0"/>
      <w:marRight w:val="0"/>
      <w:marTop w:val="120"/>
      <w:marBottom w:val="120"/>
      <w:divBdr>
        <w:top w:val="none" w:sz="0" w:space="0" w:color="auto"/>
        <w:left w:val="none" w:sz="0" w:space="0" w:color="auto"/>
        <w:bottom w:val="none" w:sz="0" w:space="0" w:color="auto"/>
        <w:right w:val="none" w:sz="0" w:space="0" w:color="auto"/>
      </w:divBdr>
    </w:div>
    <w:div w:id="175464741">
      <w:marLeft w:val="0"/>
      <w:marRight w:val="0"/>
      <w:marTop w:val="180"/>
      <w:marBottom w:val="180"/>
      <w:divBdr>
        <w:top w:val="none" w:sz="0" w:space="0" w:color="auto"/>
        <w:left w:val="none" w:sz="0" w:space="0" w:color="auto"/>
        <w:bottom w:val="none" w:sz="0" w:space="0" w:color="auto"/>
        <w:right w:val="none" w:sz="0" w:space="0" w:color="auto"/>
      </w:divBdr>
    </w:div>
    <w:div w:id="177698943">
      <w:marLeft w:val="0"/>
      <w:marRight w:val="0"/>
      <w:marTop w:val="0"/>
      <w:marBottom w:val="180"/>
      <w:divBdr>
        <w:top w:val="none" w:sz="0" w:space="0" w:color="auto"/>
        <w:left w:val="none" w:sz="0" w:space="0" w:color="auto"/>
        <w:bottom w:val="none" w:sz="0" w:space="0" w:color="auto"/>
        <w:right w:val="none" w:sz="0" w:space="0" w:color="auto"/>
      </w:divBdr>
    </w:div>
    <w:div w:id="179008662">
      <w:marLeft w:val="0"/>
      <w:marRight w:val="0"/>
      <w:marTop w:val="0"/>
      <w:marBottom w:val="0"/>
      <w:divBdr>
        <w:top w:val="none" w:sz="0" w:space="0" w:color="auto"/>
        <w:left w:val="none" w:sz="0" w:space="0" w:color="auto"/>
        <w:bottom w:val="none" w:sz="0" w:space="0" w:color="auto"/>
        <w:right w:val="none" w:sz="0" w:space="0" w:color="auto"/>
      </w:divBdr>
      <w:divsChild>
        <w:div w:id="2002005369">
          <w:marLeft w:val="0"/>
          <w:marRight w:val="0"/>
          <w:marTop w:val="0"/>
          <w:marBottom w:val="0"/>
          <w:divBdr>
            <w:top w:val="none" w:sz="0" w:space="0" w:color="auto"/>
            <w:left w:val="none" w:sz="0" w:space="0" w:color="auto"/>
            <w:bottom w:val="none" w:sz="0" w:space="0" w:color="auto"/>
            <w:right w:val="none" w:sz="0" w:space="0" w:color="auto"/>
          </w:divBdr>
        </w:div>
      </w:divsChild>
    </w:div>
    <w:div w:id="181208962">
      <w:marLeft w:val="0"/>
      <w:marRight w:val="0"/>
      <w:marTop w:val="100"/>
      <w:marBottom w:val="100"/>
      <w:divBdr>
        <w:top w:val="none" w:sz="0" w:space="0" w:color="auto"/>
        <w:left w:val="none" w:sz="0" w:space="0" w:color="auto"/>
        <w:bottom w:val="none" w:sz="0" w:space="0" w:color="auto"/>
        <w:right w:val="none" w:sz="0" w:space="0" w:color="auto"/>
      </w:divBdr>
    </w:div>
    <w:div w:id="183174718">
      <w:marLeft w:val="0"/>
      <w:marRight w:val="0"/>
      <w:marTop w:val="0"/>
      <w:marBottom w:val="240"/>
      <w:divBdr>
        <w:top w:val="none" w:sz="0" w:space="0" w:color="auto"/>
        <w:left w:val="none" w:sz="0" w:space="0" w:color="auto"/>
        <w:bottom w:val="none" w:sz="0" w:space="0" w:color="auto"/>
        <w:right w:val="none" w:sz="0" w:space="0" w:color="auto"/>
      </w:divBdr>
    </w:div>
    <w:div w:id="183861087">
      <w:marLeft w:val="0"/>
      <w:marRight w:val="0"/>
      <w:marTop w:val="180"/>
      <w:marBottom w:val="180"/>
      <w:divBdr>
        <w:top w:val="none" w:sz="0" w:space="0" w:color="auto"/>
        <w:left w:val="none" w:sz="0" w:space="0" w:color="auto"/>
        <w:bottom w:val="none" w:sz="0" w:space="0" w:color="auto"/>
        <w:right w:val="none" w:sz="0" w:space="0" w:color="auto"/>
      </w:divBdr>
    </w:div>
    <w:div w:id="183986293">
      <w:marLeft w:val="0"/>
      <w:marRight w:val="0"/>
      <w:marTop w:val="0"/>
      <w:marBottom w:val="0"/>
      <w:divBdr>
        <w:top w:val="none" w:sz="0" w:space="0" w:color="auto"/>
        <w:left w:val="none" w:sz="0" w:space="0" w:color="auto"/>
        <w:bottom w:val="none" w:sz="0" w:space="0" w:color="auto"/>
        <w:right w:val="none" w:sz="0" w:space="0" w:color="auto"/>
      </w:divBdr>
      <w:divsChild>
        <w:div w:id="1602685296">
          <w:marLeft w:val="0"/>
          <w:marRight w:val="0"/>
          <w:marTop w:val="0"/>
          <w:marBottom w:val="0"/>
          <w:divBdr>
            <w:top w:val="none" w:sz="0" w:space="0" w:color="auto"/>
            <w:left w:val="none" w:sz="0" w:space="0" w:color="auto"/>
            <w:bottom w:val="none" w:sz="0" w:space="0" w:color="auto"/>
            <w:right w:val="none" w:sz="0" w:space="0" w:color="auto"/>
          </w:divBdr>
        </w:div>
      </w:divsChild>
    </w:div>
    <w:div w:id="184947217">
      <w:marLeft w:val="0"/>
      <w:marRight w:val="0"/>
      <w:marTop w:val="0"/>
      <w:marBottom w:val="180"/>
      <w:divBdr>
        <w:top w:val="none" w:sz="0" w:space="0" w:color="auto"/>
        <w:left w:val="none" w:sz="0" w:space="0" w:color="auto"/>
        <w:bottom w:val="none" w:sz="0" w:space="0" w:color="auto"/>
        <w:right w:val="none" w:sz="0" w:space="0" w:color="auto"/>
      </w:divBdr>
    </w:div>
    <w:div w:id="185558075">
      <w:marLeft w:val="0"/>
      <w:marRight w:val="0"/>
      <w:marTop w:val="0"/>
      <w:marBottom w:val="180"/>
      <w:divBdr>
        <w:top w:val="none" w:sz="0" w:space="0" w:color="auto"/>
        <w:left w:val="none" w:sz="0" w:space="0" w:color="auto"/>
        <w:bottom w:val="none" w:sz="0" w:space="0" w:color="auto"/>
        <w:right w:val="none" w:sz="0" w:space="0" w:color="auto"/>
      </w:divBdr>
    </w:div>
    <w:div w:id="188417254">
      <w:marLeft w:val="0"/>
      <w:marRight w:val="0"/>
      <w:marTop w:val="0"/>
      <w:marBottom w:val="180"/>
      <w:divBdr>
        <w:top w:val="none" w:sz="0" w:space="0" w:color="auto"/>
        <w:left w:val="none" w:sz="0" w:space="0" w:color="auto"/>
        <w:bottom w:val="none" w:sz="0" w:space="0" w:color="auto"/>
        <w:right w:val="none" w:sz="0" w:space="0" w:color="auto"/>
      </w:divBdr>
    </w:div>
    <w:div w:id="188417942">
      <w:marLeft w:val="0"/>
      <w:marRight w:val="0"/>
      <w:marTop w:val="0"/>
      <w:marBottom w:val="240"/>
      <w:divBdr>
        <w:top w:val="none" w:sz="0" w:space="0" w:color="auto"/>
        <w:left w:val="none" w:sz="0" w:space="0" w:color="auto"/>
        <w:bottom w:val="none" w:sz="0" w:space="0" w:color="auto"/>
        <w:right w:val="none" w:sz="0" w:space="0" w:color="auto"/>
      </w:divBdr>
    </w:div>
    <w:div w:id="188570186">
      <w:marLeft w:val="0"/>
      <w:marRight w:val="0"/>
      <w:marTop w:val="180"/>
      <w:marBottom w:val="180"/>
      <w:divBdr>
        <w:top w:val="none" w:sz="0" w:space="0" w:color="auto"/>
        <w:left w:val="none" w:sz="0" w:space="0" w:color="auto"/>
        <w:bottom w:val="none" w:sz="0" w:space="0" w:color="auto"/>
        <w:right w:val="none" w:sz="0" w:space="0" w:color="auto"/>
      </w:divBdr>
    </w:div>
    <w:div w:id="190845184">
      <w:marLeft w:val="0"/>
      <w:marRight w:val="0"/>
      <w:marTop w:val="180"/>
      <w:marBottom w:val="180"/>
      <w:divBdr>
        <w:top w:val="none" w:sz="0" w:space="0" w:color="auto"/>
        <w:left w:val="none" w:sz="0" w:space="0" w:color="auto"/>
        <w:bottom w:val="none" w:sz="0" w:space="0" w:color="auto"/>
        <w:right w:val="none" w:sz="0" w:space="0" w:color="auto"/>
      </w:divBdr>
    </w:div>
    <w:div w:id="191765221">
      <w:marLeft w:val="0"/>
      <w:marRight w:val="0"/>
      <w:marTop w:val="0"/>
      <w:marBottom w:val="0"/>
      <w:divBdr>
        <w:top w:val="none" w:sz="0" w:space="0" w:color="auto"/>
        <w:left w:val="none" w:sz="0" w:space="0" w:color="auto"/>
        <w:bottom w:val="none" w:sz="0" w:space="0" w:color="auto"/>
        <w:right w:val="none" w:sz="0" w:space="0" w:color="auto"/>
      </w:divBdr>
    </w:div>
    <w:div w:id="194465825">
      <w:marLeft w:val="0"/>
      <w:marRight w:val="0"/>
      <w:marTop w:val="0"/>
      <w:marBottom w:val="0"/>
      <w:divBdr>
        <w:top w:val="none" w:sz="0" w:space="0" w:color="auto"/>
        <w:left w:val="none" w:sz="0" w:space="0" w:color="auto"/>
        <w:bottom w:val="none" w:sz="0" w:space="0" w:color="auto"/>
        <w:right w:val="none" w:sz="0" w:space="0" w:color="auto"/>
      </w:divBdr>
      <w:divsChild>
        <w:div w:id="259460280">
          <w:marLeft w:val="0"/>
          <w:marRight w:val="0"/>
          <w:marTop w:val="0"/>
          <w:marBottom w:val="0"/>
          <w:divBdr>
            <w:top w:val="none" w:sz="0" w:space="0" w:color="auto"/>
            <w:left w:val="none" w:sz="0" w:space="0" w:color="auto"/>
            <w:bottom w:val="none" w:sz="0" w:space="0" w:color="auto"/>
            <w:right w:val="none" w:sz="0" w:space="0" w:color="auto"/>
          </w:divBdr>
        </w:div>
      </w:divsChild>
    </w:div>
    <w:div w:id="194926025">
      <w:marLeft w:val="0"/>
      <w:marRight w:val="0"/>
      <w:marTop w:val="0"/>
      <w:marBottom w:val="240"/>
      <w:divBdr>
        <w:top w:val="none" w:sz="0" w:space="0" w:color="auto"/>
        <w:left w:val="none" w:sz="0" w:space="0" w:color="auto"/>
        <w:bottom w:val="none" w:sz="0" w:space="0" w:color="auto"/>
        <w:right w:val="none" w:sz="0" w:space="0" w:color="auto"/>
      </w:divBdr>
    </w:div>
    <w:div w:id="207105493">
      <w:marLeft w:val="0"/>
      <w:marRight w:val="0"/>
      <w:marTop w:val="120"/>
      <w:marBottom w:val="120"/>
      <w:divBdr>
        <w:top w:val="none" w:sz="0" w:space="0" w:color="auto"/>
        <w:left w:val="none" w:sz="0" w:space="0" w:color="auto"/>
        <w:bottom w:val="none" w:sz="0" w:space="0" w:color="auto"/>
        <w:right w:val="none" w:sz="0" w:space="0" w:color="auto"/>
      </w:divBdr>
    </w:div>
    <w:div w:id="208420784">
      <w:marLeft w:val="0"/>
      <w:marRight w:val="0"/>
      <w:marTop w:val="100"/>
      <w:marBottom w:val="100"/>
      <w:divBdr>
        <w:top w:val="none" w:sz="0" w:space="0" w:color="auto"/>
        <w:left w:val="none" w:sz="0" w:space="0" w:color="auto"/>
        <w:bottom w:val="none" w:sz="0" w:space="0" w:color="auto"/>
        <w:right w:val="none" w:sz="0" w:space="0" w:color="auto"/>
      </w:divBdr>
    </w:div>
    <w:div w:id="214976514">
      <w:marLeft w:val="0"/>
      <w:marRight w:val="0"/>
      <w:marTop w:val="0"/>
      <w:marBottom w:val="0"/>
      <w:divBdr>
        <w:top w:val="none" w:sz="0" w:space="0" w:color="auto"/>
        <w:left w:val="none" w:sz="0" w:space="0" w:color="auto"/>
        <w:bottom w:val="none" w:sz="0" w:space="0" w:color="auto"/>
        <w:right w:val="none" w:sz="0" w:space="0" w:color="auto"/>
      </w:divBdr>
    </w:div>
    <w:div w:id="215049458">
      <w:marLeft w:val="0"/>
      <w:marRight w:val="0"/>
      <w:marTop w:val="0"/>
      <w:marBottom w:val="0"/>
      <w:divBdr>
        <w:top w:val="none" w:sz="0" w:space="0" w:color="auto"/>
        <w:left w:val="none" w:sz="0" w:space="0" w:color="auto"/>
        <w:bottom w:val="none" w:sz="0" w:space="0" w:color="auto"/>
        <w:right w:val="none" w:sz="0" w:space="0" w:color="auto"/>
      </w:divBdr>
    </w:div>
    <w:div w:id="215166767">
      <w:marLeft w:val="0"/>
      <w:marRight w:val="0"/>
      <w:marTop w:val="0"/>
      <w:marBottom w:val="180"/>
      <w:divBdr>
        <w:top w:val="none" w:sz="0" w:space="0" w:color="auto"/>
        <w:left w:val="none" w:sz="0" w:space="0" w:color="auto"/>
        <w:bottom w:val="none" w:sz="0" w:space="0" w:color="auto"/>
        <w:right w:val="none" w:sz="0" w:space="0" w:color="auto"/>
      </w:divBdr>
    </w:div>
    <w:div w:id="216477846">
      <w:marLeft w:val="0"/>
      <w:marRight w:val="0"/>
      <w:marTop w:val="0"/>
      <w:marBottom w:val="0"/>
      <w:divBdr>
        <w:top w:val="none" w:sz="0" w:space="0" w:color="auto"/>
        <w:left w:val="none" w:sz="0" w:space="0" w:color="auto"/>
        <w:bottom w:val="none" w:sz="0" w:space="0" w:color="auto"/>
        <w:right w:val="none" w:sz="0" w:space="0" w:color="auto"/>
      </w:divBdr>
    </w:div>
    <w:div w:id="216741379">
      <w:marLeft w:val="0"/>
      <w:marRight w:val="0"/>
      <w:marTop w:val="0"/>
      <w:marBottom w:val="0"/>
      <w:divBdr>
        <w:top w:val="none" w:sz="0" w:space="0" w:color="auto"/>
        <w:left w:val="none" w:sz="0" w:space="0" w:color="auto"/>
        <w:bottom w:val="none" w:sz="0" w:space="0" w:color="auto"/>
        <w:right w:val="none" w:sz="0" w:space="0" w:color="auto"/>
      </w:divBdr>
    </w:div>
    <w:div w:id="216868148">
      <w:marLeft w:val="0"/>
      <w:marRight w:val="0"/>
      <w:marTop w:val="100"/>
      <w:marBottom w:val="100"/>
      <w:divBdr>
        <w:top w:val="none" w:sz="0" w:space="0" w:color="auto"/>
        <w:left w:val="none" w:sz="0" w:space="0" w:color="auto"/>
        <w:bottom w:val="none" w:sz="0" w:space="0" w:color="auto"/>
        <w:right w:val="none" w:sz="0" w:space="0" w:color="auto"/>
      </w:divBdr>
    </w:div>
    <w:div w:id="219051644">
      <w:marLeft w:val="0"/>
      <w:marRight w:val="0"/>
      <w:marTop w:val="0"/>
      <w:marBottom w:val="0"/>
      <w:divBdr>
        <w:top w:val="none" w:sz="0" w:space="0" w:color="auto"/>
        <w:left w:val="none" w:sz="0" w:space="0" w:color="auto"/>
        <w:bottom w:val="none" w:sz="0" w:space="0" w:color="auto"/>
        <w:right w:val="none" w:sz="0" w:space="0" w:color="auto"/>
      </w:divBdr>
    </w:div>
    <w:div w:id="222832376">
      <w:marLeft w:val="0"/>
      <w:marRight w:val="0"/>
      <w:marTop w:val="0"/>
      <w:marBottom w:val="180"/>
      <w:divBdr>
        <w:top w:val="none" w:sz="0" w:space="0" w:color="auto"/>
        <w:left w:val="none" w:sz="0" w:space="0" w:color="auto"/>
        <w:bottom w:val="none" w:sz="0" w:space="0" w:color="auto"/>
        <w:right w:val="none" w:sz="0" w:space="0" w:color="auto"/>
      </w:divBdr>
    </w:div>
    <w:div w:id="224755276">
      <w:marLeft w:val="0"/>
      <w:marRight w:val="0"/>
      <w:marTop w:val="0"/>
      <w:marBottom w:val="180"/>
      <w:divBdr>
        <w:top w:val="none" w:sz="0" w:space="0" w:color="auto"/>
        <w:left w:val="none" w:sz="0" w:space="0" w:color="auto"/>
        <w:bottom w:val="none" w:sz="0" w:space="0" w:color="auto"/>
        <w:right w:val="none" w:sz="0" w:space="0" w:color="auto"/>
      </w:divBdr>
    </w:div>
    <w:div w:id="224879489">
      <w:marLeft w:val="0"/>
      <w:marRight w:val="0"/>
      <w:marTop w:val="180"/>
      <w:marBottom w:val="180"/>
      <w:divBdr>
        <w:top w:val="none" w:sz="0" w:space="0" w:color="auto"/>
        <w:left w:val="none" w:sz="0" w:space="0" w:color="auto"/>
        <w:bottom w:val="none" w:sz="0" w:space="0" w:color="auto"/>
        <w:right w:val="none" w:sz="0" w:space="0" w:color="auto"/>
      </w:divBdr>
    </w:div>
    <w:div w:id="225143384">
      <w:marLeft w:val="0"/>
      <w:marRight w:val="0"/>
      <w:marTop w:val="0"/>
      <w:marBottom w:val="0"/>
      <w:divBdr>
        <w:top w:val="none" w:sz="0" w:space="0" w:color="auto"/>
        <w:left w:val="none" w:sz="0" w:space="0" w:color="auto"/>
        <w:bottom w:val="none" w:sz="0" w:space="0" w:color="auto"/>
        <w:right w:val="none" w:sz="0" w:space="0" w:color="auto"/>
      </w:divBdr>
      <w:divsChild>
        <w:div w:id="1524518040">
          <w:marLeft w:val="0"/>
          <w:marRight w:val="0"/>
          <w:marTop w:val="0"/>
          <w:marBottom w:val="0"/>
          <w:divBdr>
            <w:top w:val="none" w:sz="0" w:space="0" w:color="auto"/>
            <w:left w:val="none" w:sz="0" w:space="0" w:color="auto"/>
            <w:bottom w:val="none" w:sz="0" w:space="0" w:color="auto"/>
            <w:right w:val="none" w:sz="0" w:space="0" w:color="auto"/>
          </w:divBdr>
        </w:div>
      </w:divsChild>
    </w:div>
    <w:div w:id="226765366">
      <w:marLeft w:val="0"/>
      <w:marRight w:val="0"/>
      <w:marTop w:val="0"/>
      <w:marBottom w:val="180"/>
      <w:divBdr>
        <w:top w:val="none" w:sz="0" w:space="0" w:color="auto"/>
        <w:left w:val="none" w:sz="0" w:space="0" w:color="auto"/>
        <w:bottom w:val="none" w:sz="0" w:space="0" w:color="auto"/>
        <w:right w:val="none" w:sz="0" w:space="0" w:color="auto"/>
      </w:divBdr>
    </w:div>
    <w:div w:id="227234410">
      <w:marLeft w:val="0"/>
      <w:marRight w:val="0"/>
      <w:marTop w:val="0"/>
      <w:marBottom w:val="240"/>
      <w:divBdr>
        <w:top w:val="none" w:sz="0" w:space="0" w:color="auto"/>
        <w:left w:val="none" w:sz="0" w:space="0" w:color="auto"/>
        <w:bottom w:val="none" w:sz="0" w:space="0" w:color="auto"/>
        <w:right w:val="none" w:sz="0" w:space="0" w:color="auto"/>
      </w:divBdr>
    </w:div>
    <w:div w:id="229272654">
      <w:marLeft w:val="0"/>
      <w:marRight w:val="0"/>
      <w:marTop w:val="180"/>
      <w:marBottom w:val="180"/>
      <w:divBdr>
        <w:top w:val="none" w:sz="0" w:space="0" w:color="auto"/>
        <w:left w:val="none" w:sz="0" w:space="0" w:color="auto"/>
        <w:bottom w:val="none" w:sz="0" w:space="0" w:color="auto"/>
        <w:right w:val="none" w:sz="0" w:space="0" w:color="auto"/>
      </w:divBdr>
    </w:div>
    <w:div w:id="232550231">
      <w:marLeft w:val="0"/>
      <w:marRight w:val="0"/>
      <w:marTop w:val="0"/>
      <w:marBottom w:val="0"/>
      <w:divBdr>
        <w:top w:val="none" w:sz="0" w:space="0" w:color="auto"/>
        <w:left w:val="none" w:sz="0" w:space="0" w:color="auto"/>
        <w:bottom w:val="none" w:sz="0" w:space="0" w:color="auto"/>
        <w:right w:val="none" w:sz="0" w:space="0" w:color="auto"/>
      </w:divBdr>
    </w:div>
    <w:div w:id="232786874">
      <w:marLeft w:val="0"/>
      <w:marRight w:val="0"/>
      <w:marTop w:val="0"/>
      <w:marBottom w:val="240"/>
      <w:divBdr>
        <w:top w:val="none" w:sz="0" w:space="0" w:color="auto"/>
        <w:left w:val="none" w:sz="0" w:space="0" w:color="auto"/>
        <w:bottom w:val="none" w:sz="0" w:space="0" w:color="auto"/>
        <w:right w:val="none" w:sz="0" w:space="0" w:color="auto"/>
      </w:divBdr>
    </w:div>
    <w:div w:id="236214224">
      <w:marLeft w:val="0"/>
      <w:marRight w:val="0"/>
      <w:marTop w:val="0"/>
      <w:marBottom w:val="0"/>
      <w:divBdr>
        <w:top w:val="none" w:sz="0" w:space="0" w:color="auto"/>
        <w:left w:val="none" w:sz="0" w:space="0" w:color="auto"/>
        <w:bottom w:val="none" w:sz="0" w:space="0" w:color="auto"/>
        <w:right w:val="none" w:sz="0" w:space="0" w:color="auto"/>
      </w:divBdr>
    </w:div>
    <w:div w:id="237251812">
      <w:marLeft w:val="0"/>
      <w:marRight w:val="0"/>
      <w:marTop w:val="0"/>
      <w:marBottom w:val="180"/>
      <w:divBdr>
        <w:top w:val="none" w:sz="0" w:space="0" w:color="auto"/>
        <w:left w:val="none" w:sz="0" w:space="0" w:color="auto"/>
        <w:bottom w:val="none" w:sz="0" w:space="0" w:color="auto"/>
        <w:right w:val="none" w:sz="0" w:space="0" w:color="auto"/>
      </w:divBdr>
    </w:div>
    <w:div w:id="239827364">
      <w:marLeft w:val="0"/>
      <w:marRight w:val="0"/>
      <w:marTop w:val="120"/>
      <w:marBottom w:val="120"/>
      <w:divBdr>
        <w:top w:val="none" w:sz="0" w:space="0" w:color="auto"/>
        <w:left w:val="none" w:sz="0" w:space="0" w:color="auto"/>
        <w:bottom w:val="none" w:sz="0" w:space="0" w:color="auto"/>
        <w:right w:val="none" w:sz="0" w:space="0" w:color="auto"/>
      </w:divBdr>
    </w:div>
    <w:div w:id="240287725">
      <w:marLeft w:val="0"/>
      <w:marRight w:val="0"/>
      <w:marTop w:val="0"/>
      <w:marBottom w:val="180"/>
      <w:divBdr>
        <w:top w:val="none" w:sz="0" w:space="0" w:color="auto"/>
        <w:left w:val="none" w:sz="0" w:space="0" w:color="auto"/>
        <w:bottom w:val="none" w:sz="0" w:space="0" w:color="auto"/>
        <w:right w:val="none" w:sz="0" w:space="0" w:color="auto"/>
      </w:divBdr>
    </w:div>
    <w:div w:id="241112003">
      <w:marLeft w:val="0"/>
      <w:marRight w:val="0"/>
      <w:marTop w:val="100"/>
      <w:marBottom w:val="100"/>
      <w:divBdr>
        <w:top w:val="none" w:sz="0" w:space="0" w:color="auto"/>
        <w:left w:val="none" w:sz="0" w:space="0" w:color="auto"/>
        <w:bottom w:val="none" w:sz="0" w:space="0" w:color="auto"/>
        <w:right w:val="none" w:sz="0" w:space="0" w:color="auto"/>
      </w:divBdr>
    </w:div>
    <w:div w:id="243026889">
      <w:marLeft w:val="0"/>
      <w:marRight w:val="0"/>
      <w:marTop w:val="180"/>
      <w:marBottom w:val="180"/>
      <w:divBdr>
        <w:top w:val="none" w:sz="0" w:space="0" w:color="auto"/>
        <w:left w:val="none" w:sz="0" w:space="0" w:color="auto"/>
        <w:bottom w:val="none" w:sz="0" w:space="0" w:color="auto"/>
        <w:right w:val="none" w:sz="0" w:space="0" w:color="auto"/>
      </w:divBdr>
    </w:div>
    <w:div w:id="243607293">
      <w:marLeft w:val="0"/>
      <w:marRight w:val="0"/>
      <w:marTop w:val="180"/>
      <w:marBottom w:val="180"/>
      <w:divBdr>
        <w:top w:val="none" w:sz="0" w:space="0" w:color="auto"/>
        <w:left w:val="none" w:sz="0" w:space="0" w:color="auto"/>
        <w:bottom w:val="none" w:sz="0" w:space="0" w:color="auto"/>
        <w:right w:val="none" w:sz="0" w:space="0" w:color="auto"/>
      </w:divBdr>
    </w:div>
    <w:div w:id="245578342">
      <w:marLeft w:val="0"/>
      <w:marRight w:val="0"/>
      <w:marTop w:val="100"/>
      <w:marBottom w:val="220"/>
      <w:divBdr>
        <w:top w:val="none" w:sz="0" w:space="0" w:color="auto"/>
        <w:left w:val="none" w:sz="0" w:space="0" w:color="auto"/>
        <w:bottom w:val="none" w:sz="0" w:space="0" w:color="auto"/>
        <w:right w:val="none" w:sz="0" w:space="0" w:color="auto"/>
      </w:divBdr>
      <w:divsChild>
        <w:div w:id="410543923">
          <w:marLeft w:val="0"/>
          <w:marRight w:val="0"/>
          <w:marTop w:val="0"/>
          <w:marBottom w:val="180"/>
          <w:divBdr>
            <w:top w:val="none" w:sz="0" w:space="0" w:color="auto"/>
            <w:left w:val="none" w:sz="0" w:space="0" w:color="auto"/>
            <w:bottom w:val="none" w:sz="0" w:space="0" w:color="auto"/>
            <w:right w:val="none" w:sz="0" w:space="0" w:color="auto"/>
          </w:divBdr>
        </w:div>
      </w:divsChild>
    </w:div>
    <w:div w:id="248733366">
      <w:marLeft w:val="0"/>
      <w:marRight w:val="0"/>
      <w:marTop w:val="0"/>
      <w:marBottom w:val="180"/>
      <w:divBdr>
        <w:top w:val="none" w:sz="0" w:space="0" w:color="auto"/>
        <w:left w:val="none" w:sz="0" w:space="0" w:color="auto"/>
        <w:bottom w:val="none" w:sz="0" w:space="0" w:color="auto"/>
        <w:right w:val="none" w:sz="0" w:space="0" w:color="auto"/>
      </w:divBdr>
    </w:div>
    <w:div w:id="252474001">
      <w:marLeft w:val="0"/>
      <w:marRight w:val="0"/>
      <w:marTop w:val="0"/>
      <w:marBottom w:val="240"/>
      <w:divBdr>
        <w:top w:val="none" w:sz="0" w:space="0" w:color="auto"/>
        <w:left w:val="none" w:sz="0" w:space="0" w:color="auto"/>
        <w:bottom w:val="none" w:sz="0" w:space="0" w:color="auto"/>
        <w:right w:val="none" w:sz="0" w:space="0" w:color="auto"/>
      </w:divBdr>
    </w:div>
    <w:div w:id="255216953">
      <w:marLeft w:val="0"/>
      <w:marRight w:val="0"/>
      <w:marTop w:val="120"/>
      <w:marBottom w:val="120"/>
      <w:divBdr>
        <w:top w:val="none" w:sz="0" w:space="0" w:color="auto"/>
        <w:left w:val="none" w:sz="0" w:space="0" w:color="auto"/>
        <w:bottom w:val="none" w:sz="0" w:space="0" w:color="auto"/>
        <w:right w:val="none" w:sz="0" w:space="0" w:color="auto"/>
      </w:divBdr>
    </w:div>
    <w:div w:id="255983822">
      <w:marLeft w:val="0"/>
      <w:marRight w:val="0"/>
      <w:marTop w:val="180"/>
      <w:marBottom w:val="180"/>
      <w:divBdr>
        <w:top w:val="none" w:sz="0" w:space="0" w:color="auto"/>
        <w:left w:val="none" w:sz="0" w:space="0" w:color="auto"/>
        <w:bottom w:val="none" w:sz="0" w:space="0" w:color="auto"/>
        <w:right w:val="none" w:sz="0" w:space="0" w:color="auto"/>
      </w:divBdr>
    </w:div>
    <w:div w:id="256640042">
      <w:marLeft w:val="0"/>
      <w:marRight w:val="0"/>
      <w:marTop w:val="100"/>
      <w:marBottom w:val="100"/>
      <w:divBdr>
        <w:top w:val="none" w:sz="0" w:space="0" w:color="auto"/>
        <w:left w:val="none" w:sz="0" w:space="0" w:color="auto"/>
        <w:bottom w:val="none" w:sz="0" w:space="0" w:color="auto"/>
        <w:right w:val="none" w:sz="0" w:space="0" w:color="auto"/>
      </w:divBdr>
    </w:div>
    <w:div w:id="257297716">
      <w:marLeft w:val="0"/>
      <w:marRight w:val="0"/>
      <w:marTop w:val="0"/>
      <w:marBottom w:val="180"/>
      <w:divBdr>
        <w:top w:val="none" w:sz="0" w:space="0" w:color="auto"/>
        <w:left w:val="none" w:sz="0" w:space="0" w:color="auto"/>
        <w:bottom w:val="none" w:sz="0" w:space="0" w:color="auto"/>
        <w:right w:val="none" w:sz="0" w:space="0" w:color="auto"/>
      </w:divBdr>
    </w:div>
    <w:div w:id="257949711">
      <w:marLeft w:val="0"/>
      <w:marRight w:val="0"/>
      <w:marTop w:val="0"/>
      <w:marBottom w:val="0"/>
      <w:divBdr>
        <w:top w:val="none" w:sz="0" w:space="0" w:color="auto"/>
        <w:left w:val="none" w:sz="0" w:space="0" w:color="auto"/>
        <w:bottom w:val="none" w:sz="0" w:space="0" w:color="auto"/>
        <w:right w:val="none" w:sz="0" w:space="0" w:color="auto"/>
      </w:divBdr>
      <w:divsChild>
        <w:div w:id="1147471709">
          <w:marLeft w:val="0"/>
          <w:marRight w:val="0"/>
          <w:marTop w:val="0"/>
          <w:marBottom w:val="0"/>
          <w:divBdr>
            <w:top w:val="none" w:sz="0" w:space="0" w:color="auto"/>
            <w:left w:val="none" w:sz="0" w:space="0" w:color="auto"/>
            <w:bottom w:val="none" w:sz="0" w:space="0" w:color="auto"/>
            <w:right w:val="none" w:sz="0" w:space="0" w:color="auto"/>
          </w:divBdr>
        </w:div>
      </w:divsChild>
    </w:div>
    <w:div w:id="258173279">
      <w:marLeft w:val="0"/>
      <w:marRight w:val="0"/>
      <w:marTop w:val="0"/>
      <w:marBottom w:val="240"/>
      <w:divBdr>
        <w:top w:val="none" w:sz="0" w:space="0" w:color="auto"/>
        <w:left w:val="none" w:sz="0" w:space="0" w:color="auto"/>
        <w:bottom w:val="none" w:sz="0" w:space="0" w:color="auto"/>
        <w:right w:val="none" w:sz="0" w:space="0" w:color="auto"/>
      </w:divBdr>
    </w:div>
    <w:div w:id="260914131">
      <w:marLeft w:val="0"/>
      <w:marRight w:val="0"/>
      <w:marTop w:val="0"/>
      <w:marBottom w:val="0"/>
      <w:divBdr>
        <w:top w:val="none" w:sz="0" w:space="0" w:color="auto"/>
        <w:left w:val="none" w:sz="0" w:space="0" w:color="auto"/>
        <w:bottom w:val="none" w:sz="0" w:space="0" w:color="auto"/>
        <w:right w:val="none" w:sz="0" w:space="0" w:color="auto"/>
      </w:divBdr>
      <w:divsChild>
        <w:div w:id="1317996328">
          <w:marLeft w:val="0"/>
          <w:marRight w:val="0"/>
          <w:marTop w:val="0"/>
          <w:marBottom w:val="0"/>
          <w:divBdr>
            <w:top w:val="none" w:sz="0" w:space="0" w:color="auto"/>
            <w:left w:val="none" w:sz="0" w:space="0" w:color="auto"/>
            <w:bottom w:val="none" w:sz="0" w:space="0" w:color="auto"/>
            <w:right w:val="none" w:sz="0" w:space="0" w:color="auto"/>
          </w:divBdr>
        </w:div>
      </w:divsChild>
    </w:div>
    <w:div w:id="261690902">
      <w:marLeft w:val="0"/>
      <w:marRight w:val="0"/>
      <w:marTop w:val="0"/>
      <w:marBottom w:val="240"/>
      <w:divBdr>
        <w:top w:val="none" w:sz="0" w:space="0" w:color="auto"/>
        <w:left w:val="none" w:sz="0" w:space="0" w:color="auto"/>
        <w:bottom w:val="none" w:sz="0" w:space="0" w:color="auto"/>
        <w:right w:val="none" w:sz="0" w:space="0" w:color="auto"/>
      </w:divBdr>
    </w:div>
    <w:div w:id="263997943">
      <w:marLeft w:val="0"/>
      <w:marRight w:val="0"/>
      <w:marTop w:val="180"/>
      <w:marBottom w:val="180"/>
      <w:divBdr>
        <w:top w:val="none" w:sz="0" w:space="0" w:color="auto"/>
        <w:left w:val="none" w:sz="0" w:space="0" w:color="auto"/>
        <w:bottom w:val="none" w:sz="0" w:space="0" w:color="auto"/>
        <w:right w:val="none" w:sz="0" w:space="0" w:color="auto"/>
      </w:divBdr>
    </w:div>
    <w:div w:id="268860012">
      <w:marLeft w:val="0"/>
      <w:marRight w:val="0"/>
      <w:marTop w:val="100"/>
      <w:marBottom w:val="100"/>
      <w:divBdr>
        <w:top w:val="none" w:sz="0" w:space="0" w:color="auto"/>
        <w:left w:val="none" w:sz="0" w:space="0" w:color="auto"/>
        <w:bottom w:val="none" w:sz="0" w:space="0" w:color="auto"/>
        <w:right w:val="none" w:sz="0" w:space="0" w:color="auto"/>
      </w:divBdr>
      <w:divsChild>
        <w:div w:id="204679796">
          <w:marLeft w:val="0"/>
          <w:marRight w:val="0"/>
          <w:marTop w:val="0"/>
          <w:marBottom w:val="0"/>
          <w:divBdr>
            <w:top w:val="none" w:sz="0" w:space="0" w:color="auto"/>
            <w:left w:val="none" w:sz="0" w:space="0" w:color="auto"/>
            <w:bottom w:val="none" w:sz="0" w:space="0" w:color="auto"/>
            <w:right w:val="none" w:sz="0" w:space="0" w:color="auto"/>
          </w:divBdr>
        </w:div>
        <w:div w:id="1256741155">
          <w:marLeft w:val="0"/>
          <w:marRight w:val="0"/>
          <w:marTop w:val="0"/>
          <w:marBottom w:val="0"/>
          <w:divBdr>
            <w:top w:val="none" w:sz="0" w:space="0" w:color="auto"/>
            <w:left w:val="none" w:sz="0" w:space="0" w:color="auto"/>
            <w:bottom w:val="none" w:sz="0" w:space="0" w:color="auto"/>
            <w:right w:val="none" w:sz="0" w:space="0" w:color="auto"/>
          </w:divBdr>
        </w:div>
        <w:div w:id="1126854981">
          <w:marLeft w:val="0"/>
          <w:marRight w:val="0"/>
          <w:marTop w:val="0"/>
          <w:marBottom w:val="0"/>
          <w:divBdr>
            <w:top w:val="none" w:sz="0" w:space="0" w:color="auto"/>
            <w:left w:val="none" w:sz="0" w:space="0" w:color="auto"/>
            <w:bottom w:val="none" w:sz="0" w:space="0" w:color="auto"/>
            <w:right w:val="none" w:sz="0" w:space="0" w:color="auto"/>
          </w:divBdr>
        </w:div>
        <w:div w:id="67271563">
          <w:marLeft w:val="0"/>
          <w:marRight w:val="0"/>
          <w:marTop w:val="0"/>
          <w:marBottom w:val="0"/>
          <w:divBdr>
            <w:top w:val="none" w:sz="0" w:space="0" w:color="auto"/>
            <w:left w:val="none" w:sz="0" w:space="0" w:color="auto"/>
            <w:bottom w:val="none" w:sz="0" w:space="0" w:color="auto"/>
            <w:right w:val="none" w:sz="0" w:space="0" w:color="auto"/>
          </w:divBdr>
        </w:div>
        <w:div w:id="504637985">
          <w:marLeft w:val="0"/>
          <w:marRight w:val="0"/>
          <w:marTop w:val="0"/>
          <w:marBottom w:val="0"/>
          <w:divBdr>
            <w:top w:val="none" w:sz="0" w:space="0" w:color="auto"/>
            <w:left w:val="none" w:sz="0" w:space="0" w:color="auto"/>
            <w:bottom w:val="none" w:sz="0" w:space="0" w:color="auto"/>
            <w:right w:val="none" w:sz="0" w:space="0" w:color="auto"/>
          </w:divBdr>
        </w:div>
        <w:div w:id="1149786120">
          <w:marLeft w:val="0"/>
          <w:marRight w:val="0"/>
          <w:marTop w:val="0"/>
          <w:marBottom w:val="0"/>
          <w:divBdr>
            <w:top w:val="none" w:sz="0" w:space="0" w:color="auto"/>
            <w:left w:val="none" w:sz="0" w:space="0" w:color="auto"/>
            <w:bottom w:val="none" w:sz="0" w:space="0" w:color="auto"/>
            <w:right w:val="none" w:sz="0" w:space="0" w:color="auto"/>
          </w:divBdr>
        </w:div>
        <w:div w:id="1421222936">
          <w:marLeft w:val="0"/>
          <w:marRight w:val="0"/>
          <w:marTop w:val="0"/>
          <w:marBottom w:val="0"/>
          <w:divBdr>
            <w:top w:val="none" w:sz="0" w:space="0" w:color="auto"/>
            <w:left w:val="none" w:sz="0" w:space="0" w:color="auto"/>
            <w:bottom w:val="none" w:sz="0" w:space="0" w:color="auto"/>
            <w:right w:val="none" w:sz="0" w:space="0" w:color="auto"/>
          </w:divBdr>
        </w:div>
        <w:div w:id="1250696079">
          <w:marLeft w:val="0"/>
          <w:marRight w:val="0"/>
          <w:marTop w:val="0"/>
          <w:marBottom w:val="0"/>
          <w:divBdr>
            <w:top w:val="none" w:sz="0" w:space="0" w:color="auto"/>
            <w:left w:val="none" w:sz="0" w:space="0" w:color="auto"/>
            <w:bottom w:val="none" w:sz="0" w:space="0" w:color="auto"/>
            <w:right w:val="none" w:sz="0" w:space="0" w:color="auto"/>
          </w:divBdr>
        </w:div>
        <w:div w:id="1445004571">
          <w:marLeft w:val="0"/>
          <w:marRight w:val="0"/>
          <w:marTop w:val="0"/>
          <w:marBottom w:val="0"/>
          <w:divBdr>
            <w:top w:val="none" w:sz="0" w:space="0" w:color="auto"/>
            <w:left w:val="none" w:sz="0" w:space="0" w:color="auto"/>
            <w:bottom w:val="none" w:sz="0" w:space="0" w:color="auto"/>
            <w:right w:val="none" w:sz="0" w:space="0" w:color="auto"/>
          </w:divBdr>
        </w:div>
        <w:div w:id="1770928867">
          <w:marLeft w:val="0"/>
          <w:marRight w:val="0"/>
          <w:marTop w:val="0"/>
          <w:marBottom w:val="0"/>
          <w:divBdr>
            <w:top w:val="none" w:sz="0" w:space="0" w:color="auto"/>
            <w:left w:val="none" w:sz="0" w:space="0" w:color="auto"/>
            <w:bottom w:val="none" w:sz="0" w:space="0" w:color="auto"/>
            <w:right w:val="none" w:sz="0" w:space="0" w:color="auto"/>
          </w:divBdr>
        </w:div>
        <w:div w:id="526262065">
          <w:marLeft w:val="0"/>
          <w:marRight w:val="0"/>
          <w:marTop w:val="0"/>
          <w:marBottom w:val="0"/>
          <w:divBdr>
            <w:top w:val="none" w:sz="0" w:space="0" w:color="auto"/>
            <w:left w:val="none" w:sz="0" w:space="0" w:color="auto"/>
            <w:bottom w:val="none" w:sz="0" w:space="0" w:color="auto"/>
            <w:right w:val="none" w:sz="0" w:space="0" w:color="auto"/>
          </w:divBdr>
        </w:div>
        <w:div w:id="921374104">
          <w:marLeft w:val="0"/>
          <w:marRight w:val="0"/>
          <w:marTop w:val="0"/>
          <w:marBottom w:val="0"/>
          <w:divBdr>
            <w:top w:val="none" w:sz="0" w:space="0" w:color="auto"/>
            <w:left w:val="none" w:sz="0" w:space="0" w:color="auto"/>
            <w:bottom w:val="none" w:sz="0" w:space="0" w:color="auto"/>
            <w:right w:val="none" w:sz="0" w:space="0" w:color="auto"/>
          </w:divBdr>
        </w:div>
        <w:div w:id="2108575566">
          <w:marLeft w:val="0"/>
          <w:marRight w:val="0"/>
          <w:marTop w:val="0"/>
          <w:marBottom w:val="0"/>
          <w:divBdr>
            <w:top w:val="none" w:sz="0" w:space="0" w:color="auto"/>
            <w:left w:val="none" w:sz="0" w:space="0" w:color="auto"/>
            <w:bottom w:val="none" w:sz="0" w:space="0" w:color="auto"/>
            <w:right w:val="none" w:sz="0" w:space="0" w:color="auto"/>
          </w:divBdr>
        </w:div>
        <w:div w:id="218060780">
          <w:marLeft w:val="0"/>
          <w:marRight w:val="0"/>
          <w:marTop w:val="0"/>
          <w:marBottom w:val="0"/>
          <w:divBdr>
            <w:top w:val="none" w:sz="0" w:space="0" w:color="auto"/>
            <w:left w:val="none" w:sz="0" w:space="0" w:color="auto"/>
            <w:bottom w:val="none" w:sz="0" w:space="0" w:color="auto"/>
            <w:right w:val="none" w:sz="0" w:space="0" w:color="auto"/>
          </w:divBdr>
        </w:div>
        <w:div w:id="325667187">
          <w:marLeft w:val="0"/>
          <w:marRight w:val="0"/>
          <w:marTop w:val="0"/>
          <w:marBottom w:val="0"/>
          <w:divBdr>
            <w:top w:val="none" w:sz="0" w:space="0" w:color="auto"/>
            <w:left w:val="none" w:sz="0" w:space="0" w:color="auto"/>
            <w:bottom w:val="none" w:sz="0" w:space="0" w:color="auto"/>
            <w:right w:val="none" w:sz="0" w:space="0" w:color="auto"/>
          </w:divBdr>
        </w:div>
        <w:div w:id="1574117786">
          <w:marLeft w:val="0"/>
          <w:marRight w:val="0"/>
          <w:marTop w:val="0"/>
          <w:marBottom w:val="0"/>
          <w:divBdr>
            <w:top w:val="none" w:sz="0" w:space="0" w:color="auto"/>
            <w:left w:val="none" w:sz="0" w:space="0" w:color="auto"/>
            <w:bottom w:val="none" w:sz="0" w:space="0" w:color="auto"/>
            <w:right w:val="none" w:sz="0" w:space="0" w:color="auto"/>
          </w:divBdr>
        </w:div>
        <w:div w:id="891966830">
          <w:marLeft w:val="0"/>
          <w:marRight w:val="0"/>
          <w:marTop w:val="0"/>
          <w:marBottom w:val="0"/>
          <w:divBdr>
            <w:top w:val="none" w:sz="0" w:space="0" w:color="auto"/>
            <w:left w:val="none" w:sz="0" w:space="0" w:color="auto"/>
            <w:bottom w:val="none" w:sz="0" w:space="0" w:color="auto"/>
            <w:right w:val="none" w:sz="0" w:space="0" w:color="auto"/>
          </w:divBdr>
        </w:div>
        <w:div w:id="108474849">
          <w:marLeft w:val="0"/>
          <w:marRight w:val="0"/>
          <w:marTop w:val="0"/>
          <w:marBottom w:val="0"/>
          <w:divBdr>
            <w:top w:val="none" w:sz="0" w:space="0" w:color="auto"/>
            <w:left w:val="none" w:sz="0" w:space="0" w:color="auto"/>
            <w:bottom w:val="none" w:sz="0" w:space="0" w:color="auto"/>
            <w:right w:val="none" w:sz="0" w:space="0" w:color="auto"/>
          </w:divBdr>
        </w:div>
        <w:div w:id="564528444">
          <w:marLeft w:val="0"/>
          <w:marRight w:val="0"/>
          <w:marTop w:val="0"/>
          <w:marBottom w:val="0"/>
          <w:divBdr>
            <w:top w:val="none" w:sz="0" w:space="0" w:color="auto"/>
            <w:left w:val="none" w:sz="0" w:space="0" w:color="auto"/>
            <w:bottom w:val="none" w:sz="0" w:space="0" w:color="auto"/>
            <w:right w:val="none" w:sz="0" w:space="0" w:color="auto"/>
          </w:divBdr>
        </w:div>
        <w:div w:id="1588925910">
          <w:marLeft w:val="0"/>
          <w:marRight w:val="0"/>
          <w:marTop w:val="0"/>
          <w:marBottom w:val="0"/>
          <w:divBdr>
            <w:top w:val="none" w:sz="0" w:space="0" w:color="auto"/>
            <w:left w:val="none" w:sz="0" w:space="0" w:color="auto"/>
            <w:bottom w:val="none" w:sz="0" w:space="0" w:color="auto"/>
            <w:right w:val="none" w:sz="0" w:space="0" w:color="auto"/>
          </w:divBdr>
        </w:div>
        <w:div w:id="1154227163">
          <w:marLeft w:val="0"/>
          <w:marRight w:val="0"/>
          <w:marTop w:val="0"/>
          <w:marBottom w:val="0"/>
          <w:divBdr>
            <w:top w:val="none" w:sz="0" w:space="0" w:color="auto"/>
            <w:left w:val="none" w:sz="0" w:space="0" w:color="auto"/>
            <w:bottom w:val="none" w:sz="0" w:space="0" w:color="auto"/>
            <w:right w:val="none" w:sz="0" w:space="0" w:color="auto"/>
          </w:divBdr>
        </w:div>
        <w:div w:id="800149481">
          <w:marLeft w:val="0"/>
          <w:marRight w:val="0"/>
          <w:marTop w:val="0"/>
          <w:marBottom w:val="0"/>
          <w:divBdr>
            <w:top w:val="none" w:sz="0" w:space="0" w:color="auto"/>
            <w:left w:val="none" w:sz="0" w:space="0" w:color="auto"/>
            <w:bottom w:val="none" w:sz="0" w:space="0" w:color="auto"/>
            <w:right w:val="none" w:sz="0" w:space="0" w:color="auto"/>
          </w:divBdr>
        </w:div>
        <w:div w:id="876969474">
          <w:marLeft w:val="0"/>
          <w:marRight w:val="0"/>
          <w:marTop w:val="0"/>
          <w:marBottom w:val="0"/>
          <w:divBdr>
            <w:top w:val="none" w:sz="0" w:space="0" w:color="auto"/>
            <w:left w:val="none" w:sz="0" w:space="0" w:color="auto"/>
            <w:bottom w:val="none" w:sz="0" w:space="0" w:color="auto"/>
            <w:right w:val="none" w:sz="0" w:space="0" w:color="auto"/>
          </w:divBdr>
        </w:div>
        <w:div w:id="1167548952">
          <w:marLeft w:val="0"/>
          <w:marRight w:val="0"/>
          <w:marTop w:val="0"/>
          <w:marBottom w:val="0"/>
          <w:divBdr>
            <w:top w:val="none" w:sz="0" w:space="0" w:color="auto"/>
            <w:left w:val="none" w:sz="0" w:space="0" w:color="auto"/>
            <w:bottom w:val="none" w:sz="0" w:space="0" w:color="auto"/>
            <w:right w:val="none" w:sz="0" w:space="0" w:color="auto"/>
          </w:divBdr>
        </w:div>
        <w:div w:id="1299844938">
          <w:marLeft w:val="0"/>
          <w:marRight w:val="0"/>
          <w:marTop w:val="0"/>
          <w:marBottom w:val="0"/>
          <w:divBdr>
            <w:top w:val="none" w:sz="0" w:space="0" w:color="auto"/>
            <w:left w:val="none" w:sz="0" w:space="0" w:color="auto"/>
            <w:bottom w:val="none" w:sz="0" w:space="0" w:color="auto"/>
            <w:right w:val="none" w:sz="0" w:space="0" w:color="auto"/>
          </w:divBdr>
        </w:div>
        <w:div w:id="553156531">
          <w:marLeft w:val="0"/>
          <w:marRight w:val="0"/>
          <w:marTop w:val="0"/>
          <w:marBottom w:val="0"/>
          <w:divBdr>
            <w:top w:val="none" w:sz="0" w:space="0" w:color="auto"/>
            <w:left w:val="none" w:sz="0" w:space="0" w:color="auto"/>
            <w:bottom w:val="none" w:sz="0" w:space="0" w:color="auto"/>
            <w:right w:val="none" w:sz="0" w:space="0" w:color="auto"/>
          </w:divBdr>
        </w:div>
        <w:div w:id="401298267">
          <w:marLeft w:val="0"/>
          <w:marRight w:val="0"/>
          <w:marTop w:val="0"/>
          <w:marBottom w:val="0"/>
          <w:divBdr>
            <w:top w:val="none" w:sz="0" w:space="0" w:color="auto"/>
            <w:left w:val="none" w:sz="0" w:space="0" w:color="auto"/>
            <w:bottom w:val="none" w:sz="0" w:space="0" w:color="auto"/>
            <w:right w:val="none" w:sz="0" w:space="0" w:color="auto"/>
          </w:divBdr>
        </w:div>
        <w:div w:id="1898320060">
          <w:marLeft w:val="0"/>
          <w:marRight w:val="0"/>
          <w:marTop w:val="0"/>
          <w:marBottom w:val="0"/>
          <w:divBdr>
            <w:top w:val="none" w:sz="0" w:space="0" w:color="auto"/>
            <w:left w:val="none" w:sz="0" w:space="0" w:color="auto"/>
            <w:bottom w:val="none" w:sz="0" w:space="0" w:color="auto"/>
            <w:right w:val="none" w:sz="0" w:space="0" w:color="auto"/>
          </w:divBdr>
        </w:div>
        <w:div w:id="231624952">
          <w:marLeft w:val="0"/>
          <w:marRight w:val="0"/>
          <w:marTop w:val="0"/>
          <w:marBottom w:val="0"/>
          <w:divBdr>
            <w:top w:val="none" w:sz="0" w:space="0" w:color="auto"/>
            <w:left w:val="none" w:sz="0" w:space="0" w:color="auto"/>
            <w:bottom w:val="none" w:sz="0" w:space="0" w:color="auto"/>
            <w:right w:val="none" w:sz="0" w:space="0" w:color="auto"/>
          </w:divBdr>
        </w:div>
        <w:div w:id="1824851026">
          <w:marLeft w:val="0"/>
          <w:marRight w:val="0"/>
          <w:marTop w:val="0"/>
          <w:marBottom w:val="0"/>
          <w:divBdr>
            <w:top w:val="none" w:sz="0" w:space="0" w:color="auto"/>
            <w:left w:val="none" w:sz="0" w:space="0" w:color="auto"/>
            <w:bottom w:val="none" w:sz="0" w:space="0" w:color="auto"/>
            <w:right w:val="none" w:sz="0" w:space="0" w:color="auto"/>
          </w:divBdr>
        </w:div>
        <w:div w:id="1173177889">
          <w:marLeft w:val="0"/>
          <w:marRight w:val="0"/>
          <w:marTop w:val="0"/>
          <w:marBottom w:val="0"/>
          <w:divBdr>
            <w:top w:val="none" w:sz="0" w:space="0" w:color="auto"/>
            <w:left w:val="none" w:sz="0" w:space="0" w:color="auto"/>
            <w:bottom w:val="none" w:sz="0" w:space="0" w:color="auto"/>
            <w:right w:val="none" w:sz="0" w:space="0" w:color="auto"/>
          </w:divBdr>
        </w:div>
        <w:div w:id="1995523691">
          <w:marLeft w:val="0"/>
          <w:marRight w:val="0"/>
          <w:marTop w:val="0"/>
          <w:marBottom w:val="0"/>
          <w:divBdr>
            <w:top w:val="none" w:sz="0" w:space="0" w:color="auto"/>
            <w:left w:val="none" w:sz="0" w:space="0" w:color="auto"/>
            <w:bottom w:val="none" w:sz="0" w:space="0" w:color="auto"/>
            <w:right w:val="none" w:sz="0" w:space="0" w:color="auto"/>
          </w:divBdr>
        </w:div>
        <w:div w:id="159542486">
          <w:marLeft w:val="0"/>
          <w:marRight w:val="0"/>
          <w:marTop w:val="0"/>
          <w:marBottom w:val="0"/>
          <w:divBdr>
            <w:top w:val="none" w:sz="0" w:space="0" w:color="auto"/>
            <w:left w:val="none" w:sz="0" w:space="0" w:color="auto"/>
            <w:bottom w:val="none" w:sz="0" w:space="0" w:color="auto"/>
            <w:right w:val="none" w:sz="0" w:space="0" w:color="auto"/>
          </w:divBdr>
        </w:div>
        <w:div w:id="1833253035">
          <w:marLeft w:val="0"/>
          <w:marRight w:val="0"/>
          <w:marTop w:val="0"/>
          <w:marBottom w:val="0"/>
          <w:divBdr>
            <w:top w:val="none" w:sz="0" w:space="0" w:color="auto"/>
            <w:left w:val="none" w:sz="0" w:space="0" w:color="auto"/>
            <w:bottom w:val="none" w:sz="0" w:space="0" w:color="auto"/>
            <w:right w:val="none" w:sz="0" w:space="0" w:color="auto"/>
          </w:divBdr>
        </w:div>
        <w:div w:id="207842591">
          <w:marLeft w:val="0"/>
          <w:marRight w:val="0"/>
          <w:marTop w:val="0"/>
          <w:marBottom w:val="0"/>
          <w:divBdr>
            <w:top w:val="none" w:sz="0" w:space="0" w:color="auto"/>
            <w:left w:val="none" w:sz="0" w:space="0" w:color="auto"/>
            <w:bottom w:val="none" w:sz="0" w:space="0" w:color="auto"/>
            <w:right w:val="none" w:sz="0" w:space="0" w:color="auto"/>
          </w:divBdr>
        </w:div>
        <w:div w:id="1802267435">
          <w:marLeft w:val="0"/>
          <w:marRight w:val="0"/>
          <w:marTop w:val="0"/>
          <w:marBottom w:val="0"/>
          <w:divBdr>
            <w:top w:val="none" w:sz="0" w:space="0" w:color="auto"/>
            <w:left w:val="none" w:sz="0" w:space="0" w:color="auto"/>
            <w:bottom w:val="none" w:sz="0" w:space="0" w:color="auto"/>
            <w:right w:val="none" w:sz="0" w:space="0" w:color="auto"/>
          </w:divBdr>
        </w:div>
        <w:div w:id="1764378690">
          <w:marLeft w:val="0"/>
          <w:marRight w:val="0"/>
          <w:marTop w:val="0"/>
          <w:marBottom w:val="0"/>
          <w:divBdr>
            <w:top w:val="none" w:sz="0" w:space="0" w:color="auto"/>
            <w:left w:val="none" w:sz="0" w:space="0" w:color="auto"/>
            <w:bottom w:val="none" w:sz="0" w:space="0" w:color="auto"/>
            <w:right w:val="none" w:sz="0" w:space="0" w:color="auto"/>
          </w:divBdr>
        </w:div>
        <w:div w:id="629014560">
          <w:marLeft w:val="0"/>
          <w:marRight w:val="0"/>
          <w:marTop w:val="0"/>
          <w:marBottom w:val="0"/>
          <w:divBdr>
            <w:top w:val="none" w:sz="0" w:space="0" w:color="auto"/>
            <w:left w:val="none" w:sz="0" w:space="0" w:color="auto"/>
            <w:bottom w:val="none" w:sz="0" w:space="0" w:color="auto"/>
            <w:right w:val="none" w:sz="0" w:space="0" w:color="auto"/>
          </w:divBdr>
        </w:div>
        <w:div w:id="1227492846">
          <w:marLeft w:val="0"/>
          <w:marRight w:val="0"/>
          <w:marTop w:val="0"/>
          <w:marBottom w:val="0"/>
          <w:divBdr>
            <w:top w:val="none" w:sz="0" w:space="0" w:color="auto"/>
            <w:left w:val="none" w:sz="0" w:space="0" w:color="auto"/>
            <w:bottom w:val="none" w:sz="0" w:space="0" w:color="auto"/>
            <w:right w:val="none" w:sz="0" w:space="0" w:color="auto"/>
          </w:divBdr>
        </w:div>
        <w:div w:id="2009748483">
          <w:marLeft w:val="0"/>
          <w:marRight w:val="0"/>
          <w:marTop w:val="0"/>
          <w:marBottom w:val="0"/>
          <w:divBdr>
            <w:top w:val="none" w:sz="0" w:space="0" w:color="auto"/>
            <w:left w:val="none" w:sz="0" w:space="0" w:color="auto"/>
            <w:bottom w:val="none" w:sz="0" w:space="0" w:color="auto"/>
            <w:right w:val="none" w:sz="0" w:space="0" w:color="auto"/>
          </w:divBdr>
        </w:div>
        <w:div w:id="388191310">
          <w:marLeft w:val="0"/>
          <w:marRight w:val="0"/>
          <w:marTop w:val="0"/>
          <w:marBottom w:val="0"/>
          <w:divBdr>
            <w:top w:val="none" w:sz="0" w:space="0" w:color="auto"/>
            <w:left w:val="none" w:sz="0" w:space="0" w:color="auto"/>
            <w:bottom w:val="none" w:sz="0" w:space="0" w:color="auto"/>
            <w:right w:val="none" w:sz="0" w:space="0" w:color="auto"/>
          </w:divBdr>
        </w:div>
      </w:divsChild>
    </w:div>
    <w:div w:id="269049976">
      <w:marLeft w:val="0"/>
      <w:marRight w:val="0"/>
      <w:marTop w:val="0"/>
      <w:marBottom w:val="180"/>
      <w:divBdr>
        <w:top w:val="none" w:sz="0" w:space="0" w:color="auto"/>
        <w:left w:val="none" w:sz="0" w:space="0" w:color="auto"/>
        <w:bottom w:val="none" w:sz="0" w:space="0" w:color="auto"/>
        <w:right w:val="none" w:sz="0" w:space="0" w:color="auto"/>
      </w:divBdr>
    </w:div>
    <w:div w:id="270208469">
      <w:marLeft w:val="0"/>
      <w:marRight w:val="0"/>
      <w:marTop w:val="0"/>
      <w:marBottom w:val="180"/>
      <w:divBdr>
        <w:top w:val="none" w:sz="0" w:space="0" w:color="auto"/>
        <w:left w:val="none" w:sz="0" w:space="0" w:color="auto"/>
        <w:bottom w:val="none" w:sz="0" w:space="0" w:color="auto"/>
        <w:right w:val="none" w:sz="0" w:space="0" w:color="auto"/>
      </w:divBdr>
    </w:div>
    <w:div w:id="271204389">
      <w:marLeft w:val="0"/>
      <w:marRight w:val="0"/>
      <w:marTop w:val="120"/>
      <w:marBottom w:val="240"/>
      <w:divBdr>
        <w:top w:val="none" w:sz="0" w:space="0" w:color="auto"/>
        <w:left w:val="none" w:sz="0" w:space="0" w:color="auto"/>
        <w:bottom w:val="none" w:sz="0" w:space="0" w:color="auto"/>
        <w:right w:val="none" w:sz="0" w:space="0" w:color="auto"/>
      </w:divBdr>
    </w:div>
    <w:div w:id="273098022">
      <w:marLeft w:val="0"/>
      <w:marRight w:val="0"/>
      <w:marTop w:val="120"/>
      <w:marBottom w:val="240"/>
      <w:divBdr>
        <w:top w:val="none" w:sz="0" w:space="0" w:color="auto"/>
        <w:left w:val="none" w:sz="0" w:space="0" w:color="auto"/>
        <w:bottom w:val="none" w:sz="0" w:space="0" w:color="auto"/>
        <w:right w:val="none" w:sz="0" w:space="0" w:color="auto"/>
      </w:divBdr>
    </w:div>
    <w:div w:id="276183144">
      <w:marLeft w:val="0"/>
      <w:marRight w:val="0"/>
      <w:marTop w:val="180"/>
      <w:marBottom w:val="180"/>
      <w:divBdr>
        <w:top w:val="none" w:sz="0" w:space="0" w:color="auto"/>
        <w:left w:val="none" w:sz="0" w:space="0" w:color="auto"/>
        <w:bottom w:val="none" w:sz="0" w:space="0" w:color="auto"/>
        <w:right w:val="none" w:sz="0" w:space="0" w:color="auto"/>
      </w:divBdr>
    </w:div>
    <w:div w:id="278270094">
      <w:marLeft w:val="0"/>
      <w:marRight w:val="0"/>
      <w:marTop w:val="0"/>
      <w:marBottom w:val="0"/>
      <w:divBdr>
        <w:top w:val="none" w:sz="0" w:space="0" w:color="auto"/>
        <w:left w:val="none" w:sz="0" w:space="0" w:color="auto"/>
        <w:bottom w:val="none" w:sz="0" w:space="0" w:color="auto"/>
        <w:right w:val="none" w:sz="0" w:space="0" w:color="auto"/>
      </w:divBdr>
    </w:div>
    <w:div w:id="278419399">
      <w:marLeft w:val="0"/>
      <w:marRight w:val="0"/>
      <w:marTop w:val="0"/>
      <w:marBottom w:val="180"/>
      <w:divBdr>
        <w:top w:val="none" w:sz="0" w:space="0" w:color="auto"/>
        <w:left w:val="none" w:sz="0" w:space="0" w:color="auto"/>
        <w:bottom w:val="none" w:sz="0" w:space="0" w:color="auto"/>
        <w:right w:val="none" w:sz="0" w:space="0" w:color="auto"/>
      </w:divBdr>
    </w:div>
    <w:div w:id="283847653">
      <w:marLeft w:val="0"/>
      <w:marRight w:val="0"/>
      <w:marTop w:val="180"/>
      <w:marBottom w:val="180"/>
      <w:divBdr>
        <w:top w:val="none" w:sz="0" w:space="0" w:color="auto"/>
        <w:left w:val="none" w:sz="0" w:space="0" w:color="auto"/>
        <w:bottom w:val="none" w:sz="0" w:space="0" w:color="auto"/>
        <w:right w:val="none" w:sz="0" w:space="0" w:color="auto"/>
      </w:divBdr>
    </w:div>
    <w:div w:id="285475065">
      <w:marLeft w:val="0"/>
      <w:marRight w:val="0"/>
      <w:marTop w:val="0"/>
      <w:marBottom w:val="0"/>
      <w:divBdr>
        <w:top w:val="none" w:sz="0" w:space="0" w:color="auto"/>
        <w:left w:val="none" w:sz="0" w:space="0" w:color="auto"/>
        <w:bottom w:val="none" w:sz="0" w:space="0" w:color="auto"/>
        <w:right w:val="none" w:sz="0" w:space="0" w:color="auto"/>
      </w:divBdr>
      <w:divsChild>
        <w:div w:id="601036208">
          <w:marLeft w:val="0"/>
          <w:marRight w:val="0"/>
          <w:marTop w:val="0"/>
          <w:marBottom w:val="0"/>
          <w:divBdr>
            <w:top w:val="none" w:sz="0" w:space="0" w:color="auto"/>
            <w:left w:val="none" w:sz="0" w:space="0" w:color="auto"/>
            <w:bottom w:val="none" w:sz="0" w:space="0" w:color="auto"/>
            <w:right w:val="none" w:sz="0" w:space="0" w:color="auto"/>
          </w:divBdr>
        </w:div>
      </w:divsChild>
    </w:div>
    <w:div w:id="287980277">
      <w:marLeft w:val="0"/>
      <w:marRight w:val="0"/>
      <w:marTop w:val="0"/>
      <w:marBottom w:val="240"/>
      <w:divBdr>
        <w:top w:val="none" w:sz="0" w:space="0" w:color="auto"/>
        <w:left w:val="none" w:sz="0" w:space="0" w:color="auto"/>
        <w:bottom w:val="none" w:sz="0" w:space="0" w:color="auto"/>
        <w:right w:val="none" w:sz="0" w:space="0" w:color="auto"/>
      </w:divBdr>
    </w:div>
    <w:div w:id="288241400">
      <w:marLeft w:val="0"/>
      <w:marRight w:val="0"/>
      <w:marTop w:val="0"/>
      <w:marBottom w:val="0"/>
      <w:divBdr>
        <w:top w:val="none" w:sz="0" w:space="0" w:color="auto"/>
        <w:left w:val="none" w:sz="0" w:space="0" w:color="auto"/>
        <w:bottom w:val="none" w:sz="0" w:space="0" w:color="auto"/>
        <w:right w:val="none" w:sz="0" w:space="0" w:color="auto"/>
      </w:divBdr>
    </w:div>
    <w:div w:id="291524387">
      <w:marLeft w:val="0"/>
      <w:marRight w:val="0"/>
      <w:marTop w:val="0"/>
      <w:marBottom w:val="240"/>
      <w:divBdr>
        <w:top w:val="none" w:sz="0" w:space="0" w:color="auto"/>
        <w:left w:val="none" w:sz="0" w:space="0" w:color="auto"/>
        <w:bottom w:val="none" w:sz="0" w:space="0" w:color="auto"/>
        <w:right w:val="none" w:sz="0" w:space="0" w:color="auto"/>
      </w:divBdr>
    </w:div>
    <w:div w:id="293213598">
      <w:marLeft w:val="0"/>
      <w:marRight w:val="0"/>
      <w:marTop w:val="300"/>
      <w:marBottom w:val="240"/>
      <w:divBdr>
        <w:top w:val="none" w:sz="0" w:space="0" w:color="auto"/>
        <w:left w:val="none" w:sz="0" w:space="0" w:color="auto"/>
        <w:bottom w:val="none" w:sz="0" w:space="0" w:color="auto"/>
        <w:right w:val="none" w:sz="0" w:space="0" w:color="auto"/>
      </w:divBdr>
    </w:div>
    <w:div w:id="294725442">
      <w:marLeft w:val="0"/>
      <w:marRight w:val="0"/>
      <w:marTop w:val="0"/>
      <w:marBottom w:val="0"/>
      <w:divBdr>
        <w:top w:val="none" w:sz="0" w:space="0" w:color="auto"/>
        <w:left w:val="none" w:sz="0" w:space="0" w:color="auto"/>
        <w:bottom w:val="none" w:sz="0" w:space="0" w:color="auto"/>
        <w:right w:val="none" w:sz="0" w:space="0" w:color="auto"/>
      </w:divBdr>
    </w:div>
    <w:div w:id="295112932">
      <w:marLeft w:val="0"/>
      <w:marRight w:val="0"/>
      <w:marTop w:val="240"/>
      <w:marBottom w:val="240"/>
      <w:divBdr>
        <w:top w:val="none" w:sz="0" w:space="0" w:color="auto"/>
        <w:left w:val="none" w:sz="0" w:space="0" w:color="auto"/>
        <w:bottom w:val="none" w:sz="0" w:space="0" w:color="auto"/>
        <w:right w:val="none" w:sz="0" w:space="0" w:color="auto"/>
      </w:divBdr>
    </w:div>
    <w:div w:id="297299514">
      <w:marLeft w:val="0"/>
      <w:marRight w:val="0"/>
      <w:marTop w:val="0"/>
      <w:marBottom w:val="240"/>
      <w:divBdr>
        <w:top w:val="none" w:sz="0" w:space="0" w:color="auto"/>
        <w:left w:val="none" w:sz="0" w:space="0" w:color="auto"/>
        <w:bottom w:val="none" w:sz="0" w:space="0" w:color="auto"/>
        <w:right w:val="none" w:sz="0" w:space="0" w:color="auto"/>
      </w:divBdr>
    </w:div>
    <w:div w:id="297876175">
      <w:marLeft w:val="0"/>
      <w:marRight w:val="0"/>
      <w:marTop w:val="120"/>
      <w:marBottom w:val="180"/>
      <w:divBdr>
        <w:top w:val="none" w:sz="0" w:space="0" w:color="auto"/>
        <w:left w:val="none" w:sz="0" w:space="0" w:color="auto"/>
        <w:bottom w:val="none" w:sz="0" w:space="0" w:color="auto"/>
        <w:right w:val="none" w:sz="0" w:space="0" w:color="auto"/>
      </w:divBdr>
    </w:div>
    <w:div w:id="298536089">
      <w:marLeft w:val="0"/>
      <w:marRight w:val="0"/>
      <w:marTop w:val="0"/>
      <w:marBottom w:val="240"/>
      <w:divBdr>
        <w:top w:val="none" w:sz="0" w:space="0" w:color="auto"/>
        <w:left w:val="none" w:sz="0" w:space="0" w:color="auto"/>
        <w:bottom w:val="none" w:sz="0" w:space="0" w:color="auto"/>
        <w:right w:val="none" w:sz="0" w:space="0" w:color="auto"/>
      </w:divBdr>
    </w:div>
    <w:div w:id="298800939">
      <w:marLeft w:val="0"/>
      <w:marRight w:val="0"/>
      <w:marTop w:val="120"/>
      <w:marBottom w:val="120"/>
      <w:divBdr>
        <w:top w:val="none" w:sz="0" w:space="0" w:color="auto"/>
        <w:left w:val="none" w:sz="0" w:space="0" w:color="auto"/>
        <w:bottom w:val="none" w:sz="0" w:space="0" w:color="auto"/>
        <w:right w:val="none" w:sz="0" w:space="0" w:color="auto"/>
      </w:divBdr>
    </w:div>
    <w:div w:id="299194527">
      <w:marLeft w:val="0"/>
      <w:marRight w:val="0"/>
      <w:marTop w:val="0"/>
      <w:marBottom w:val="0"/>
      <w:divBdr>
        <w:top w:val="none" w:sz="0" w:space="0" w:color="auto"/>
        <w:left w:val="none" w:sz="0" w:space="0" w:color="auto"/>
        <w:bottom w:val="none" w:sz="0" w:space="0" w:color="auto"/>
        <w:right w:val="none" w:sz="0" w:space="0" w:color="auto"/>
      </w:divBdr>
      <w:divsChild>
        <w:div w:id="465780971">
          <w:marLeft w:val="0"/>
          <w:marRight w:val="0"/>
          <w:marTop w:val="0"/>
          <w:marBottom w:val="0"/>
          <w:divBdr>
            <w:top w:val="none" w:sz="0" w:space="0" w:color="auto"/>
            <w:left w:val="none" w:sz="0" w:space="0" w:color="auto"/>
            <w:bottom w:val="none" w:sz="0" w:space="0" w:color="auto"/>
            <w:right w:val="none" w:sz="0" w:space="0" w:color="auto"/>
          </w:divBdr>
        </w:div>
      </w:divsChild>
    </w:div>
    <w:div w:id="300892687">
      <w:marLeft w:val="0"/>
      <w:marRight w:val="0"/>
      <w:marTop w:val="0"/>
      <w:marBottom w:val="0"/>
      <w:divBdr>
        <w:top w:val="none" w:sz="0" w:space="0" w:color="auto"/>
        <w:left w:val="none" w:sz="0" w:space="0" w:color="auto"/>
        <w:bottom w:val="none" w:sz="0" w:space="0" w:color="auto"/>
        <w:right w:val="none" w:sz="0" w:space="0" w:color="auto"/>
      </w:divBdr>
    </w:div>
    <w:div w:id="300963778">
      <w:marLeft w:val="0"/>
      <w:marRight w:val="0"/>
      <w:marTop w:val="0"/>
      <w:marBottom w:val="180"/>
      <w:divBdr>
        <w:top w:val="none" w:sz="0" w:space="0" w:color="auto"/>
        <w:left w:val="none" w:sz="0" w:space="0" w:color="auto"/>
        <w:bottom w:val="none" w:sz="0" w:space="0" w:color="auto"/>
        <w:right w:val="none" w:sz="0" w:space="0" w:color="auto"/>
      </w:divBdr>
    </w:div>
    <w:div w:id="301229156">
      <w:marLeft w:val="0"/>
      <w:marRight w:val="0"/>
      <w:marTop w:val="0"/>
      <w:marBottom w:val="0"/>
      <w:divBdr>
        <w:top w:val="none" w:sz="0" w:space="0" w:color="auto"/>
        <w:left w:val="none" w:sz="0" w:space="0" w:color="auto"/>
        <w:bottom w:val="none" w:sz="0" w:space="0" w:color="auto"/>
        <w:right w:val="none" w:sz="0" w:space="0" w:color="auto"/>
      </w:divBdr>
    </w:div>
    <w:div w:id="302734040">
      <w:marLeft w:val="0"/>
      <w:marRight w:val="0"/>
      <w:marTop w:val="0"/>
      <w:marBottom w:val="0"/>
      <w:divBdr>
        <w:top w:val="none" w:sz="0" w:space="0" w:color="auto"/>
        <w:left w:val="none" w:sz="0" w:space="0" w:color="auto"/>
        <w:bottom w:val="none" w:sz="0" w:space="0" w:color="auto"/>
        <w:right w:val="none" w:sz="0" w:space="0" w:color="auto"/>
      </w:divBdr>
    </w:div>
    <w:div w:id="308290231">
      <w:marLeft w:val="0"/>
      <w:marRight w:val="0"/>
      <w:marTop w:val="0"/>
      <w:marBottom w:val="0"/>
      <w:divBdr>
        <w:top w:val="none" w:sz="0" w:space="0" w:color="auto"/>
        <w:left w:val="none" w:sz="0" w:space="0" w:color="auto"/>
        <w:bottom w:val="none" w:sz="0" w:space="0" w:color="auto"/>
        <w:right w:val="none" w:sz="0" w:space="0" w:color="auto"/>
      </w:divBdr>
    </w:div>
    <w:div w:id="308554662">
      <w:marLeft w:val="0"/>
      <w:marRight w:val="0"/>
      <w:marTop w:val="0"/>
      <w:marBottom w:val="0"/>
      <w:divBdr>
        <w:top w:val="none" w:sz="0" w:space="0" w:color="auto"/>
        <w:left w:val="none" w:sz="0" w:space="0" w:color="auto"/>
        <w:bottom w:val="none" w:sz="0" w:space="0" w:color="auto"/>
        <w:right w:val="none" w:sz="0" w:space="0" w:color="auto"/>
      </w:divBdr>
      <w:divsChild>
        <w:div w:id="1986543227">
          <w:marLeft w:val="0"/>
          <w:marRight w:val="0"/>
          <w:marTop w:val="0"/>
          <w:marBottom w:val="0"/>
          <w:divBdr>
            <w:top w:val="none" w:sz="0" w:space="0" w:color="auto"/>
            <w:left w:val="none" w:sz="0" w:space="0" w:color="auto"/>
            <w:bottom w:val="none" w:sz="0" w:space="0" w:color="auto"/>
            <w:right w:val="none" w:sz="0" w:space="0" w:color="auto"/>
          </w:divBdr>
        </w:div>
      </w:divsChild>
    </w:div>
    <w:div w:id="311443774">
      <w:marLeft w:val="0"/>
      <w:marRight w:val="0"/>
      <w:marTop w:val="120"/>
      <w:marBottom w:val="180"/>
      <w:divBdr>
        <w:top w:val="none" w:sz="0" w:space="0" w:color="auto"/>
        <w:left w:val="none" w:sz="0" w:space="0" w:color="auto"/>
        <w:bottom w:val="none" w:sz="0" w:space="0" w:color="auto"/>
        <w:right w:val="none" w:sz="0" w:space="0" w:color="auto"/>
      </w:divBdr>
    </w:div>
    <w:div w:id="312638416">
      <w:marLeft w:val="0"/>
      <w:marRight w:val="0"/>
      <w:marTop w:val="0"/>
      <w:marBottom w:val="180"/>
      <w:divBdr>
        <w:top w:val="none" w:sz="0" w:space="0" w:color="auto"/>
        <w:left w:val="none" w:sz="0" w:space="0" w:color="auto"/>
        <w:bottom w:val="none" w:sz="0" w:space="0" w:color="auto"/>
        <w:right w:val="none" w:sz="0" w:space="0" w:color="auto"/>
      </w:divBdr>
    </w:div>
    <w:div w:id="312754877">
      <w:marLeft w:val="0"/>
      <w:marRight w:val="0"/>
      <w:marTop w:val="120"/>
      <w:marBottom w:val="120"/>
      <w:divBdr>
        <w:top w:val="none" w:sz="0" w:space="0" w:color="auto"/>
        <w:left w:val="none" w:sz="0" w:space="0" w:color="auto"/>
        <w:bottom w:val="none" w:sz="0" w:space="0" w:color="auto"/>
        <w:right w:val="none" w:sz="0" w:space="0" w:color="auto"/>
      </w:divBdr>
    </w:div>
    <w:div w:id="321198635">
      <w:marLeft w:val="0"/>
      <w:marRight w:val="0"/>
      <w:marTop w:val="120"/>
      <w:marBottom w:val="180"/>
      <w:divBdr>
        <w:top w:val="none" w:sz="0" w:space="0" w:color="auto"/>
        <w:left w:val="none" w:sz="0" w:space="0" w:color="auto"/>
        <w:bottom w:val="none" w:sz="0" w:space="0" w:color="auto"/>
        <w:right w:val="none" w:sz="0" w:space="0" w:color="auto"/>
      </w:divBdr>
    </w:div>
    <w:div w:id="323092483">
      <w:marLeft w:val="0"/>
      <w:marRight w:val="0"/>
      <w:marTop w:val="100"/>
      <w:marBottom w:val="100"/>
      <w:divBdr>
        <w:top w:val="none" w:sz="0" w:space="0" w:color="auto"/>
        <w:left w:val="none" w:sz="0" w:space="0" w:color="auto"/>
        <w:bottom w:val="none" w:sz="0" w:space="0" w:color="auto"/>
        <w:right w:val="none" w:sz="0" w:space="0" w:color="auto"/>
      </w:divBdr>
      <w:divsChild>
        <w:div w:id="1812363501">
          <w:marLeft w:val="0"/>
          <w:marRight w:val="0"/>
          <w:marTop w:val="0"/>
          <w:marBottom w:val="0"/>
          <w:divBdr>
            <w:top w:val="none" w:sz="0" w:space="0" w:color="auto"/>
            <w:left w:val="none" w:sz="0" w:space="0" w:color="auto"/>
            <w:bottom w:val="none" w:sz="0" w:space="0" w:color="auto"/>
            <w:right w:val="none" w:sz="0" w:space="0" w:color="auto"/>
          </w:divBdr>
        </w:div>
        <w:div w:id="930506988">
          <w:marLeft w:val="0"/>
          <w:marRight w:val="0"/>
          <w:marTop w:val="0"/>
          <w:marBottom w:val="0"/>
          <w:divBdr>
            <w:top w:val="none" w:sz="0" w:space="0" w:color="auto"/>
            <w:left w:val="none" w:sz="0" w:space="0" w:color="auto"/>
            <w:bottom w:val="none" w:sz="0" w:space="0" w:color="auto"/>
            <w:right w:val="none" w:sz="0" w:space="0" w:color="auto"/>
          </w:divBdr>
        </w:div>
        <w:div w:id="1353072914">
          <w:marLeft w:val="0"/>
          <w:marRight w:val="0"/>
          <w:marTop w:val="0"/>
          <w:marBottom w:val="0"/>
          <w:divBdr>
            <w:top w:val="none" w:sz="0" w:space="0" w:color="auto"/>
            <w:left w:val="none" w:sz="0" w:space="0" w:color="auto"/>
            <w:bottom w:val="none" w:sz="0" w:space="0" w:color="auto"/>
            <w:right w:val="none" w:sz="0" w:space="0" w:color="auto"/>
          </w:divBdr>
        </w:div>
        <w:div w:id="1501384882">
          <w:marLeft w:val="0"/>
          <w:marRight w:val="0"/>
          <w:marTop w:val="0"/>
          <w:marBottom w:val="0"/>
          <w:divBdr>
            <w:top w:val="none" w:sz="0" w:space="0" w:color="auto"/>
            <w:left w:val="none" w:sz="0" w:space="0" w:color="auto"/>
            <w:bottom w:val="none" w:sz="0" w:space="0" w:color="auto"/>
            <w:right w:val="none" w:sz="0" w:space="0" w:color="auto"/>
          </w:divBdr>
        </w:div>
        <w:div w:id="1291477991">
          <w:marLeft w:val="0"/>
          <w:marRight w:val="0"/>
          <w:marTop w:val="0"/>
          <w:marBottom w:val="0"/>
          <w:divBdr>
            <w:top w:val="none" w:sz="0" w:space="0" w:color="auto"/>
            <w:left w:val="none" w:sz="0" w:space="0" w:color="auto"/>
            <w:bottom w:val="none" w:sz="0" w:space="0" w:color="auto"/>
            <w:right w:val="none" w:sz="0" w:space="0" w:color="auto"/>
          </w:divBdr>
        </w:div>
        <w:div w:id="848564396">
          <w:marLeft w:val="0"/>
          <w:marRight w:val="0"/>
          <w:marTop w:val="0"/>
          <w:marBottom w:val="0"/>
          <w:divBdr>
            <w:top w:val="none" w:sz="0" w:space="0" w:color="auto"/>
            <w:left w:val="none" w:sz="0" w:space="0" w:color="auto"/>
            <w:bottom w:val="none" w:sz="0" w:space="0" w:color="auto"/>
            <w:right w:val="none" w:sz="0" w:space="0" w:color="auto"/>
          </w:divBdr>
        </w:div>
        <w:div w:id="303236965">
          <w:marLeft w:val="0"/>
          <w:marRight w:val="0"/>
          <w:marTop w:val="0"/>
          <w:marBottom w:val="0"/>
          <w:divBdr>
            <w:top w:val="none" w:sz="0" w:space="0" w:color="auto"/>
            <w:left w:val="none" w:sz="0" w:space="0" w:color="auto"/>
            <w:bottom w:val="none" w:sz="0" w:space="0" w:color="auto"/>
            <w:right w:val="none" w:sz="0" w:space="0" w:color="auto"/>
          </w:divBdr>
        </w:div>
        <w:div w:id="1207134706">
          <w:marLeft w:val="0"/>
          <w:marRight w:val="0"/>
          <w:marTop w:val="0"/>
          <w:marBottom w:val="0"/>
          <w:divBdr>
            <w:top w:val="none" w:sz="0" w:space="0" w:color="auto"/>
            <w:left w:val="none" w:sz="0" w:space="0" w:color="auto"/>
            <w:bottom w:val="none" w:sz="0" w:space="0" w:color="auto"/>
            <w:right w:val="none" w:sz="0" w:space="0" w:color="auto"/>
          </w:divBdr>
        </w:div>
        <w:div w:id="203178724">
          <w:marLeft w:val="0"/>
          <w:marRight w:val="0"/>
          <w:marTop w:val="0"/>
          <w:marBottom w:val="120"/>
          <w:divBdr>
            <w:top w:val="none" w:sz="0" w:space="0" w:color="auto"/>
            <w:left w:val="none" w:sz="0" w:space="0" w:color="auto"/>
            <w:bottom w:val="none" w:sz="0" w:space="0" w:color="auto"/>
            <w:right w:val="none" w:sz="0" w:space="0" w:color="auto"/>
          </w:divBdr>
        </w:div>
        <w:div w:id="996298431">
          <w:marLeft w:val="0"/>
          <w:marRight w:val="0"/>
          <w:marTop w:val="0"/>
          <w:marBottom w:val="120"/>
          <w:divBdr>
            <w:top w:val="none" w:sz="0" w:space="0" w:color="auto"/>
            <w:left w:val="none" w:sz="0" w:space="0" w:color="auto"/>
            <w:bottom w:val="none" w:sz="0" w:space="0" w:color="auto"/>
            <w:right w:val="none" w:sz="0" w:space="0" w:color="auto"/>
          </w:divBdr>
        </w:div>
        <w:div w:id="378363703">
          <w:marLeft w:val="0"/>
          <w:marRight w:val="0"/>
          <w:marTop w:val="0"/>
          <w:marBottom w:val="120"/>
          <w:divBdr>
            <w:top w:val="none" w:sz="0" w:space="0" w:color="auto"/>
            <w:left w:val="none" w:sz="0" w:space="0" w:color="auto"/>
            <w:bottom w:val="none" w:sz="0" w:space="0" w:color="auto"/>
            <w:right w:val="none" w:sz="0" w:space="0" w:color="auto"/>
          </w:divBdr>
        </w:div>
        <w:div w:id="1797017738">
          <w:marLeft w:val="0"/>
          <w:marRight w:val="0"/>
          <w:marTop w:val="0"/>
          <w:marBottom w:val="120"/>
          <w:divBdr>
            <w:top w:val="none" w:sz="0" w:space="0" w:color="auto"/>
            <w:left w:val="none" w:sz="0" w:space="0" w:color="auto"/>
            <w:bottom w:val="none" w:sz="0" w:space="0" w:color="auto"/>
            <w:right w:val="none" w:sz="0" w:space="0" w:color="auto"/>
          </w:divBdr>
        </w:div>
        <w:div w:id="1503935925">
          <w:marLeft w:val="0"/>
          <w:marRight w:val="0"/>
          <w:marTop w:val="0"/>
          <w:marBottom w:val="0"/>
          <w:divBdr>
            <w:top w:val="none" w:sz="0" w:space="0" w:color="auto"/>
            <w:left w:val="none" w:sz="0" w:space="0" w:color="auto"/>
            <w:bottom w:val="none" w:sz="0" w:space="0" w:color="auto"/>
            <w:right w:val="none" w:sz="0" w:space="0" w:color="auto"/>
          </w:divBdr>
        </w:div>
        <w:div w:id="1712027364">
          <w:marLeft w:val="0"/>
          <w:marRight w:val="0"/>
          <w:marTop w:val="0"/>
          <w:marBottom w:val="0"/>
          <w:divBdr>
            <w:top w:val="none" w:sz="0" w:space="0" w:color="auto"/>
            <w:left w:val="none" w:sz="0" w:space="0" w:color="auto"/>
            <w:bottom w:val="none" w:sz="0" w:space="0" w:color="auto"/>
            <w:right w:val="none" w:sz="0" w:space="0" w:color="auto"/>
          </w:divBdr>
        </w:div>
        <w:div w:id="971905759">
          <w:marLeft w:val="0"/>
          <w:marRight w:val="0"/>
          <w:marTop w:val="0"/>
          <w:marBottom w:val="0"/>
          <w:divBdr>
            <w:top w:val="none" w:sz="0" w:space="0" w:color="auto"/>
            <w:left w:val="none" w:sz="0" w:space="0" w:color="auto"/>
            <w:bottom w:val="none" w:sz="0" w:space="0" w:color="auto"/>
            <w:right w:val="none" w:sz="0" w:space="0" w:color="auto"/>
          </w:divBdr>
        </w:div>
        <w:div w:id="1636987352">
          <w:marLeft w:val="0"/>
          <w:marRight w:val="0"/>
          <w:marTop w:val="0"/>
          <w:marBottom w:val="0"/>
          <w:divBdr>
            <w:top w:val="none" w:sz="0" w:space="0" w:color="auto"/>
            <w:left w:val="none" w:sz="0" w:space="0" w:color="auto"/>
            <w:bottom w:val="none" w:sz="0" w:space="0" w:color="auto"/>
            <w:right w:val="none" w:sz="0" w:space="0" w:color="auto"/>
          </w:divBdr>
        </w:div>
      </w:divsChild>
    </w:div>
    <w:div w:id="326790548">
      <w:marLeft w:val="0"/>
      <w:marRight w:val="0"/>
      <w:marTop w:val="0"/>
      <w:marBottom w:val="0"/>
      <w:divBdr>
        <w:top w:val="none" w:sz="0" w:space="0" w:color="auto"/>
        <w:left w:val="none" w:sz="0" w:space="0" w:color="auto"/>
        <w:bottom w:val="none" w:sz="0" w:space="0" w:color="auto"/>
        <w:right w:val="none" w:sz="0" w:space="0" w:color="auto"/>
      </w:divBdr>
    </w:div>
    <w:div w:id="327440005">
      <w:marLeft w:val="0"/>
      <w:marRight w:val="0"/>
      <w:marTop w:val="0"/>
      <w:marBottom w:val="240"/>
      <w:divBdr>
        <w:top w:val="none" w:sz="0" w:space="0" w:color="auto"/>
        <w:left w:val="none" w:sz="0" w:space="0" w:color="auto"/>
        <w:bottom w:val="none" w:sz="0" w:space="0" w:color="auto"/>
        <w:right w:val="none" w:sz="0" w:space="0" w:color="auto"/>
      </w:divBdr>
    </w:div>
    <w:div w:id="327830591">
      <w:marLeft w:val="0"/>
      <w:marRight w:val="0"/>
      <w:marTop w:val="0"/>
      <w:marBottom w:val="240"/>
      <w:divBdr>
        <w:top w:val="none" w:sz="0" w:space="0" w:color="auto"/>
        <w:left w:val="none" w:sz="0" w:space="0" w:color="auto"/>
        <w:bottom w:val="none" w:sz="0" w:space="0" w:color="auto"/>
        <w:right w:val="none" w:sz="0" w:space="0" w:color="auto"/>
      </w:divBdr>
    </w:div>
    <w:div w:id="330566702">
      <w:marLeft w:val="0"/>
      <w:marRight w:val="0"/>
      <w:marTop w:val="0"/>
      <w:marBottom w:val="0"/>
      <w:divBdr>
        <w:top w:val="none" w:sz="0" w:space="0" w:color="auto"/>
        <w:left w:val="none" w:sz="0" w:space="0" w:color="auto"/>
        <w:bottom w:val="none" w:sz="0" w:space="0" w:color="auto"/>
        <w:right w:val="none" w:sz="0" w:space="0" w:color="auto"/>
      </w:divBdr>
    </w:div>
    <w:div w:id="331877699">
      <w:marLeft w:val="0"/>
      <w:marRight w:val="0"/>
      <w:marTop w:val="180"/>
      <w:marBottom w:val="180"/>
      <w:divBdr>
        <w:top w:val="none" w:sz="0" w:space="0" w:color="auto"/>
        <w:left w:val="none" w:sz="0" w:space="0" w:color="auto"/>
        <w:bottom w:val="none" w:sz="0" w:space="0" w:color="auto"/>
        <w:right w:val="none" w:sz="0" w:space="0" w:color="auto"/>
      </w:divBdr>
    </w:div>
    <w:div w:id="333723437">
      <w:marLeft w:val="0"/>
      <w:marRight w:val="0"/>
      <w:marTop w:val="100"/>
      <w:marBottom w:val="100"/>
      <w:divBdr>
        <w:top w:val="none" w:sz="0" w:space="0" w:color="auto"/>
        <w:left w:val="none" w:sz="0" w:space="0" w:color="auto"/>
        <w:bottom w:val="none" w:sz="0" w:space="0" w:color="auto"/>
        <w:right w:val="none" w:sz="0" w:space="0" w:color="auto"/>
      </w:divBdr>
      <w:divsChild>
        <w:div w:id="1362827342">
          <w:marLeft w:val="0"/>
          <w:marRight w:val="0"/>
          <w:marTop w:val="0"/>
          <w:marBottom w:val="0"/>
          <w:divBdr>
            <w:top w:val="none" w:sz="0" w:space="0" w:color="auto"/>
            <w:left w:val="none" w:sz="0" w:space="0" w:color="auto"/>
            <w:bottom w:val="none" w:sz="0" w:space="0" w:color="auto"/>
            <w:right w:val="none" w:sz="0" w:space="0" w:color="auto"/>
          </w:divBdr>
        </w:div>
        <w:div w:id="1787506929">
          <w:marLeft w:val="0"/>
          <w:marRight w:val="0"/>
          <w:marTop w:val="0"/>
          <w:marBottom w:val="0"/>
          <w:divBdr>
            <w:top w:val="none" w:sz="0" w:space="0" w:color="auto"/>
            <w:left w:val="none" w:sz="0" w:space="0" w:color="auto"/>
            <w:bottom w:val="none" w:sz="0" w:space="0" w:color="auto"/>
            <w:right w:val="none" w:sz="0" w:space="0" w:color="auto"/>
          </w:divBdr>
        </w:div>
      </w:divsChild>
    </w:div>
    <w:div w:id="337008397">
      <w:marLeft w:val="0"/>
      <w:marRight w:val="0"/>
      <w:marTop w:val="60"/>
      <w:marBottom w:val="120"/>
      <w:divBdr>
        <w:top w:val="none" w:sz="0" w:space="0" w:color="auto"/>
        <w:left w:val="none" w:sz="0" w:space="0" w:color="auto"/>
        <w:bottom w:val="none" w:sz="0" w:space="0" w:color="auto"/>
        <w:right w:val="none" w:sz="0" w:space="0" w:color="auto"/>
      </w:divBdr>
    </w:div>
    <w:div w:id="337269001">
      <w:marLeft w:val="0"/>
      <w:marRight w:val="0"/>
      <w:marTop w:val="100"/>
      <w:marBottom w:val="100"/>
      <w:divBdr>
        <w:top w:val="none" w:sz="0" w:space="0" w:color="auto"/>
        <w:left w:val="none" w:sz="0" w:space="0" w:color="auto"/>
        <w:bottom w:val="none" w:sz="0" w:space="0" w:color="auto"/>
        <w:right w:val="none" w:sz="0" w:space="0" w:color="auto"/>
      </w:divBdr>
      <w:divsChild>
        <w:div w:id="19402392">
          <w:marLeft w:val="0"/>
          <w:marRight w:val="0"/>
          <w:marTop w:val="0"/>
          <w:marBottom w:val="180"/>
          <w:divBdr>
            <w:top w:val="none" w:sz="0" w:space="0" w:color="auto"/>
            <w:left w:val="none" w:sz="0" w:space="0" w:color="auto"/>
            <w:bottom w:val="none" w:sz="0" w:space="0" w:color="auto"/>
            <w:right w:val="none" w:sz="0" w:space="0" w:color="auto"/>
          </w:divBdr>
        </w:div>
      </w:divsChild>
    </w:div>
    <w:div w:id="338123799">
      <w:marLeft w:val="0"/>
      <w:marRight w:val="0"/>
      <w:marTop w:val="0"/>
      <w:marBottom w:val="0"/>
      <w:divBdr>
        <w:top w:val="none" w:sz="0" w:space="0" w:color="auto"/>
        <w:left w:val="none" w:sz="0" w:space="0" w:color="auto"/>
        <w:bottom w:val="none" w:sz="0" w:space="0" w:color="auto"/>
        <w:right w:val="none" w:sz="0" w:space="0" w:color="auto"/>
      </w:divBdr>
    </w:div>
    <w:div w:id="338193655">
      <w:marLeft w:val="0"/>
      <w:marRight w:val="0"/>
      <w:marTop w:val="0"/>
      <w:marBottom w:val="0"/>
      <w:divBdr>
        <w:top w:val="none" w:sz="0" w:space="0" w:color="auto"/>
        <w:left w:val="none" w:sz="0" w:space="0" w:color="auto"/>
        <w:bottom w:val="none" w:sz="0" w:space="0" w:color="auto"/>
        <w:right w:val="none" w:sz="0" w:space="0" w:color="auto"/>
      </w:divBdr>
    </w:div>
    <w:div w:id="339889086">
      <w:marLeft w:val="0"/>
      <w:marRight w:val="0"/>
      <w:marTop w:val="120"/>
      <w:marBottom w:val="120"/>
      <w:divBdr>
        <w:top w:val="none" w:sz="0" w:space="0" w:color="auto"/>
        <w:left w:val="none" w:sz="0" w:space="0" w:color="auto"/>
        <w:bottom w:val="none" w:sz="0" w:space="0" w:color="auto"/>
        <w:right w:val="none" w:sz="0" w:space="0" w:color="auto"/>
      </w:divBdr>
    </w:div>
    <w:div w:id="340010143">
      <w:marLeft w:val="0"/>
      <w:marRight w:val="0"/>
      <w:marTop w:val="0"/>
      <w:marBottom w:val="0"/>
      <w:divBdr>
        <w:top w:val="none" w:sz="0" w:space="0" w:color="auto"/>
        <w:left w:val="none" w:sz="0" w:space="0" w:color="auto"/>
        <w:bottom w:val="none" w:sz="0" w:space="0" w:color="auto"/>
        <w:right w:val="none" w:sz="0" w:space="0" w:color="auto"/>
      </w:divBdr>
    </w:div>
    <w:div w:id="340088591">
      <w:marLeft w:val="0"/>
      <w:marRight w:val="0"/>
      <w:marTop w:val="180"/>
      <w:marBottom w:val="180"/>
      <w:divBdr>
        <w:top w:val="none" w:sz="0" w:space="0" w:color="auto"/>
        <w:left w:val="none" w:sz="0" w:space="0" w:color="auto"/>
        <w:bottom w:val="none" w:sz="0" w:space="0" w:color="auto"/>
        <w:right w:val="none" w:sz="0" w:space="0" w:color="auto"/>
      </w:divBdr>
    </w:div>
    <w:div w:id="344865463">
      <w:marLeft w:val="0"/>
      <w:marRight w:val="0"/>
      <w:marTop w:val="0"/>
      <w:marBottom w:val="180"/>
      <w:divBdr>
        <w:top w:val="none" w:sz="0" w:space="0" w:color="auto"/>
        <w:left w:val="none" w:sz="0" w:space="0" w:color="auto"/>
        <w:bottom w:val="none" w:sz="0" w:space="0" w:color="auto"/>
        <w:right w:val="none" w:sz="0" w:space="0" w:color="auto"/>
      </w:divBdr>
    </w:div>
    <w:div w:id="346832136">
      <w:marLeft w:val="0"/>
      <w:marRight w:val="0"/>
      <w:marTop w:val="100"/>
      <w:marBottom w:val="100"/>
      <w:divBdr>
        <w:top w:val="none" w:sz="0" w:space="0" w:color="auto"/>
        <w:left w:val="none" w:sz="0" w:space="0" w:color="auto"/>
        <w:bottom w:val="none" w:sz="0" w:space="0" w:color="auto"/>
        <w:right w:val="none" w:sz="0" w:space="0" w:color="auto"/>
      </w:divBdr>
    </w:div>
    <w:div w:id="349141094">
      <w:marLeft w:val="0"/>
      <w:marRight w:val="0"/>
      <w:marTop w:val="0"/>
      <w:marBottom w:val="180"/>
      <w:divBdr>
        <w:top w:val="none" w:sz="0" w:space="0" w:color="auto"/>
        <w:left w:val="none" w:sz="0" w:space="0" w:color="auto"/>
        <w:bottom w:val="none" w:sz="0" w:space="0" w:color="auto"/>
        <w:right w:val="none" w:sz="0" w:space="0" w:color="auto"/>
      </w:divBdr>
    </w:div>
    <w:div w:id="353578086">
      <w:marLeft w:val="0"/>
      <w:marRight w:val="0"/>
      <w:marTop w:val="0"/>
      <w:marBottom w:val="240"/>
      <w:divBdr>
        <w:top w:val="none" w:sz="0" w:space="0" w:color="auto"/>
        <w:left w:val="none" w:sz="0" w:space="0" w:color="auto"/>
        <w:bottom w:val="none" w:sz="0" w:space="0" w:color="auto"/>
        <w:right w:val="none" w:sz="0" w:space="0" w:color="auto"/>
      </w:divBdr>
    </w:div>
    <w:div w:id="353727656">
      <w:marLeft w:val="0"/>
      <w:marRight w:val="0"/>
      <w:marTop w:val="0"/>
      <w:marBottom w:val="240"/>
      <w:divBdr>
        <w:top w:val="none" w:sz="0" w:space="0" w:color="auto"/>
        <w:left w:val="none" w:sz="0" w:space="0" w:color="auto"/>
        <w:bottom w:val="none" w:sz="0" w:space="0" w:color="auto"/>
        <w:right w:val="none" w:sz="0" w:space="0" w:color="auto"/>
      </w:divBdr>
    </w:div>
    <w:div w:id="353773146">
      <w:marLeft w:val="0"/>
      <w:marRight w:val="0"/>
      <w:marTop w:val="0"/>
      <w:marBottom w:val="180"/>
      <w:divBdr>
        <w:top w:val="none" w:sz="0" w:space="0" w:color="auto"/>
        <w:left w:val="none" w:sz="0" w:space="0" w:color="auto"/>
        <w:bottom w:val="none" w:sz="0" w:space="0" w:color="auto"/>
        <w:right w:val="none" w:sz="0" w:space="0" w:color="auto"/>
      </w:divBdr>
    </w:div>
    <w:div w:id="354817779">
      <w:marLeft w:val="0"/>
      <w:marRight w:val="0"/>
      <w:marTop w:val="0"/>
      <w:marBottom w:val="240"/>
      <w:divBdr>
        <w:top w:val="none" w:sz="0" w:space="0" w:color="auto"/>
        <w:left w:val="none" w:sz="0" w:space="0" w:color="auto"/>
        <w:bottom w:val="none" w:sz="0" w:space="0" w:color="auto"/>
        <w:right w:val="none" w:sz="0" w:space="0" w:color="auto"/>
      </w:divBdr>
    </w:div>
    <w:div w:id="354891561">
      <w:marLeft w:val="0"/>
      <w:marRight w:val="0"/>
      <w:marTop w:val="120"/>
      <w:marBottom w:val="120"/>
      <w:divBdr>
        <w:top w:val="none" w:sz="0" w:space="0" w:color="auto"/>
        <w:left w:val="none" w:sz="0" w:space="0" w:color="auto"/>
        <w:bottom w:val="none" w:sz="0" w:space="0" w:color="auto"/>
        <w:right w:val="none" w:sz="0" w:space="0" w:color="auto"/>
      </w:divBdr>
    </w:div>
    <w:div w:id="355347263">
      <w:marLeft w:val="0"/>
      <w:marRight w:val="0"/>
      <w:marTop w:val="0"/>
      <w:marBottom w:val="0"/>
      <w:divBdr>
        <w:top w:val="none" w:sz="0" w:space="0" w:color="auto"/>
        <w:left w:val="none" w:sz="0" w:space="0" w:color="auto"/>
        <w:bottom w:val="none" w:sz="0" w:space="0" w:color="auto"/>
        <w:right w:val="none" w:sz="0" w:space="0" w:color="auto"/>
      </w:divBdr>
    </w:div>
    <w:div w:id="360134918">
      <w:marLeft w:val="0"/>
      <w:marRight w:val="0"/>
      <w:marTop w:val="0"/>
      <w:marBottom w:val="0"/>
      <w:divBdr>
        <w:top w:val="none" w:sz="0" w:space="0" w:color="auto"/>
        <w:left w:val="none" w:sz="0" w:space="0" w:color="auto"/>
        <w:bottom w:val="none" w:sz="0" w:space="0" w:color="auto"/>
        <w:right w:val="none" w:sz="0" w:space="0" w:color="auto"/>
      </w:divBdr>
    </w:div>
    <w:div w:id="360979977">
      <w:marLeft w:val="0"/>
      <w:marRight w:val="0"/>
      <w:marTop w:val="180"/>
      <w:marBottom w:val="180"/>
      <w:divBdr>
        <w:top w:val="none" w:sz="0" w:space="0" w:color="auto"/>
        <w:left w:val="none" w:sz="0" w:space="0" w:color="auto"/>
        <w:bottom w:val="none" w:sz="0" w:space="0" w:color="auto"/>
        <w:right w:val="none" w:sz="0" w:space="0" w:color="auto"/>
      </w:divBdr>
    </w:div>
    <w:div w:id="361437510">
      <w:marLeft w:val="0"/>
      <w:marRight w:val="0"/>
      <w:marTop w:val="0"/>
      <w:marBottom w:val="0"/>
      <w:divBdr>
        <w:top w:val="none" w:sz="0" w:space="0" w:color="auto"/>
        <w:left w:val="none" w:sz="0" w:space="0" w:color="auto"/>
        <w:bottom w:val="none" w:sz="0" w:space="0" w:color="auto"/>
        <w:right w:val="none" w:sz="0" w:space="0" w:color="auto"/>
      </w:divBdr>
      <w:divsChild>
        <w:div w:id="886452248">
          <w:marLeft w:val="0"/>
          <w:marRight w:val="0"/>
          <w:marTop w:val="0"/>
          <w:marBottom w:val="0"/>
          <w:divBdr>
            <w:top w:val="none" w:sz="0" w:space="0" w:color="auto"/>
            <w:left w:val="none" w:sz="0" w:space="0" w:color="auto"/>
            <w:bottom w:val="none" w:sz="0" w:space="0" w:color="auto"/>
            <w:right w:val="none" w:sz="0" w:space="0" w:color="auto"/>
          </w:divBdr>
        </w:div>
      </w:divsChild>
    </w:div>
    <w:div w:id="363215599">
      <w:marLeft w:val="0"/>
      <w:marRight w:val="0"/>
      <w:marTop w:val="0"/>
      <w:marBottom w:val="240"/>
      <w:divBdr>
        <w:top w:val="none" w:sz="0" w:space="0" w:color="auto"/>
        <w:left w:val="none" w:sz="0" w:space="0" w:color="auto"/>
        <w:bottom w:val="none" w:sz="0" w:space="0" w:color="auto"/>
        <w:right w:val="none" w:sz="0" w:space="0" w:color="auto"/>
      </w:divBdr>
    </w:div>
    <w:div w:id="363406838">
      <w:marLeft w:val="0"/>
      <w:marRight w:val="0"/>
      <w:marTop w:val="100"/>
      <w:marBottom w:val="100"/>
      <w:divBdr>
        <w:top w:val="none" w:sz="0" w:space="0" w:color="auto"/>
        <w:left w:val="none" w:sz="0" w:space="0" w:color="auto"/>
        <w:bottom w:val="none" w:sz="0" w:space="0" w:color="auto"/>
        <w:right w:val="none" w:sz="0" w:space="0" w:color="auto"/>
      </w:divBdr>
    </w:div>
    <w:div w:id="366223661">
      <w:marLeft w:val="0"/>
      <w:marRight w:val="0"/>
      <w:marTop w:val="0"/>
      <w:marBottom w:val="180"/>
      <w:divBdr>
        <w:top w:val="none" w:sz="0" w:space="0" w:color="auto"/>
        <w:left w:val="none" w:sz="0" w:space="0" w:color="auto"/>
        <w:bottom w:val="none" w:sz="0" w:space="0" w:color="auto"/>
        <w:right w:val="none" w:sz="0" w:space="0" w:color="auto"/>
      </w:divBdr>
    </w:div>
    <w:div w:id="366881639">
      <w:marLeft w:val="0"/>
      <w:marRight w:val="0"/>
      <w:marTop w:val="180"/>
      <w:marBottom w:val="180"/>
      <w:divBdr>
        <w:top w:val="none" w:sz="0" w:space="0" w:color="auto"/>
        <w:left w:val="none" w:sz="0" w:space="0" w:color="auto"/>
        <w:bottom w:val="none" w:sz="0" w:space="0" w:color="auto"/>
        <w:right w:val="none" w:sz="0" w:space="0" w:color="auto"/>
      </w:divBdr>
    </w:div>
    <w:div w:id="367416055">
      <w:marLeft w:val="0"/>
      <w:marRight w:val="0"/>
      <w:marTop w:val="100"/>
      <w:marBottom w:val="100"/>
      <w:divBdr>
        <w:top w:val="none" w:sz="0" w:space="0" w:color="auto"/>
        <w:left w:val="none" w:sz="0" w:space="0" w:color="auto"/>
        <w:bottom w:val="none" w:sz="0" w:space="0" w:color="auto"/>
        <w:right w:val="none" w:sz="0" w:space="0" w:color="auto"/>
      </w:divBdr>
      <w:divsChild>
        <w:div w:id="1244530392">
          <w:marLeft w:val="0"/>
          <w:marRight w:val="0"/>
          <w:marTop w:val="0"/>
          <w:marBottom w:val="0"/>
          <w:divBdr>
            <w:top w:val="none" w:sz="0" w:space="0" w:color="auto"/>
            <w:left w:val="none" w:sz="0" w:space="0" w:color="auto"/>
            <w:bottom w:val="none" w:sz="0" w:space="0" w:color="auto"/>
            <w:right w:val="none" w:sz="0" w:space="0" w:color="auto"/>
          </w:divBdr>
        </w:div>
        <w:div w:id="418215096">
          <w:marLeft w:val="0"/>
          <w:marRight w:val="0"/>
          <w:marTop w:val="0"/>
          <w:marBottom w:val="0"/>
          <w:divBdr>
            <w:top w:val="none" w:sz="0" w:space="0" w:color="auto"/>
            <w:left w:val="none" w:sz="0" w:space="0" w:color="auto"/>
            <w:bottom w:val="none" w:sz="0" w:space="0" w:color="auto"/>
            <w:right w:val="none" w:sz="0" w:space="0" w:color="auto"/>
          </w:divBdr>
        </w:div>
      </w:divsChild>
    </w:div>
    <w:div w:id="369693129">
      <w:marLeft w:val="0"/>
      <w:marRight w:val="0"/>
      <w:marTop w:val="0"/>
      <w:marBottom w:val="0"/>
      <w:divBdr>
        <w:top w:val="none" w:sz="0" w:space="0" w:color="auto"/>
        <w:left w:val="none" w:sz="0" w:space="0" w:color="auto"/>
        <w:bottom w:val="none" w:sz="0" w:space="0" w:color="auto"/>
        <w:right w:val="none" w:sz="0" w:space="0" w:color="auto"/>
      </w:divBdr>
    </w:div>
    <w:div w:id="370034046">
      <w:marLeft w:val="0"/>
      <w:marRight w:val="0"/>
      <w:marTop w:val="0"/>
      <w:marBottom w:val="240"/>
      <w:divBdr>
        <w:top w:val="none" w:sz="0" w:space="0" w:color="auto"/>
        <w:left w:val="none" w:sz="0" w:space="0" w:color="auto"/>
        <w:bottom w:val="none" w:sz="0" w:space="0" w:color="auto"/>
        <w:right w:val="none" w:sz="0" w:space="0" w:color="auto"/>
      </w:divBdr>
    </w:div>
    <w:div w:id="372535031">
      <w:marLeft w:val="0"/>
      <w:marRight w:val="0"/>
      <w:marTop w:val="0"/>
      <w:marBottom w:val="180"/>
      <w:divBdr>
        <w:top w:val="none" w:sz="0" w:space="0" w:color="auto"/>
        <w:left w:val="none" w:sz="0" w:space="0" w:color="auto"/>
        <w:bottom w:val="none" w:sz="0" w:space="0" w:color="auto"/>
        <w:right w:val="none" w:sz="0" w:space="0" w:color="auto"/>
      </w:divBdr>
    </w:div>
    <w:div w:id="374352151">
      <w:marLeft w:val="0"/>
      <w:marRight w:val="0"/>
      <w:marTop w:val="0"/>
      <w:marBottom w:val="0"/>
      <w:divBdr>
        <w:top w:val="none" w:sz="0" w:space="0" w:color="auto"/>
        <w:left w:val="none" w:sz="0" w:space="0" w:color="auto"/>
        <w:bottom w:val="none" w:sz="0" w:space="0" w:color="auto"/>
        <w:right w:val="none" w:sz="0" w:space="0" w:color="auto"/>
      </w:divBdr>
      <w:divsChild>
        <w:div w:id="469515359">
          <w:marLeft w:val="0"/>
          <w:marRight w:val="0"/>
          <w:marTop w:val="0"/>
          <w:marBottom w:val="0"/>
          <w:divBdr>
            <w:top w:val="none" w:sz="0" w:space="0" w:color="auto"/>
            <w:left w:val="none" w:sz="0" w:space="0" w:color="auto"/>
            <w:bottom w:val="none" w:sz="0" w:space="0" w:color="auto"/>
            <w:right w:val="none" w:sz="0" w:space="0" w:color="auto"/>
          </w:divBdr>
        </w:div>
      </w:divsChild>
    </w:div>
    <w:div w:id="375011131">
      <w:marLeft w:val="0"/>
      <w:marRight w:val="0"/>
      <w:marTop w:val="0"/>
      <w:marBottom w:val="0"/>
      <w:divBdr>
        <w:top w:val="none" w:sz="0" w:space="0" w:color="auto"/>
        <w:left w:val="none" w:sz="0" w:space="0" w:color="auto"/>
        <w:bottom w:val="none" w:sz="0" w:space="0" w:color="auto"/>
        <w:right w:val="none" w:sz="0" w:space="0" w:color="auto"/>
      </w:divBdr>
      <w:divsChild>
        <w:div w:id="1291665103">
          <w:marLeft w:val="0"/>
          <w:marRight w:val="0"/>
          <w:marTop w:val="0"/>
          <w:marBottom w:val="0"/>
          <w:divBdr>
            <w:top w:val="none" w:sz="0" w:space="0" w:color="auto"/>
            <w:left w:val="none" w:sz="0" w:space="0" w:color="auto"/>
            <w:bottom w:val="none" w:sz="0" w:space="0" w:color="auto"/>
            <w:right w:val="none" w:sz="0" w:space="0" w:color="auto"/>
          </w:divBdr>
        </w:div>
      </w:divsChild>
    </w:div>
    <w:div w:id="375086462">
      <w:marLeft w:val="0"/>
      <w:marRight w:val="0"/>
      <w:marTop w:val="0"/>
      <w:marBottom w:val="180"/>
      <w:divBdr>
        <w:top w:val="none" w:sz="0" w:space="0" w:color="auto"/>
        <w:left w:val="none" w:sz="0" w:space="0" w:color="auto"/>
        <w:bottom w:val="none" w:sz="0" w:space="0" w:color="auto"/>
        <w:right w:val="none" w:sz="0" w:space="0" w:color="auto"/>
      </w:divBdr>
    </w:div>
    <w:div w:id="375156943">
      <w:marLeft w:val="0"/>
      <w:marRight w:val="0"/>
      <w:marTop w:val="0"/>
      <w:marBottom w:val="180"/>
      <w:divBdr>
        <w:top w:val="none" w:sz="0" w:space="0" w:color="auto"/>
        <w:left w:val="none" w:sz="0" w:space="0" w:color="auto"/>
        <w:bottom w:val="none" w:sz="0" w:space="0" w:color="auto"/>
        <w:right w:val="none" w:sz="0" w:space="0" w:color="auto"/>
      </w:divBdr>
    </w:div>
    <w:div w:id="375274982">
      <w:marLeft w:val="0"/>
      <w:marRight w:val="0"/>
      <w:marTop w:val="0"/>
      <w:marBottom w:val="0"/>
      <w:divBdr>
        <w:top w:val="none" w:sz="0" w:space="0" w:color="auto"/>
        <w:left w:val="none" w:sz="0" w:space="0" w:color="auto"/>
        <w:bottom w:val="none" w:sz="0" w:space="0" w:color="auto"/>
        <w:right w:val="none" w:sz="0" w:space="0" w:color="auto"/>
      </w:divBdr>
    </w:div>
    <w:div w:id="378626576">
      <w:marLeft w:val="0"/>
      <w:marRight w:val="0"/>
      <w:marTop w:val="100"/>
      <w:marBottom w:val="100"/>
      <w:divBdr>
        <w:top w:val="none" w:sz="0" w:space="0" w:color="auto"/>
        <w:left w:val="none" w:sz="0" w:space="0" w:color="auto"/>
        <w:bottom w:val="none" w:sz="0" w:space="0" w:color="auto"/>
        <w:right w:val="none" w:sz="0" w:space="0" w:color="auto"/>
      </w:divBdr>
      <w:divsChild>
        <w:div w:id="1677683701">
          <w:marLeft w:val="0"/>
          <w:marRight w:val="0"/>
          <w:marTop w:val="0"/>
          <w:marBottom w:val="0"/>
          <w:divBdr>
            <w:top w:val="none" w:sz="0" w:space="0" w:color="auto"/>
            <w:left w:val="none" w:sz="0" w:space="0" w:color="auto"/>
            <w:bottom w:val="none" w:sz="0" w:space="0" w:color="auto"/>
            <w:right w:val="none" w:sz="0" w:space="0" w:color="auto"/>
          </w:divBdr>
        </w:div>
      </w:divsChild>
    </w:div>
    <w:div w:id="380712010">
      <w:marLeft w:val="0"/>
      <w:marRight w:val="0"/>
      <w:marTop w:val="0"/>
      <w:marBottom w:val="180"/>
      <w:divBdr>
        <w:top w:val="none" w:sz="0" w:space="0" w:color="auto"/>
        <w:left w:val="none" w:sz="0" w:space="0" w:color="auto"/>
        <w:bottom w:val="none" w:sz="0" w:space="0" w:color="auto"/>
        <w:right w:val="none" w:sz="0" w:space="0" w:color="auto"/>
      </w:divBdr>
    </w:div>
    <w:div w:id="380861311">
      <w:marLeft w:val="0"/>
      <w:marRight w:val="0"/>
      <w:marTop w:val="0"/>
      <w:marBottom w:val="180"/>
      <w:divBdr>
        <w:top w:val="none" w:sz="0" w:space="0" w:color="auto"/>
        <w:left w:val="none" w:sz="0" w:space="0" w:color="auto"/>
        <w:bottom w:val="none" w:sz="0" w:space="0" w:color="auto"/>
        <w:right w:val="none" w:sz="0" w:space="0" w:color="auto"/>
      </w:divBdr>
    </w:div>
    <w:div w:id="381486213">
      <w:marLeft w:val="0"/>
      <w:marRight w:val="0"/>
      <w:marTop w:val="180"/>
      <w:marBottom w:val="180"/>
      <w:divBdr>
        <w:top w:val="none" w:sz="0" w:space="0" w:color="auto"/>
        <w:left w:val="none" w:sz="0" w:space="0" w:color="auto"/>
        <w:bottom w:val="none" w:sz="0" w:space="0" w:color="auto"/>
        <w:right w:val="none" w:sz="0" w:space="0" w:color="auto"/>
      </w:divBdr>
    </w:div>
    <w:div w:id="383023697">
      <w:marLeft w:val="0"/>
      <w:marRight w:val="0"/>
      <w:marTop w:val="0"/>
      <w:marBottom w:val="180"/>
      <w:divBdr>
        <w:top w:val="none" w:sz="0" w:space="0" w:color="auto"/>
        <w:left w:val="none" w:sz="0" w:space="0" w:color="auto"/>
        <w:bottom w:val="none" w:sz="0" w:space="0" w:color="auto"/>
        <w:right w:val="none" w:sz="0" w:space="0" w:color="auto"/>
      </w:divBdr>
    </w:div>
    <w:div w:id="383138745">
      <w:marLeft w:val="0"/>
      <w:marRight w:val="0"/>
      <w:marTop w:val="180"/>
      <w:marBottom w:val="180"/>
      <w:divBdr>
        <w:top w:val="none" w:sz="0" w:space="0" w:color="auto"/>
        <w:left w:val="none" w:sz="0" w:space="0" w:color="auto"/>
        <w:bottom w:val="none" w:sz="0" w:space="0" w:color="auto"/>
        <w:right w:val="none" w:sz="0" w:space="0" w:color="auto"/>
      </w:divBdr>
    </w:div>
    <w:div w:id="383217656">
      <w:marLeft w:val="0"/>
      <w:marRight w:val="0"/>
      <w:marTop w:val="120"/>
      <w:marBottom w:val="180"/>
      <w:divBdr>
        <w:top w:val="none" w:sz="0" w:space="0" w:color="auto"/>
        <w:left w:val="none" w:sz="0" w:space="0" w:color="auto"/>
        <w:bottom w:val="none" w:sz="0" w:space="0" w:color="auto"/>
        <w:right w:val="none" w:sz="0" w:space="0" w:color="auto"/>
      </w:divBdr>
    </w:div>
    <w:div w:id="385296499">
      <w:marLeft w:val="0"/>
      <w:marRight w:val="0"/>
      <w:marTop w:val="0"/>
      <w:marBottom w:val="240"/>
      <w:divBdr>
        <w:top w:val="none" w:sz="0" w:space="0" w:color="auto"/>
        <w:left w:val="none" w:sz="0" w:space="0" w:color="auto"/>
        <w:bottom w:val="none" w:sz="0" w:space="0" w:color="auto"/>
        <w:right w:val="none" w:sz="0" w:space="0" w:color="auto"/>
      </w:divBdr>
    </w:div>
    <w:div w:id="386227829">
      <w:marLeft w:val="0"/>
      <w:marRight w:val="0"/>
      <w:marTop w:val="0"/>
      <w:marBottom w:val="0"/>
      <w:divBdr>
        <w:top w:val="none" w:sz="0" w:space="0" w:color="auto"/>
        <w:left w:val="none" w:sz="0" w:space="0" w:color="auto"/>
        <w:bottom w:val="none" w:sz="0" w:space="0" w:color="auto"/>
        <w:right w:val="none" w:sz="0" w:space="0" w:color="auto"/>
      </w:divBdr>
      <w:divsChild>
        <w:div w:id="288321284">
          <w:marLeft w:val="0"/>
          <w:marRight w:val="0"/>
          <w:marTop w:val="0"/>
          <w:marBottom w:val="0"/>
          <w:divBdr>
            <w:top w:val="none" w:sz="0" w:space="0" w:color="auto"/>
            <w:left w:val="none" w:sz="0" w:space="0" w:color="auto"/>
            <w:bottom w:val="none" w:sz="0" w:space="0" w:color="auto"/>
            <w:right w:val="none" w:sz="0" w:space="0" w:color="auto"/>
          </w:divBdr>
        </w:div>
      </w:divsChild>
    </w:div>
    <w:div w:id="387144445">
      <w:marLeft w:val="0"/>
      <w:marRight w:val="0"/>
      <w:marTop w:val="180"/>
      <w:marBottom w:val="180"/>
      <w:divBdr>
        <w:top w:val="none" w:sz="0" w:space="0" w:color="auto"/>
        <w:left w:val="none" w:sz="0" w:space="0" w:color="auto"/>
        <w:bottom w:val="none" w:sz="0" w:space="0" w:color="auto"/>
        <w:right w:val="none" w:sz="0" w:space="0" w:color="auto"/>
      </w:divBdr>
    </w:div>
    <w:div w:id="392504285">
      <w:marLeft w:val="0"/>
      <w:marRight w:val="0"/>
      <w:marTop w:val="0"/>
      <w:marBottom w:val="240"/>
      <w:divBdr>
        <w:top w:val="none" w:sz="0" w:space="0" w:color="auto"/>
        <w:left w:val="none" w:sz="0" w:space="0" w:color="auto"/>
        <w:bottom w:val="none" w:sz="0" w:space="0" w:color="auto"/>
        <w:right w:val="none" w:sz="0" w:space="0" w:color="auto"/>
      </w:divBdr>
    </w:div>
    <w:div w:id="392511616">
      <w:marLeft w:val="0"/>
      <w:marRight w:val="0"/>
      <w:marTop w:val="0"/>
      <w:marBottom w:val="180"/>
      <w:divBdr>
        <w:top w:val="none" w:sz="0" w:space="0" w:color="auto"/>
        <w:left w:val="none" w:sz="0" w:space="0" w:color="auto"/>
        <w:bottom w:val="none" w:sz="0" w:space="0" w:color="auto"/>
        <w:right w:val="none" w:sz="0" w:space="0" w:color="auto"/>
      </w:divBdr>
    </w:div>
    <w:div w:id="393158594">
      <w:marLeft w:val="0"/>
      <w:marRight w:val="0"/>
      <w:marTop w:val="100"/>
      <w:marBottom w:val="100"/>
      <w:divBdr>
        <w:top w:val="none" w:sz="0" w:space="0" w:color="auto"/>
        <w:left w:val="none" w:sz="0" w:space="0" w:color="auto"/>
        <w:bottom w:val="none" w:sz="0" w:space="0" w:color="auto"/>
        <w:right w:val="none" w:sz="0" w:space="0" w:color="auto"/>
      </w:divBdr>
      <w:divsChild>
        <w:div w:id="1435439004">
          <w:marLeft w:val="0"/>
          <w:marRight w:val="0"/>
          <w:marTop w:val="0"/>
          <w:marBottom w:val="0"/>
          <w:divBdr>
            <w:top w:val="none" w:sz="0" w:space="0" w:color="auto"/>
            <w:left w:val="none" w:sz="0" w:space="0" w:color="auto"/>
            <w:bottom w:val="none" w:sz="0" w:space="0" w:color="auto"/>
            <w:right w:val="none" w:sz="0" w:space="0" w:color="auto"/>
          </w:divBdr>
        </w:div>
        <w:div w:id="1772506803">
          <w:marLeft w:val="0"/>
          <w:marRight w:val="0"/>
          <w:marTop w:val="0"/>
          <w:marBottom w:val="0"/>
          <w:divBdr>
            <w:top w:val="none" w:sz="0" w:space="0" w:color="auto"/>
            <w:left w:val="none" w:sz="0" w:space="0" w:color="auto"/>
            <w:bottom w:val="none" w:sz="0" w:space="0" w:color="auto"/>
            <w:right w:val="none" w:sz="0" w:space="0" w:color="auto"/>
          </w:divBdr>
        </w:div>
        <w:div w:id="1445005342">
          <w:marLeft w:val="0"/>
          <w:marRight w:val="0"/>
          <w:marTop w:val="0"/>
          <w:marBottom w:val="0"/>
          <w:divBdr>
            <w:top w:val="none" w:sz="0" w:space="0" w:color="auto"/>
            <w:left w:val="none" w:sz="0" w:space="0" w:color="auto"/>
            <w:bottom w:val="none" w:sz="0" w:space="0" w:color="auto"/>
            <w:right w:val="none" w:sz="0" w:space="0" w:color="auto"/>
          </w:divBdr>
        </w:div>
      </w:divsChild>
    </w:div>
    <w:div w:id="394012626">
      <w:marLeft w:val="0"/>
      <w:marRight w:val="0"/>
      <w:marTop w:val="180"/>
      <w:marBottom w:val="180"/>
      <w:divBdr>
        <w:top w:val="none" w:sz="0" w:space="0" w:color="auto"/>
        <w:left w:val="none" w:sz="0" w:space="0" w:color="auto"/>
        <w:bottom w:val="none" w:sz="0" w:space="0" w:color="auto"/>
        <w:right w:val="none" w:sz="0" w:space="0" w:color="auto"/>
      </w:divBdr>
    </w:div>
    <w:div w:id="394743341">
      <w:marLeft w:val="0"/>
      <w:marRight w:val="0"/>
      <w:marTop w:val="240"/>
      <w:marBottom w:val="240"/>
      <w:divBdr>
        <w:top w:val="none" w:sz="0" w:space="0" w:color="auto"/>
        <w:left w:val="none" w:sz="0" w:space="0" w:color="auto"/>
        <w:bottom w:val="none" w:sz="0" w:space="0" w:color="auto"/>
        <w:right w:val="none" w:sz="0" w:space="0" w:color="auto"/>
      </w:divBdr>
    </w:div>
    <w:div w:id="400106478">
      <w:marLeft w:val="0"/>
      <w:marRight w:val="0"/>
      <w:marTop w:val="0"/>
      <w:marBottom w:val="240"/>
      <w:divBdr>
        <w:top w:val="none" w:sz="0" w:space="0" w:color="auto"/>
        <w:left w:val="none" w:sz="0" w:space="0" w:color="auto"/>
        <w:bottom w:val="none" w:sz="0" w:space="0" w:color="auto"/>
        <w:right w:val="none" w:sz="0" w:space="0" w:color="auto"/>
      </w:divBdr>
    </w:div>
    <w:div w:id="402946951">
      <w:marLeft w:val="0"/>
      <w:marRight w:val="0"/>
      <w:marTop w:val="60"/>
      <w:marBottom w:val="120"/>
      <w:divBdr>
        <w:top w:val="none" w:sz="0" w:space="0" w:color="auto"/>
        <w:left w:val="none" w:sz="0" w:space="0" w:color="auto"/>
        <w:bottom w:val="none" w:sz="0" w:space="0" w:color="auto"/>
        <w:right w:val="none" w:sz="0" w:space="0" w:color="auto"/>
      </w:divBdr>
    </w:div>
    <w:div w:id="406197877">
      <w:marLeft w:val="0"/>
      <w:marRight w:val="0"/>
      <w:marTop w:val="0"/>
      <w:marBottom w:val="0"/>
      <w:divBdr>
        <w:top w:val="none" w:sz="0" w:space="0" w:color="auto"/>
        <w:left w:val="none" w:sz="0" w:space="0" w:color="auto"/>
        <w:bottom w:val="none" w:sz="0" w:space="0" w:color="auto"/>
        <w:right w:val="none" w:sz="0" w:space="0" w:color="auto"/>
      </w:divBdr>
    </w:div>
    <w:div w:id="411514189">
      <w:marLeft w:val="0"/>
      <w:marRight w:val="0"/>
      <w:marTop w:val="180"/>
      <w:marBottom w:val="180"/>
      <w:divBdr>
        <w:top w:val="none" w:sz="0" w:space="0" w:color="auto"/>
        <w:left w:val="none" w:sz="0" w:space="0" w:color="auto"/>
        <w:bottom w:val="none" w:sz="0" w:space="0" w:color="auto"/>
        <w:right w:val="none" w:sz="0" w:space="0" w:color="auto"/>
      </w:divBdr>
    </w:div>
    <w:div w:id="411975177">
      <w:marLeft w:val="0"/>
      <w:marRight w:val="0"/>
      <w:marTop w:val="120"/>
      <w:marBottom w:val="180"/>
      <w:divBdr>
        <w:top w:val="none" w:sz="0" w:space="0" w:color="auto"/>
        <w:left w:val="none" w:sz="0" w:space="0" w:color="auto"/>
        <w:bottom w:val="none" w:sz="0" w:space="0" w:color="auto"/>
        <w:right w:val="none" w:sz="0" w:space="0" w:color="auto"/>
      </w:divBdr>
    </w:div>
    <w:div w:id="414714879">
      <w:marLeft w:val="0"/>
      <w:marRight w:val="0"/>
      <w:marTop w:val="120"/>
      <w:marBottom w:val="120"/>
      <w:divBdr>
        <w:top w:val="none" w:sz="0" w:space="0" w:color="auto"/>
        <w:left w:val="none" w:sz="0" w:space="0" w:color="auto"/>
        <w:bottom w:val="none" w:sz="0" w:space="0" w:color="auto"/>
        <w:right w:val="none" w:sz="0" w:space="0" w:color="auto"/>
      </w:divBdr>
    </w:div>
    <w:div w:id="415592021">
      <w:marLeft w:val="0"/>
      <w:marRight w:val="0"/>
      <w:marTop w:val="180"/>
      <w:marBottom w:val="180"/>
      <w:divBdr>
        <w:top w:val="none" w:sz="0" w:space="0" w:color="auto"/>
        <w:left w:val="none" w:sz="0" w:space="0" w:color="auto"/>
        <w:bottom w:val="none" w:sz="0" w:space="0" w:color="auto"/>
        <w:right w:val="none" w:sz="0" w:space="0" w:color="auto"/>
      </w:divBdr>
    </w:div>
    <w:div w:id="415631913">
      <w:marLeft w:val="0"/>
      <w:marRight w:val="0"/>
      <w:marTop w:val="180"/>
      <w:marBottom w:val="180"/>
      <w:divBdr>
        <w:top w:val="none" w:sz="0" w:space="0" w:color="auto"/>
        <w:left w:val="none" w:sz="0" w:space="0" w:color="auto"/>
        <w:bottom w:val="none" w:sz="0" w:space="0" w:color="auto"/>
        <w:right w:val="none" w:sz="0" w:space="0" w:color="auto"/>
      </w:divBdr>
    </w:div>
    <w:div w:id="416749959">
      <w:marLeft w:val="0"/>
      <w:marRight w:val="0"/>
      <w:marTop w:val="100"/>
      <w:marBottom w:val="100"/>
      <w:divBdr>
        <w:top w:val="none" w:sz="0" w:space="0" w:color="auto"/>
        <w:left w:val="none" w:sz="0" w:space="0" w:color="auto"/>
        <w:bottom w:val="none" w:sz="0" w:space="0" w:color="auto"/>
        <w:right w:val="none" w:sz="0" w:space="0" w:color="auto"/>
      </w:divBdr>
    </w:div>
    <w:div w:id="417992589">
      <w:marLeft w:val="0"/>
      <w:marRight w:val="0"/>
      <w:marTop w:val="0"/>
      <w:marBottom w:val="0"/>
      <w:divBdr>
        <w:top w:val="none" w:sz="0" w:space="0" w:color="auto"/>
        <w:left w:val="none" w:sz="0" w:space="0" w:color="auto"/>
        <w:bottom w:val="none" w:sz="0" w:space="0" w:color="auto"/>
        <w:right w:val="none" w:sz="0" w:space="0" w:color="auto"/>
      </w:divBdr>
    </w:div>
    <w:div w:id="418409482">
      <w:marLeft w:val="0"/>
      <w:marRight w:val="0"/>
      <w:marTop w:val="0"/>
      <w:marBottom w:val="240"/>
      <w:divBdr>
        <w:top w:val="none" w:sz="0" w:space="0" w:color="auto"/>
        <w:left w:val="none" w:sz="0" w:space="0" w:color="auto"/>
        <w:bottom w:val="none" w:sz="0" w:space="0" w:color="auto"/>
        <w:right w:val="none" w:sz="0" w:space="0" w:color="auto"/>
      </w:divBdr>
    </w:div>
    <w:div w:id="419255694">
      <w:marLeft w:val="0"/>
      <w:marRight w:val="0"/>
      <w:marTop w:val="100"/>
      <w:marBottom w:val="100"/>
      <w:divBdr>
        <w:top w:val="none" w:sz="0" w:space="0" w:color="auto"/>
        <w:left w:val="none" w:sz="0" w:space="0" w:color="auto"/>
        <w:bottom w:val="none" w:sz="0" w:space="0" w:color="auto"/>
        <w:right w:val="none" w:sz="0" w:space="0" w:color="auto"/>
      </w:divBdr>
    </w:div>
    <w:div w:id="420641043">
      <w:marLeft w:val="0"/>
      <w:marRight w:val="0"/>
      <w:marTop w:val="0"/>
      <w:marBottom w:val="180"/>
      <w:divBdr>
        <w:top w:val="none" w:sz="0" w:space="0" w:color="auto"/>
        <w:left w:val="none" w:sz="0" w:space="0" w:color="auto"/>
        <w:bottom w:val="none" w:sz="0" w:space="0" w:color="auto"/>
        <w:right w:val="none" w:sz="0" w:space="0" w:color="auto"/>
      </w:divBdr>
    </w:div>
    <w:div w:id="423916692">
      <w:marLeft w:val="0"/>
      <w:marRight w:val="0"/>
      <w:marTop w:val="120"/>
      <w:marBottom w:val="120"/>
      <w:divBdr>
        <w:top w:val="none" w:sz="0" w:space="0" w:color="auto"/>
        <w:left w:val="none" w:sz="0" w:space="0" w:color="auto"/>
        <w:bottom w:val="none" w:sz="0" w:space="0" w:color="auto"/>
        <w:right w:val="none" w:sz="0" w:space="0" w:color="auto"/>
      </w:divBdr>
    </w:div>
    <w:div w:id="424108598">
      <w:marLeft w:val="0"/>
      <w:marRight w:val="0"/>
      <w:marTop w:val="180"/>
      <w:marBottom w:val="180"/>
      <w:divBdr>
        <w:top w:val="none" w:sz="0" w:space="0" w:color="auto"/>
        <w:left w:val="none" w:sz="0" w:space="0" w:color="auto"/>
        <w:bottom w:val="none" w:sz="0" w:space="0" w:color="auto"/>
        <w:right w:val="none" w:sz="0" w:space="0" w:color="auto"/>
      </w:divBdr>
    </w:div>
    <w:div w:id="425687105">
      <w:marLeft w:val="0"/>
      <w:marRight w:val="0"/>
      <w:marTop w:val="0"/>
      <w:marBottom w:val="240"/>
      <w:divBdr>
        <w:top w:val="none" w:sz="0" w:space="0" w:color="auto"/>
        <w:left w:val="none" w:sz="0" w:space="0" w:color="auto"/>
        <w:bottom w:val="none" w:sz="0" w:space="0" w:color="auto"/>
        <w:right w:val="none" w:sz="0" w:space="0" w:color="auto"/>
      </w:divBdr>
    </w:div>
    <w:div w:id="428737611">
      <w:marLeft w:val="0"/>
      <w:marRight w:val="0"/>
      <w:marTop w:val="0"/>
      <w:marBottom w:val="180"/>
      <w:divBdr>
        <w:top w:val="none" w:sz="0" w:space="0" w:color="auto"/>
        <w:left w:val="none" w:sz="0" w:space="0" w:color="auto"/>
        <w:bottom w:val="none" w:sz="0" w:space="0" w:color="auto"/>
        <w:right w:val="none" w:sz="0" w:space="0" w:color="auto"/>
      </w:divBdr>
    </w:div>
    <w:div w:id="433328520">
      <w:marLeft w:val="0"/>
      <w:marRight w:val="0"/>
      <w:marTop w:val="0"/>
      <w:marBottom w:val="0"/>
      <w:divBdr>
        <w:top w:val="none" w:sz="0" w:space="0" w:color="auto"/>
        <w:left w:val="none" w:sz="0" w:space="0" w:color="auto"/>
        <w:bottom w:val="none" w:sz="0" w:space="0" w:color="auto"/>
        <w:right w:val="none" w:sz="0" w:space="0" w:color="auto"/>
      </w:divBdr>
    </w:div>
    <w:div w:id="433479451">
      <w:marLeft w:val="0"/>
      <w:marRight w:val="0"/>
      <w:marTop w:val="0"/>
      <w:marBottom w:val="0"/>
      <w:divBdr>
        <w:top w:val="none" w:sz="0" w:space="0" w:color="auto"/>
        <w:left w:val="none" w:sz="0" w:space="0" w:color="auto"/>
        <w:bottom w:val="none" w:sz="0" w:space="0" w:color="auto"/>
        <w:right w:val="none" w:sz="0" w:space="0" w:color="auto"/>
      </w:divBdr>
    </w:div>
    <w:div w:id="433676308">
      <w:marLeft w:val="0"/>
      <w:marRight w:val="0"/>
      <w:marTop w:val="0"/>
      <w:marBottom w:val="240"/>
      <w:divBdr>
        <w:top w:val="none" w:sz="0" w:space="0" w:color="auto"/>
        <w:left w:val="none" w:sz="0" w:space="0" w:color="auto"/>
        <w:bottom w:val="none" w:sz="0" w:space="0" w:color="auto"/>
        <w:right w:val="none" w:sz="0" w:space="0" w:color="auto"/>
      </w:divBdr>
    </w:div>
    <w:div w:id="434208762">
      <w:marLeft w:val="0"/>
      <w:marRight w:val="0"/>
      <w:marTop w:val="180"/>
      <w:marBottom w:val="180"/>
      <w:divBdr>
        <w:top w:val="none" w:sz="0" w:space="0" w:color="auto"/>
        <w:left w:val="none" w:sz="0" w:space="0" w:color="auto"/>
        <w:bottom w:val="none" w:sz="0" w:space="0" w:color="auto"/>
        <w:right w:val="none" w:sz="0" w:space="0" w:color="auto"/>
      </w:divBdr>
    </w:div>
    <w:div w:id="435558623">
      <w:marLeft w:val="0"/>
      <w:marRight w:val="0"/>
      <w:marTop w:val="0"/>
      <w:marBottom w:val="180"/>
      <w:divBdr>
        <w:top w:val="none" w:sz="0" w:space="0" w:color="auto"/>
        <w:left w:val="none" w:sz="0" w:space="0" w:color="auto"/>
        <w:bottom w:val="none" w:sz="0" w:space="0" w:color="auto"/>
        <w:right w:val="none" w:sz="0" w:space="0" w:color="auto"/>
      </w:divBdr>
    </w:div>
    <w:div w:id="435558629">
      <w:marLeft w:val="0"/>
      <w:marRight w:val="0"/>
      <w:marTop w:val="0"/>
      <w:marBottom w:val="0"/>
      <w:divBdr>
        <w:top w:val="none" w:sz="0" w:space="0" w:color="auto"/>
        <w:left w:val="none" w:sz="0" w:space="0" w:color="auto"/>
        <w:bottom w:val="none" w:sz="0" w:space="0" w:color="auto"/>
        <w:right w:val="none" w:sz="0" w:space="0" w:color="auto"/>
      </w:divBdr>
    </w:div>
    <w:div w:id="436481630">
      <w:marLeft w:val="0"/>
      <w:marRight w:val="0"/>
      <w:marTop w:val="0"/>
      <w:marBottom w:val="180"/>
      <w:divBdr>
        <w:top w:val="none" w:sz="0" w:space="0" w:color="auto"/>
        <w:left w:val="none" w:sz="0" w:space="0" w:color="auto"/>
        <w:bottom w:val="none" w:sz="0" w:space="0" w:color="auto"/>
        <w:right w:val="none" w:sz="0" w:space="0" w:color="auto"/>
      </w:divBdr>
    </w:div>
    <w:div w:id="436802509">
      <w:marLeft w:val="0"/>
      <w:marRight w:val="0"/>
      <w:marTop w:val="0"/>
      <w:marBottom w:val="0"/>
      <w:divBdr>
        <w:top w:val="none" w:sz="0" w:space="0" w:color="auto"/>
        <w:left w:val="none" w:sz="0" w:space="0" w:color="auto"/>
        <w:bottom w:val="none" w:sz="0" w:space="0" w:color="auto"/>
        <w:right w:val="none" w:sz="0" w:space="0" w:color="auto"/>
      </w:divBdr>
      <w:divsChild>
        <w:div w:id="987779569">
          <w:marLeft w:val="0"/>
          <w:marRight w:val="0"/>
          <w:marTop w:val="0"/>
          <w:marBottom w:val="0"/>
          <w:divBdr>
            <w:top w:val="none" w:sz="0" w:space="0" w:color="auto"/>
            <w:left w:val="none" w:sz="0" w:space="0" w:color="auto"/>
            <w:bottom w:val="none" w:sz="0" w:space="0" w:color="auto"/>
            <w:right w:val="none" w:sz="0" w:space="0" w:color="auto"/>
          </w:divBdr>
        </w:div>
      </w:divsChild>
    </w:div>
    <w:div w:id="439573956">
      <w:marLeft w:val="0"/>
      <w:marRight w:val="0"/>
      <w:marTop w:val="180"/>
      <w:marBottom w:val="180"/>
      <w:divBdr>
        <w:top w:val="none" w:sz="0" w:space="0" w:color="auto"/>
        <w:left w:val="none" w:sz="0" w:space="0" w:color="auto"/>
        <w:bottom w:val="none" w:sz="0" w:space="0" w:color="auto"/>
        <w:right w:val="none" w:sz="0" w:space="0" w:color="auto"/>
      </w:divBdr>
    </w:div>
    <w:div w:id="440078835">
      <w:marLeft w:val="0"/>
      <w:marRight w:val="0"/>
      <w:marTop w:val="120"/>
      <w:marBottom w:val="120"/>
      <w:divBdr>
        <w:top w:val="none" w:sz="0" w:space="0" w:color="auto"/>
        <w:left w:val="none" w:sz="0" w:space="0" w:color="auto"/>
        <w:bottom w:val="none" w:sz="0" w:space="0" w:color="auto"/>
        <w:right w:val="none" w:sz="0" w:space="0" w:color="auto"/>
      </w:divBdr>
    </w:div>
    <w:div w:id="441918001">
      <w:marLeft w:val="0"/>
      <w:marRight w:val="0"/>
      <w:marTop w:val="0"/>
      <w:marBottom w:val="0"/>
      <w:divBdr>
        <w:top w:val="none" w:sz="0" w:space="0" w:color="auto"/>
        <w:left w:val="none" w:sz="0" w:space="0" w:color="auto"/>
        <w:bottom w:val="none" w:sz="0" w:space="0" w:color="auto"/>
        <w:right w:val="none" w:sz="0" w:space="0" w:color="auto"/>
      </w:divBdr>
      <w:divsChild>
        <w:div w:id="1219046494">
          <w:marLeft w:val="0"/>
          <w:marRight w:val="0"/>
          <w:marTop w:val="0"/>
          <w:marBottom w:val="0"/>
          <w:divBdr>
            <w:top w:val="none" w:sz="0" w:space="0" w:color="auto"/>
            <w:left w:val="none" w:sz="0" w:space="0" w:color="auto"/>
            <w:bottom w:val="none" w:sz="0" w:space="0" w:color="auto"/>
            <w:right w:val="none" w:sz="0" w:space="0" w:color="auto"/>
          </w:divBdr>
        </w:div>
      </w:divsChild>
    </w:div>
    <w:div w:id="442572899">
      <w:marLeft w:val="0"/>
      <w:marRight w:val="0"/>
      <w:marTop w:val="0"/>
      <w:marBottom w:val="240"/>
      <w:divBdr>
        <w:top w:val="none" w:sz="0" w:space="0" w:color="auto"/>
        <w:left w:val="none" w:sz="0" w:space="0" w:color="auto"/>
        <w:bottom w:val="none" w:sz="0" w:space="0" w:color="auto"/>
        <w:right w:val="none" w:sz="0" w:space="0" w:color="auto"/>
      </w:divBdr>
    </w:div>
    <w:div w:id="443119343">
      <w:marLeft w:val="0"/>
      <w:marRight w:val="0"/>
      <w:marTop w:val="120"/>
      <w:marBottom w:val="120"/>
      <w:divBdr>
        <w:top w:val="none" w:sz="0" w:space="0" w:color="auto"/>
        <w:left w:val="none" w:sz="0" w:space="0" w:color="auto"/>
        <w:bottom w:val="none" w:sz="0" w:space="0" w:color="auto"/>
        <w:right w:val="none" w:sz="0" w:space="0" w:color="auto"/>
      </w:divBdr>
    </w:div>
    <w:div w:id="443886535">
      <w:marLeft w:val="0"/>
      <w:marRight w:val="0"/>
      <w:marTop w:val="0"/>
      <w:marBottom w:val="0"/>
      <w:divBdr>
        <w:top w:val="none" w:sz="0" w:space="0" w:color="auto"/>
        <w:left w:val="none" w:sz="0" w:space="0" w:color="auto"/>
        <w:bottom w:val="none" w:sz="0" w:space="0" w:color="auto"/>
        <w:right w:val="none" w:sz="0" w:space="0" w:color="auto"/>
      </w:divBdr>
    </w:div>
    <w:div w:id="447049843">
      <w:marLeft w:val="0"/>
      <w:marRight w:val="0"/>
      <w:marTop w:val="180"/>
      <w:marBottom w:val="180"/>
      <w:divBdr>
        <w:top w:val="none" w:sz="0" w:space="0" w:color="auto"/>
        <w:left w:val="none" w:sz="0" w:space="0" w:color="auto"/>
        <w:bottom w:val="none" w:sz="0" w:space="0" w:color="auto"/>
        <w:right w:val="none" w:sz="0" w:space="0" w:color="auto"/>
      </w:divBdr>
    </w:div>
    <w:div w:id="450789325">
      <w:marLeft w:val="0"/>
      <w:marRight w:val="0"/>
      <w:marTop w:val="180"/>
      <w:marBottom w:val="180"/>
      <w:divBdr>
        <w:top w:val="none" w:sz="0" w:space="0" w:color="auto"/>
        <w:left w:val="none" w:sz="0" w:space="0" w:color="auto"/>
        <w:bottom w:val="none" w:sz="0" w:space="0" w:color="auto"/>
        <w:right w:val="none" w:sz="0" w:space="0" w:color="auto"/>
      </w:divBdr>
    </w:div>
    <w:div w:id="451291865">
      <w:marLeft w:val="0"/>
      <w:marRight w:val="0"/>
      <w:marTop w:val="0"/>
      <w:marBottom w:val="180"/>
      <w:divBdr>
        <w:top w:val="none" w:sz="0" w:space="0" w:color="auto"/>
        <w:left w:val="none" w:sz="0" w:space="0" w:color="auto"/>
        <w:bottom w:val="none" w:sz="0" w:space="0" w:color="auto"/>
        <w:right w:val="none" w:sz="0" w:space="0" w:color="auto"/>
      </w:divBdr>
    </w:div>
    <w:div w:id="451483996">
      <w:marLeft w:val="0"/>
      <w:marRight w:val="0"/>
      <w:marTop w:val="0"/>
      <w:marBottom w:val="240"/>
      <w:divBdr>
        <w:top w:val="none" w:sz="0" w:space="0" w:color="auto"/>
        <w:left w:val="none" w:sz="0" w:space="0" w:color="auto"/>
        <w:bottom w:val="none" w:sz="0" w:space="0" w:color="auto"/>
        <w:right w:val="none" w:sz="0" w:space="0" w:color="auto"/>
      </w:divBdr>
    </w:div>
    <w:div w:id="457072005">
      <w:marLeft w:val="0"/>
      <w:marRight w:val="0"/>
      <w:marTop w:val="0"/>
      <w:marBottom w:val="240"/>
      <w:divBdr>
        <w:top w:val="none" w:sz="0" w:space="0" w:color="auto"/>
        <w:left w:val="none" w:sz="0" w:space="0" w:color="auto"/>
        <w:bottom w:val="none" w:sz="0" w:space="0" w:color="auto"/>
        <w:right w:val="none" w:sz="0" w:space="0" w:color="auto"/>
      </w:divBdr>
    </w:div>
    <w:div w:id="459229149">
      <w:marLeft w:val="0"/>
      <w:marRight w:val="0"/>
      <w:marTop w:val="100"/>
      <w:marBottom w:val="100"/>
      <w:divBdr>
        <w:top w:val="none" w:sz="0" w:space="0" w:color="auto"/>
        <w:left w:val="none" w:sz="0" w:space="0" w:color="auto"/>
        <w:bottom w:val="none" w:sz="0" w:space="0" w:color="auto"/>
        <w:right w:val="none" w:sz="0" w:space="0" w:color="auto"/>
      </w:divBdr>
    </w:div>
    <w:div w:id="459764327">
      <w:marLeft w:val="0"/>
      <w:marRight w:val="0"/>
      <w:marTop w:val="0"/>
      <w:marBottom w:val="60"/>
      <w:divBdr>
        <w:top w:val="none" w:sz="0" w:space="0" w:color="auto"/>
        <w:left w:val="none" w:sz="0" w:space="0" w:color="auto"/>
        <w:bottom w:val="none" w:sz="0" w:space="0" w:color="auto"/>
        <w:right w:val="none" w:sz="0" w:space="0" w:color="auto"/>
      </w:divBdr>
    </w:div>
    <w:div w:id="461268833">
      <w:marLeft w:val="0"/>
      <w:marRight w:val="0"/>
      <w:marTop w:val="180"/>
      <w:marBottom w:val="180"/>
      <w:divBdr>
        <w:top w:val="none" w:sz="0" w:space="0" w:color="auto"/>
        <w:left w:val="none" w:sz="0" w:space="0" w:color="auto"/>
        <w:bottom w:val="none" w:sz="0" w:space="0" w:color="auto"/>
        <w:right w:val="none" w:sz="0" w:space="0" w:color="auto"/>
      </w:divBdr>
    </w:div>
    <w:div w:id="462620820">
      <w:marLeft w:val="0"/>
      <w:marRight w:val="0"/>
      <w:marTop w:val="0"/>
      <w:marBottom w:val="240"/>
      <w:divBdr>
        <w:top w:val="none" w:sz="0" w:space="0" w:color="auto"/>
        <w:left w:val="none" w:sz="0" w:space="0" w:color="auto"/>
        <w:bottom w:val="none" w:sz="0" w:space="0" w:color="auto"/>
        <w:right w:val="none" w:sz="0" w:space="0" w:color="auto"/>
      </w:divBdr>
    </w:div>
    <w:div w:id="465317251">
      <w:marLeft w:val="0"/>
      <w:marRight w:val="0"/>
      <w:marTop w:val="0"/>
      <w:marBottom w:val="60"/>
      <w:divBdr>
        <w:top w:val="none" w:sz="0" w:space="0" w:color="auto"/>
        <w:left w:val="none" w:sz="0" w:space="0" w:color="auto"/>
        <w:bottom w:val="none" w:sz="0" w:space="0" w:color="auto"/>
        <w:right w:val="none" w:sz="0" w:space="0" w:color="auto"/>
      </w:divBdr>
    </w:div>
    <w:div w:id="465661763">
      <w:marLeft w:val="0"/>
      <w:marRight w:val="0"/>
      <w:marTop w:val="180"/>
      <w:marBottom w:val="180"/>
      <w:divBdr>
        <w:top w:val="none" w:sz="0" w:space="0" w:color="auto"/>
        <w:left w:val="none" w:sz="0" w:space="0" w:color="auto"/>
        <w:bottom w:val="none" w:sz="0" w:space="0" w:color="auto"/>
        <w:right w:val="none" w:sz="0" w:space="0" w:color="auto"/>
      </w:divBdr>
    </w:div>
    <w:div w:id="466092319">
      <w:marLeft w:val="0"/>
      <w:marRight w:val="0"/>
      <w:marTop w:val="0"/>
      <w:marBottom w:val="180"/>
      <w:divBdr>
        <w:top w:val="none" w:sz="0" w:space="0" w:color="auto"/>
        <w:left w:val="none" w:sz="0" w:space="0" w:color="auto"/>
        <w:bottom w:val="none" w:sz="0" w:space="0" w:color="auto"/>
        <w:right w:val="none" w:sz="0" w:space="0" w:color="auto"/>
      </w:divBdr>
    </w:div>
    <w:div w:id="468518546">
      <w:marLeft w:val="0"/>
      <w:marRight w:val="0"/>
      <w:marTop w:val="0"/>
      <w:marBottom w:val="0"/>
      <w:divBdr>
        <w:top w:val="none" w:sz="0" w:space="0" w:color="auto"/>
        <w:left w:val="none" w:sz="0" w:space="0" w:color="auto"/>
        <w:bottom w:val="none" w:sz="0" w:space="0" w:color="auto"/>
        <w:right w:val="none" w:sz="0" w:space="0" w:color="auto"/>
      </w:divBdr>
    </w:div>
    <w:div w:id="472599414">
      <w:marLeft w:val="0"/>
      <w:marRight w:val="0"/>
      <w:marTop w:val="0"/>
      <w:marBottom w:val="0"/>
      <w:divBdr>
        <w:top w:val="none" w:sz="0" w:space="0" w:color="auto"/>
        <w:left w:val="none" w:sz="0" w:space="0" w:color="auto"/>
        <w:bottom w:val="none" w:sz="0" w:space="0" w:color="auto"/>
        <w:right w:val="none" w:sz="0" w:space="0" w:color="auto"/>
      </w:divBdr>
      <w:divsChild>
        <w:div w:id="242180037">
          <w:marLeft w:val="0"/>
          <w:marRight w:val="0"/>
          <w:marTop w:val="0"/>
          <w:marBottom w:val="0"/>
          <w:divBdr>
            <w:top w:val="none" w:sz="0" w:space="0" w:color="auto"/>
            <w:left w:val="none" w:sz="0" w:space="0" w:color="auto"/>
            <w:bottom w:val="none" w:sz="0" w:space="0" w:color="auto"/>
            <w:right w:val="none" w:sz="0" w:space="0" w:color="auto"/>
          </w:divBdr>
        </w:div>
      </w:divsChild>
    </w:div>
    <w:div w:id="476650376">
      <w:marLeft w:val="0"/>
      <w:marRight w:val="0"/>
      <w:marTop w:val="0"/>
      <w:marBottom w:val="0"/>
      <w:divBdr>
        <w:top w:val="none" w:sz="0" w:space="0" w:color="auto"/>
        <w:left w:val="none" w:sz="0" w:space="0" w:color="auto"/>
        <w:bottom w:val="none" w:sz="0" w:space="0" w:color="auto"/>
        <w:right w:val="none" w:sz="0" w:space="0" w:color="auto"/>
      </w:divBdr>
    </w:div>
    <w:div w:id="476922800">
      <w:marLeft w:val="0"/>
      <w:marRight w:val="0"/>
      <w:marTop w:val="0"/>
      <w:marBottom w:val="240"/>
      <w:divBdr>
        <w:top w:val="none" w:sz="0" w:space="0" w:color="auto"/>
        <w:left w:val="none" w:sz="0" w:space="0" w:color="auto"/>
        <w:bottom w:val="none" w:sz="0" w:space="0" w:color="auto"/>
        <w:right w:val="none" w:sz="0" w:space="0" w:color="auto"/>
      </w:divBdr>
    </w:div>
    <w:div w:id="478426865">
      <w:marLeft w:val="0"/>
      <w:marRight w:val="0"/>
      <w:marTop w:val="0"/>
      <w:marBottom w:val="180"/>
      <w:divBdr>
        <w:top w:val="none" w:sz="0" w:space="0" w:color="auto"/>
        <w:left w:val="none" w:sz="0" w:space="0" w:color="auto"/>
        <w:bottom w:val="none" w:sz="0" w:space="0" w:color="auto"/>
        <w:right w:val="none" w:sz="0" w:space="0" w:color="auto"/>
      </w:divBdr>
    </w:div>
    <w:div w:id="479347294">
      <w:marLeft w:val="0"/>
      <w:marRight w:val="0"/>
      <w:marTop w:val="0"/>
      <w:marBottom w:val="240"/>
      <w:divBdr>
        <w:top w:val="none" w:sz="0" w:space="0" w:color="auto"/>
        <w:left w:val="none" w:sz="0" w:space="0" w:color="auto"/>
        <w:bottom w:val="none" w:sz="0" w:space="0" w:color="auto"/>
        <w:right w:val="none" w:sz="0" w:space="0" w:color="auto"/>
      </w:divBdr>
    </w:div>
    <w:div w:id="483856028">
      <w:marLeft w:val="0"/>
      <w:marRight w:val="0"/>
      <w:marTop w:val="0"/>
      <w:marBottom w:val="0"/>
      <w:divBdr>
        <w:top w:val="none" w:sz="0" w:space="0" w:color="auto"/>
        <w:left w:val="none" w:sz="0" w:space="0" w:color="auto"/>
        <w:bottom w:val="none" w:sz="0" w:space="0" w:color="auto"/>
        <w:right w:val="none" w:sz="0" w:space="0" w:color="auto"/>
      </w:divBdr>
    </w:div>
    <w:div w:id="484277268">
      <w:marLeft w:val="0"/>
      <w:marRight w:val="0"/>
      <w:marTop w:val="0"/>
      <w:marBottom w:val="0"/>
      <w:divBdr>
        <w:top w:val="none" w:sz="0" w:space="0" w:color="auto"/>
        <w:left w:val="none" w:sz="0" w:space="0" w:color="auto"/>
        <w:bottom w:val="none" w:sz="0" w:space="0" w:color="auto"/>
        <w:right w:val="none" w:sz="0" w:space="0" w:color="auto"/>
      </w:divBdr>
    </w:div>
    <w:div w:id="486867791">
      <w:marLeft w:val="0"/>
      <w:marRight w:val="0"/>
      <w:marTop w:val="100"/>
      <w:marBottom w:val="100"/>
      <w:divBdr>
        <w:top w:val="none" w:sz="0" w:space="0" w:color="auto"/>
        <w:left w:val="none" w:sz="0" w:space="0" w:color="auto"/>
        <w:bottom w:val="none" w:sz="0" w:space="0" w:color="auto"/>
        <w:right w:val="none" w:sz="0" w:space="0" w:color="auto"/>
      </w:divBdr>
    </w:div>
    <w:div w:id="489323705">
      <w:marLeft w:val="0"/>
      <w:marRight w:val="0"/>
      <w:marTop w:val="0"/>
      <w:marBottom w:val="0"/>
      <w:divBdr>
        <w:top w:val="none" w:sz="0" w:space="0" w:color="auto"/>
        <w:left w:val="none" w:sz="0" w:space="0" w:color="auto"/>
        <w:bottom w:val="none" w:sz="0" w:space="0" w:color="auto"/>
        <w:right w:val="none" w:sz="0" w:space="0" w:color="auto"/>
      </w:divBdr>
    </w:div>
    <w:div w:id="489368729">
      <w:marLeft w:val="0"/>
      <w:marRight w:val="0"/>
      <w:marTop w:val="0"/>
      <w:marBottom w:val="240"/>
      <w:divBdr>
        <w:top w:val="none" w:sz="0" w:space="0" w:color="auto"/>
        <w:left w:val="none" w:sz="0" w:space="0" w:color="auto"/>
        <w:bottom w:val="none" w:sz="0" w:space="0" w:color="auto"/>
        <w:right w:val="none" w:sz="0" w:space="0" w:color="auto"/>
      </w:divBdr>
    </w:div>
    <w:div w:id="490874667">
      <w:marLeft w:val="0"/>
      <w:marRight w:val="0"/>
      <w:marTop w:val="120"/>
      <w:marBottom w:val="120"/>
      <w:divBdr>
        <w:top w:val="none" w:sz="0" w:space="0" w:color="auto"/>
        <w:left w:val="none" w:sz="0" w:space="0" w:color="auto"/>
        <w:bottom w:val="none" w:sz="0" w:space="0" w:color="auto"/>
        <w:right w:val="none" w:sz="0" w:space="0" w:color="auto"/>
      </w:divBdr>
    </w:div>
    <w:div w:id="493304958">
      <w:marLeft w:val="0"/>
      <w:marRight w:val="0"/>
      <w:marTop w:val="180"/>
      <w:marBottom w:val="180"/>
      <w:divBdr>
        <w:top w:val="none" w:sz="0" w:space="0" w:color="auto"/>
        <w:left w:val="none" w:sz="0" w:space="0" w:color="auto"/>
        <w:bottom w:val="none" w:sz="0" w:space="0" w:color="auto"/>
        <w:right w:val="none" w:sz="0" w:space="0" w:color="auto"/>
      </w:divBdr>
    </w:div>
    <w:div w:id="494304410">
      <w:marLeft w:val="0"/>
      <w:marRight w:val="0"/>
      <w:marTop w:val="0"/>
      <w:marBottom w:val="0"/>
      <w:divBdr>
        <w:top w:val="none" w:sz="0" w:space="0" w:color="auto"/>
        <w:left w:val="none" w:sz="0" w:space="0" w:color="auto"/>
        <w:bottom w:val="none" w:sz="0" w:space="0" w:color="auto"/>
        <w:right w:val="none" w:sz="0" w:space="0" w:color="auto"/>
      </w:divBdr>
    </w:div>
    <w:div w:id="495650328">
      <w:marLeft w:val="0"/>
      <w:marRight w:val="0"/>
      <w:marTop w:val="120"/>
      <w:marBottom w:val="120"/>
      <w:divBdr>
        <w:top w:val="none" w:sz="0" w:space="0" w:color="auto"/>
        <w:left w:val="none" w:sz="0" w:space="0" w:color="auto"/>
        <w:bottom w:val="none" w:sz="0" w:space="0" w:color="auto"/>
        <w:right w:val="none" w:sz="0" w:space="0" w:color="auto"/>
      </w:divBdr>
    </w:div>
    <w:div w:id="504320440">
      <w:marLeft w:val="0"/>
      <w:marRight w:val="0"/>
      <w:marTop w:val="0"/>
      <w:marBottom w:val="240"/>
      <w:divBdr>
        <w:top w:val="none" w:sz="0" w:space="0" w:color="auto"/>
        <w:left w:val="none" w:sz="0" w:space="0" w:color="auto"/>
        <w:bottom w:val="none" w:sz="0" w:space="0" w:color="auto"/>
        <w:right w:val="none" w:sz="0" w:space="0" w:color="auto"/>
      </w:divBdr>
    </w:div>
    <w:div w:id="505218691">
      <w:marLeft w:val="0"/>
      <w:marRight w:val="0"/>
      <w:marTop w:val="120"/>
      <w:marBottom w:val="180"/>
      <w:divBdr>
        <w:top w:val="none" w:sz="0" w:space="0" w:color="auto"/>
        <w:left w:val="none" w:sz="0" w:space="0" w:color="auto"/>
        <w:bottom w:val="none" w:sz="0" w:space="0" w:color="auto"/>
        <w:right w:val="none" w:sz="0" w:space="0" w:color="auto"/>
      </w:divBdr>
    </w:div>
    <w:div w:id="505831362">
      <w:marLeft w:val="0"/>
      <w:marRight w:val="0"/>
      <w:marTop w:val="0"/>
      <w:marBottom w:val="0"/>
      <w:divBdr>
        <w:top w:val="none" w:sz="0" w:space="0" w:color="auto"/>
        <w:left w:val="none" w:sz="0" w:space="0" w:color="auto"/>
        <w:bottom w:val="none" w:sz="0" w:space="0" w:color="auto"/>
        <w:right w:val="none" w:sz="0" w:space="0" w:color="auto"/>
      </w:divBdr>
    </w:div>
    <w:div w:id="506600744">
      <w:marLeft w:val="0"/>
      <w:marRight w:val="0"/>
      <w:marTop w:val="0"/>
      <w:marBottom w:val="180"/>
      <w:divBdr>
        <w:top w:val="none" w:sz="0" w:space="0" w:color="auto"/>
        <w:left w:val="none" w:sz="0" w:space="0" w:color="auto"/>
        <w:bottom w:val="none" w:sz="0" w:space="0" w:color="auto"/>
        <w:right w:val="none" w:sz="0" w:space="0" w:color="auto"/>
      </w:divBdr>
    </w:div>
    <w:div w:id="507908386">
      <w:marLeft w:val="0"/>
      <w:marRight w:val="0"/>
      <w:marTop w:val="120"/>
      <w:marBottom w:val="240"/>
      <w:divBdr>
        <w:top w:val="none" w:sz="0" w:space="0" w:color="auto"/>
        <w:left w:val="none" w:sz="0" w:space="0" w:color="auto"/>
        <w:bottom w:val="none" w:sz="0" w:space="0" w:color="auto"/>
        <w:right w:val="none" w:sz="0" w:space="0" w:color="auto"/>
      </w:divBdr>
    </w:div>
    <w:div w:id="512692600">
      <w:marLeft w:val="0"/>
      <w:marRight w:val="0"/>
      <w:marTop w:val="0"/>
      <w:marBottom w:val="180"/>
      <w:divBdr>
        <w:top w:val="none" w:sz="0" w:space="0" w:color="auto"/>
        <w:left w:val="none" w:sz="0" w:space="0" w:color="auto"/>
        <w:bottom w:val="none" w:sz="0" w:space="0" w:color="auto"/>
        <w:right w:val="none" w:sz="0" w:space="0" w:color="auto"/>
      </w:divBdr>
    </w:div>
    <w:div w:id="515189778">
      <w:marLeft w:val="0"/>
      <w:marRight w:val="0"/>
      <w:marTop w:val="0"/>
      <w:marBottom w:val="180"/>
      <w:divBdr>
        <w:top w:val="none" w:sz="0" w:space="0" w:color="auto"/>
        <w:left w:val="none" w:sz="0" w:space="0" w:color="auto"/>
        <w:bottom w:val="none" w:sz="0" w:space="0" w:color="auto"/>
        <w:right w:val="none" w:sz="0" w:space="0" w:color="auto"/>
      </w:divBdr>
    </w:div>
    <w:div w:id="515926827">
      <w:marLeft w:val="0"/>
      <w:marRight w:val="0"/>
      <w:marTop w:val="0"/>
      <w:marBottom w:val="180"/>
      <w:divBdr>
        <w:top w:val="none" w:sz="0" w:space="0" w:color="auto"/>
        <w:left w:val="none" w:sz="0" w:space="0" w:color="auto"/>
        <w:bottom w:val="none" w:sz="0" w:space="0" w:color="auto"/>
        <w:right w:val="none" w:sz="0" w:space="0" w:color="auto"/>
      </w:divBdr>
    </w:div>
    <w:div w:id="516581130">
      <w:marLeft w:val="0"/>
      <w:marRight w:val="0"/>
      <w:marTop w:val="0"/>
      <w:marBottom w:val="0"/>
      <w:divBdr>
        <w:top w:val="none" w:sz="0" w:space="0" w:color="auto"/>
        <w:left w:val="none" w:sz="0" w:space="0" w:color="auto"/>
        <w:bottom w:val="none" w:sz="0" w:space="0" w:color="auto"/>
        <w:right w:val="none" w:sz="0" w:space="0" w:color="auto"/>
      </w:divBdr>
      <w:divsChild>
        <w:div w:id="584999677">
          <w:marLeft w:val="0"/>
          <w:marRight w:val="0"/>
          <w:marTop w:val="0"/>
          <w:marBottom w:val="0"/>
          <w:divBdr>
            <w:top w:val="none" w:sz="0" w:space="0" w:color="auto"/>
            <w:left w:val="none" w:sz="0" w:space="0" w:color="auto"/>
            <w:bottom w:val="none" w:sz="0" w:space="0" w:color="auto"/>
            <w:right w:val="none" w:sz="0" w:space="0" w:color="auto"/>
          </w:divBdr>
        </w:div>
      </w:divsChild>
    </w:div>
    <w:div w:id="518204224">
      <w:marLeft w:val="0"/>
      <w:marRight w:val="0"/>
      <w:marTop w:val="0"/>
      <w:marBottom w:val="0"/>
      <w:divBdr>
        <w:top w:val="none" w:sz="0" w:space="0" w:color="auto"/>
        <w:left w:val="none" w:sz="0" w:space="0" w:color="auto"/>
        <w:bottom w:val="none" w:sz="0" w:space="0" w:color="auto"/>
        <w:right w:val="none" w:sz="0" w:space="0" w:color="auto"/>
      </w:divBdr>
    </w:div>
    <w:div w:id="519971561">
      <w:marLeft w:val="0"/>
      <w:marRight w:val="0"/>
      <w:marTop w:val="0"/>
      <w:marBottom w:val="240"/>
      <w:divBdr>
        <w:top w:val="none" w:sz="0" w:space="0" w:color="auto"/>
        <w:left w:val="none" w:sz="0" w:space="0" w:color="auto"/>
        <w:bottom w:val="none" w:sz="0" w:space="0" w:color="auto"/>
        <w:right w:val="none" w:sz="0" w:space="0" w:color="auto"/>
      </w:divBdr>
    </w:div>
    <w:div w:id="526942059">
      <w:marLeft w:val="0"/>
      <w:marRight w:val="0"/>
      <w:marTop w:val="0"/>
      <w:marBottom w:val="0"/>
      <w:divBdr>
        <w:top w:val="none" w:sz="0" w:space="0" w:color="auto"/>
        <w:left w:val="none" w:sz="0" w:space="0" w:color="auto"/>
        <w:bottom w:val="none" w:sz="0" w:space="0" w:color="auto"/>
        <w:right w:val="none" w:sz="0" w:space="0" w:color="auto"/>
      </w:divBdr>
    </w:div>
    <w:div w:id="529996974">
      <w:marLeft w:val="0"/>
      <w:marRight w:val="0"/>
      <w:marTop w:val="0"/>
      <w:marBottom w:val="0"/>
      <w:divBdr>
        <w:top w:val="none" w:sz="0" w:space="0" w:color="auto"/>
        <w:left w:val="none" w:sz="0" w:space="0" w:color="auto"/>
        <w:bottom w:val="none" w:sz="0" w:space="0" w:color="auto"/>
        <w:right w:val="none" w:sz="0" w:space="0" w:color="auto"/>
      </w:divBdr>
    </w:div>
    <w:div w:id="533423127">
      <w:marLeft w:val="0"/>
      <w:marRight w:val="0"/>
      <w:marTop w:val="0"/>
      <w:marBottom w:val="180"/>
      <w:divBdr>
        <w:top w:val="none" w:sz="0" w:space="0" w:color="auto"/>
        <w:left w:val="none" w:sz="0" w:space="0" w:color="auto"/>
        <w:bottom w:val="none" w:sz="0" w:space="0" w:color="auto"/>
        <w:right w:val="none" w:sz="0" w:space="0" w:color="auto"/>
      </w:divBdr>
    </w:div>
    <w:div w:id="533541240">
      <w:marLeft w:val="0"/>
      <w:marRight w:val="0"/>
      <w:marTop w:val="120"/>
      <w:marBottom w:val="120"/>
      <w:divBdr>
        <w:top w:val="none" w:sz="0" w:space="0" w:color="auto"/>
        <w:left w:val="none" w:sz="0" w:space="0" w:color="auto"/>
        <w:bottom w:val="none" w:sz="0" w:space="0" w:color="auto"/>
        <w:right w:val="none" w:sz="0" w:space="0" w:color="auto"/>
      </w:divBdr>
    </w:div>
    <w:div w:id="534775168">
      <w:marLeft w:val="0"/>
      <w:marRight w:val="0"/>
      <w:marTop w:val="0"/>
      <w:marBottom w:val="0"/>
      <w:divBdr>
        <w:top w:val="none" w:sz="0" w:space="0" w:color="auto"/>
        <w:left w:val="none" w:sz="0" w:space="0" w:color="auto"/>
        <w:bottom w:val="none" w:sz="0" w:space="0" w:color="auto"/>
        <w:right w:val="none" w:sz="0" w:space="0" w:color="auto"/>
      </w:divBdr>
      <w:divsChild>
        <w:div w:id="1392000806">
          <w:marLeft w:val="0"/>
          <w:marRight w:val="0"/>
          <w:marTop w:val="0"/>
          <w:marBottom w:val="0"/>
          <w:divBdr>
            <w:top w:val="none" w:sz="0" w:space="0" w:color="auto"/>
            <w:left w:val="none" w:sz="0" w:space="0" w:color="auto"/>
            <w:bottom w:val="none" w:sz="0" w:space="0" w:color="auto"/>
            <w:right w:val="none" w:sz="0" w:space="0" w:color="auto"/>
          </w:divBdr>
        </w:div>
      </w:divsChild>
    </w:div>
    <w:div w:id="534776409">
      <w:marLeft w:val="0"/>
      <w:marRight w:val="0"/>
      <w:marTop w:val="0"/>
      <w:marBottom w:val="0"/>
      <w:divBdr>
        <w:top w:val="none" w:sz="0" w:space="0" w:color="auto"/>
        <w:left w:val="none" w:sz="0" w:space="0" w:color="auto"/>
        <w:bottom w:val="none" w:sz="0" w:space="0" w:color="auto"/>
        <w:right w:val="none" w:sz="0" w:space="0" w:color="auto"/>
      </w:divBdr>
    </w:div>
    <w:div w:id="535385800">
      <w:marLeft w:val="0"/>
      <w:marRight w:val="0"/>
      <w:marTop w:val="0"/>
      <w:marBottom w:val="0"/>
      <w:divBdr>
        <w:top w:val="none" w:sz="0" w:space="0" w:color="auto"/>
        <w:left w:val="none" w:sz="0" w:space="0" w:color="auto"/>
        <w:bottom w:val="none" w:sz="0" w:space="0" w:color="auto"/>
        <w:right w:val="none" w:sz="0" w:space="0" w:color="auto"/>
      </w:divBdr>
    </w:div>
    <w:div w:id="535657487">
      <w:marLeft w:val="0"/>
      <w:marRight w:val="0"/>
      <w:marTop w:val="0"/>
      <w:marBottom w:val="0"/>
      <w:divBdr>
        <w:top w:val="none" w:sz="0" w:space="0" w:color="auto"/>
        <w:left w:val="none" w:sz="0" w:space="0" w:color="auto"/>
        <w:bottom w:val="none" w:sz="0" w:space="0" w:color="auto"/>
        <w:right w:val="none" w:sz="0" w:space="0" w:color="auto"/>
      </w:divBdr>
      <w:divsChild>
        <w:div w:id="664165583">
          <w:marLeft w:val="0"/>
          <w:marRight w:val="0"/>
          <w:marTop w:val="0"/>
          <w:marBottom w:val="0"/>
          <w:divBdr>
            <w:top w:val="none" w:sz="0" w:space="0" w:color="auto"/>
            <w:left w:val="none" w:sz="0" w:space="0" w:color="auto"/>
            <w:bottom w:val="none" w:sz="0" w:space="0" w:color="auto"/>
            <w:right w:val="none" w:sz="0" w:space="0" w:color="auto"/>
          </w:divBdr>
        </w:div>
      </w:divsChild>
    </w:div>
    <w:div w:id="536622442">
      <w:marLeft w:val="0"/>
      <w:marRight w:val="0"/>
      <w:marTop w:val="0"/>
      <w:marBottom w:val="240"/>
      <w:divBdr>
        <w:top w:val="none" w:sz="0" w:space="0" w:color="auto"/>
        <w:left w:val="none" w:sz="0" w:space="0" w:color="auto"/>
        <w:bottom w:val="none" w:sz="0" w:space="0" w:color="auto"/>
        <w:right w:val="none" w:sz="0" w:space="0" w:color="auto"/>
      </w:divBdr>
    </w:div>
    <w:div w:id="536745597">
      <w:marLeft w:val="0"/>
      <w:marRight w:val="0"/>
      <w:marTop w:val="100"/>
      <w:marBottom w:val="100"/>
      <w:divBdr>
        <w:top w:val="none" w:sz="0" w:space="0" w:color="auto"/>
        <w:left w:val="none" w:sz="0" w:space="0" w:color="auto"/>
        <w:bottom w:val="none" w:sz="0" w:space="0" w:color="auto"/>
        <w:right w:val="none" w:sz="0" w:space="0" w:color="auto"/>
      </w:divBdr>
    </w:div>
    <w:div w:id="537475785">
      <w:marLeft w:val="0"/>
      <w:marRight w:val="0"/>
      <w:marTop w:val="0"/>
      <w:marBottom w:val="240"/>
      <w:divBdr>
        <w:top w:val="none" w:sz="0" w:space="0" w:color="auto"/>
        <w:left w:val="none" w:sz="0" w:space="0" w:color="auto"/>
        <w:bottom w:val="none" w:sz="0" w:space="0" w:color="auto"/>
        <w:right w:val="none" w:sz="0" w:space="0" w:color="auto"/>
      </w:divBdr>
    </w:div>
    <w:div w:id="540091911">
      <w:marLeft w:val="0"/>
      <w:marRight w:val="0"/>
      <w:marTop w:val="0"/>
      <w:marBottom w:val="0"/>
      <w:divBdr>
        <w:top w:val="none" w:sz="0" w:space="0" w:color="auto"/>
        <w:left w:val="none" w:sz="0" w:space="0" w:color="auto"/>
        <w:bottom w:val="none" w:sz="0" w:space="0" w:color="auto"/>
        <w:right w:val="none" w:sz="0" w:space="0" w:color="auto"/>
      </w:divBdr>
    </w:div>
    <w:div w:id="541021498">
      <w:marLeft w:val="0"/>
      <w:marRight w:val="0"/>
      <w:marTop w:val="0"/>
      <w:marBottom w:val="240"/>
      <w:divBdr>
        <w:top w:val="none" w:sz="0" w:space="0" w:color="auto"/>
        <w:left w:val="none" w:sz="0" w:space="0" w:color="auto"/>
        <w:bottom w:val="none" w:sz="0" w:space="0" w:color="auto"/>
        <w:right w:val="none" w:sz="0" w:space="0" w:color="auto"/>
      </w:divBdr>
    </w:div>
    <w:div w:id="542980957">
      <w:marLeft w:val="0"/>
      <w:marRight w:val="0"/>
      <w:marTop w:val="0"/>
      <w:marBottom w:val="0"/>
      <w:divBdr>
        <w:top w:val="none" w:sz="0" w:space="0" w:color="auto"/>
        <w:left w:val="none" w:sz="0" w:space="0" w:color="auto"/>
        <w:bottom w:val="none" w:sz="0" w:space="0" w:color="auto"/>
        <w:right w:val="none" w:sz="0" w:space="0" w:color="auto"/>
      </w:divBdr>
      <w:divsChild>
        <w:div w:id="1425027984">
          <w:marLeft w:val="0"/>
          <w:marRight w:val="0"/>
          <w:marTop w:val="0"/>
          <w:marBottom w:val="0"/>
          <w:divBdr>
            <w:top w:val="none" w:sz="0" w:space="0" w:color="auto"/>
            <w:left w:val="none" w:sz="0" w:space="0" w:color="auto"/>
            <w:bottom w:val="none" w:sz="0" w:space="0" w:color="auto"/>
            <w:right w:val="none" w:sz="0" w:space="0" w:color="auto"/>
          </w:divBdr>
        </w:div>
      </w:divsChild>
    </w:div>
    <w:div w:id="544215883">
      <w:marLeft w:val="0"/>
      <w:marRight w:val="0"/>
      <w:marTop w:val="0"/>
      <w:marBottom w:val="180"/>
      <w:divBdr>
        <w:top w:val="none" w:sz="0" w:space="0" w:color="auto"/>
        <w:left w:val="none" w:sz="0" w:space="0" w:color="auto"/>
        <w:bottom w:val="none" w:sz="0" w:space="0" w:color="auto"/>
        <w:right w:val="none" w:sz="0" w:space="0" w:color="auto"/>
      </w:divBdr>
    </w:div>
    <w:div w:id="544489313">
      <w:marLeft w:val="0"/>
      <w:marRight w:val="0"/>
      <w:marTop w:val="100"/>
      <w:marBottom w:val="100"/>
      <w:divBdr>
        <w:top w:val="none" w:sz="0" w:space="0" w:color="auto"/>
        <w:left w:val="none" w:sz="0" w:space="0" w:color="auto"/>
        <w:bottom w:val="none" w:sz="0" w:space="0" w:color="auto"/>
        <w:right w:val="none" w:sz="0" w:space="0" w:color="auto"/>
      </w:divBdr>
      <w:divsChild>
        <w:div w:id="2059010603">
          <w:marLeft w:val="0"/>
          <w:marRight w:val="0"/>
          <w:marTop w:val="0"/>
          <w:marBottom w:val="0"/>
          <w:divBdr>
            <w:top w:val="none" w:sz="0" w:space="0" w:color="auto"/>
            <w:left w:val="none" w:sz="0" w:space="0" w:color="auto"/>
            <w:bottom w:val="none" w:sz="0" w:space="0" w:color="auto"/>
            <w:right w:val="none" w:sz="0" w:space="0" w:color="auto"/>
          </w:divBdr>
        </w:div>
      </w:divsChild>
    </w:div>
    <w:div w:id="547032419">
      <w:marLeft w:val="0"/>
      <w:marRight w:val="0"/>
      <w:marTop w:val="0"/>
      <w:marBottom w:val="240"/>
      <w:divBdr>
        <w:top w:val="none" w:sz="0" w:space="0" w:color="auto"/>
        <w:left w:val="none" w:sz="0" w:space="0" w:color="auto"/>
        <w:bottom w:val="none" w:sz="0" w:space="0" w:color="auto"/>
        <w:right w:val="none" w:sz="0" w:space="0" w:color="auto"/>
      </w:divBdr>
    </w:div>
    <w:div w:id="547033964">
      <w:marLeft w:val="0"/>
      <w:marRight w:val="0"/>
      <w:marTop w:val="0"/>
      <w:marBottom w:val="180"/>
      <w:divBdr>
        <w:top w:val="none" w:sz="0" w:space="0" w:color="auto"/>
        <w:left w:val="none" w:sz="0" w:space="0" w:color="auto"/>
        <w:bottom w:val="none" w:sz="0" w:space="0" w:color="auto"/>
        <w:right w:val="none" w:sz="0" w:space="0" w:color="auto"/>
      </w:divBdr>
    </w:div>
    <w:div w:id="548877837">
      <w:marLeft w:val="0"/>
      <w:marRight w:val="0"/>
      <w:marTop w:val="0"/>
      <w:marBottom w:val="240"/>
      <w:divBdr>
        <w:top w:val="none" w:sz="0" w:space="0" w:color="auto"/>
        <w:left w:val="none" w:sz="0" w:space="0" w:color="auto"/>
        <w:bottom w:val="none" w:sz="0" w:space="0" w:color="auto"/>
        <w:right w:val="none" w:sz="0" w:space="0" w:color="auto"/>
      </w:divBdr>
    </w:div>
    <w:div w:id="551964254">
      <w:marLeft w:val="0"/>
      <w:marRight w:val="0"/>
      <w:marTop w:val="0"/>
      <w:marBottom w:val="0"/>
      <w:divBdr>
        <w:top w:val="none" w:sz="0" w:space="0" w:color="auto"/>
        <w:left w:val="none" w:sz="0" w:space="0" w:color="auto"/>
        <w:bottom w:val="none" w:sz="0" w:space="0" w:color="auto"/>
        <w:right w:val="none" w:sz="0" w:space="0" w:color="auto"/>
      </w:divBdr>
    </w:div>
    <w:div w:id="552040022">
      <w:marLeft w:val="0"/>
      <w:marRight w:val="0"/>
      <w:marTop w:val="0"/>
      <w:marBottom w:val="0"/>
      <w:divBdr>
        <w:top w:val="none" w:sz="0" w:space="0" w:color="auto"/>
        <w:left w:val="none" w:sz="0" w:space="0" w:color="auto"/>
        <w:bottom w:val="none" w:sz="0" w:space="0" w:color="auto"/>
        <w:right w:val="none" w:sz="0" w:space="0" w:color="auto"/>
      </w:divBdr>
      <w:divsChild>
        <w:div w:id="893001931">
          <w:marLeft w:val="0"/>
          <w:marRight w:val="0"/>
          <w:marTop w:val="0"/>
          <w:marBottom w:val="0"/>
          <w:divBdr>
            <w:top w:val="none" w:sz="0" w:space="0" w:color="auto"/>
            <w:left w:val="none" w:sz="0" w:space="0" w:color="auto"/>
            <w:bottom w:val="none" w:sz="0" w:space="0" w:color="auto"/>
            <w:right w:val="none" w:sz="0" w:space="0" w:color="auto"/>
          </w:divBdr>
        </w:div>
      </w:divsChild>
    </w:div>
    <w:div w:id="553128023">
      <w:marLeft w:val="0"/>
      <w:marRight w:val="0"/>
      <w:marTop w:val="180"/>
      <w:marBottom w:val="180"/>
      <w:divBdr>
        <w:top w:val="none" w:sz="0" w:space="0" w:color="auto"/>
        <w:left w:val="none" w:sz="0" w:space="0" w:color="auto"/>
        <w:bottom w:val="none" w:sz="0" w:space="0" w:color="auto"/>
        <w:right w:val="none" w:sz="0" w:space="0" w:color="auto"/>
      </w:divBdr>
    </w:div>
    <w:div w:id="553392091">
      <w:marLeft w:val="0"/>
      <w:marRight w:val="0"/>
      <w:marTop w:val="0"/>
      <w:marBottom w:val="0"/>
      <w:divBdr>
        <w:top w:val="none" w:sz="0" w:space="0" w:color="auto"/>
        <w:left w:val="none" w:sz="0" w:space="0" w:color="auto"/>
        <w:bottom w:val="none" w:sz="0" w:space="0" w:color="auto"/>
        <w:right w:val="none" w:sz="0" w:space="0" w:color="auto"/>
      </w:divBdr>
      <w:divsChild>
        <w:div w:id="812797014">
          <w:marLeft w:val="0"/>
          <w:marRight w:val="0"/>
          <w:marTop w:val="0"/>
          <w:marBottom w:val="0"/>
          <w:divBdr>
            <w:top w:val="none" w:sz="0" w:space="0" w:color="auto"/>
            <w:left w:val="none" w:sz="0" w:space="0" w:color="auto"/>
            <w:bottom w:val="none" w:sz="0" w:space="0" w:color="auto"/>
            <w:right w:val="none" w:sz="0" w:space="0" w:color="auto"/>
          </w:divBdr>
        </w:div>
      </w:divsChild>
    </w:div>
    <w:div w:id="553396050">
      <w:marLeft w:val="0"/>
      <w:marRight w:val="0"/>
      <w:marTop w:val="0"/>
      <w:marBottom w:val="0"/>
      <w:divBdr>
        <w:top w:val="none" w:sz="0" w:space="0" w:color="auto"/>
        <w:left w:val="none" w:sz="0" w:space="0" w:color="auto"/>
        <w:bottom w:val="none" w:sz="0" w:space="0" w:color="auto"/>
        <w:right w:val="none" w:sz="0" w:space="0" w:color="auto"/>
      </w:divBdr>
      <w:divsChild>
        <w:div w:id="1177421331">
          <w:marLeft w:val="0"/>
          <w:marRight w:val="0"/>
          <w:marTop w:val="0"/>
          <w:marBottom w:val="0"/>
          <w:divBdr>
            <w:top w:val="none" w:sz="0" w:space="0" w:color="auto"/>
            <w:left w:val="none" w:sz="0" w:space="0" w:color="auto"/>
            <w:bottom w:val="none" w:sz="0" w:space="0" w:color="auto"/>
            <w:right w:val="none" w:sz="0" w:space="0" w:color="auto"/>
          </w:divBdr>
        </w:div>
      </w:divsChild>
    </w:div>
    <w:div w:id="560290411">
      <w:marLeft w:val="0"/>
      <w:marRight w:val="0"/>
      <w:marTop w:val="0"/>
      <w:marBottom w:val="240"/>
      <w:divBdr>
        <w:top w:val="none" w:sz="0" w:space="0" w:color="auto"/>
        <w:left w:val="none" w:sz="0" w:space="0" w:color="auto"/>
        <w:bottom w:val="none" w:sz="0" w:space="0" w:color="auto"/>
        <w:right w:val="none" w:sz="0" w:space="0" w:color="auto"/>
      </w:divBdr>
    </w:div>
    <w:div w:id="560866363">
      <w:marLeft w:val="0"/>
      <w:marRight w:val="0"/>
      <w:marTop w:val="120"/>
      <w:marBottom w:val="120"/>
      <w:divBdr>
        <w:top w:val="none" w:sz="0" w:space="0" w:color="auto"/>
        <w:left w:val="none" w:sz="0" w:space="0" w:color="auto"/>
        <w:bottom w:val="none" w:sz="0" w:space="0" w:color="auto"/>
        <w:right w:val="none" w:sz="0" w:space="0" w:color="auto"/>
      </w:divBdr>
    </w:div>
    <w:div w:id="561520056">
      <w:marLeft w:val="0"/>
      <w:marRight w:val="0"/>
      <w:marTop w:val="0"/>
      <w:marBottom w:val="240"/>
      <w:divBdr>
        <w:top w:val="none" w:sz="0" w:space="0" w:color="auto"/>
        <w:left w:val="none" w:sz="0" w:space="0" w:color="auto"/>
        <w:bottom w:val="none" w:sz="0" w:space="0" w:color="auto"/>
        <w:right w:val="none" w:sz="0" w:space="0" w:color="auto"/>
      </w:divBdr>
    </w:div>
    <w:div w:id="561864453">
      <w:marLeft w:val="0"/>
      <w:marRight w:val="0"/>
      <w:marTop w:val="120"/>
      <w:marBottom w:val="120"/>
      <w:divBdr>
        <w:top w:val="none" w:sz="0" w:space="0" w:color="auto"/>
        <w:left w:val="none" w:sz="0" w:space="0" w:color="auto"/>
        <w:bottom w:val="none" w:sz="0" w:space="0" w:color="auto"/>
        <w:right w:val="none" w:sz="0" w:space="0" w:color="auto"/>
      </w:divBdr>
    </w:div>
    <w:div w:id="562300247">
      <w:marLeft w:val="0"/>
      <w:marRight w:val="0"/>
      <w:marTop w:val="0"/>
      <w:marBottom w:val="180"/>
      <w:divBdr>
        <w:top w:val="none" w:sz="0" w:space="0" w:color="auto"/>
        <w:left w:val="none" w:sz="0" w:space="0" w:color="auto"/>
        <w:bottom w:val="none" w:sz="0" w:space="0" w:color="auto"/>
        <w:right w:val="none" w:sz="0" w:space="0" w:color="auto"/>
      </w:divBdr>
    </w:div>
    <w:div w:id="562495585">
      <w:marLeft w:val="0"/>
      <w:marRight w:val="0"/>
      <w:marTop w:val="0"/>
      <w:marBottom w:val="240"/>
      <w:divBdr>
        <w:top w:val="none" w:sz="0" w:space="0" w:color="auto"/>
        <w:left w:val="none" w:sz="0" w:space="0" w:color="auto"/>
        <w:bottom w:val="none" w:sz="0" w:space="0" w:color="auto"/>
        <w:right w:val="none" w:sz="0" w:space="0" w:color="auto"/>
      </w:divBdr>
    </w:div>
    <w:div w:id="564924006">
      <w:marLeft w:val="0"/>
      <w:marRight w:val="0"/>
      <w:marTop w:val="0"/>
      <w:marBottom w:val="240"/>
      <w:divBdr>
        <w:top w:val="none" w:sz="0" w:space="0" w:color="auto"/>
        <w:left w:val="none" w:sz="0" w:space="0" w:color="auto"/>
        <w:bottom w:val="none" w:sz="0" w:space="0" w:color="auto"/>
        <w:right w:val="none" w:sz="0" w:space="0" w:color="auto"/>
      </w:divBdr>
    </w:div>
    <w:div w:id="566571109">
      <w:marLeft w:val="0"/>
      <w:marRight w:val="0"/>
      <w:marTop w:val="0"/>
      <w:marBottom w:val="0"/>
      <w:divBdr>
        <w:top w:val="none" w:sz="0" w:space="0" w:color="auto"/>
        <w:left w:val="none" w:sz="0" w:space="0" w:color="auto"/>
        <w:bottom w:val="none" w:sz="0" w:space="0" w:color="auto"/>
        <w:right w:val="none" w:sz="0" w:space="0" w:color="auto"/>
      </w:divBdr>
      <w:divsChild>
        <w:div w:id="307517891">
          <w:marLeft w:val="0"/>
          <w:marRight w:val="0"/>
          <w:marTop w:val="0"/>
          <w:marBottom w:val="0"/>
          <w:divBdr>
            <w:top w:val="none" w:sz="0" w:space="0" w:color="auto"/>
            <w:left w:val="none" w:sz="0" w:space="0" w:color="auto"/>
            <w:bottom w:val="none" w:sz="0" w:space="0" w:color="auto"/>
            <w:right w:val="none" w:sz="0" w:space="0" w:color="auto"/>
          </w:divBdr>
        </w:div>
      </w:divsChild>
    </w:div>
    <w:div w:id="569930347">
      <w:marLeft w:val="0"/>
      <w:marRight w:val="0"/>
      <w:marTop w:val="0"/>
      <w:marBottom w:val="180"/>
      <w:divBdr>
        <w:top w:val="none" w:sz="0" w:space="0" w:color="auto"/>
        <w:left w:val="none" w:sz="0" w:space="0" w:color="auto"/>
        <w:bottom w:val="none" w:sz="0" w:space="0" w:color="auto"/>
        <w:right w:val="none" w:sz="0" w:space="0" w:color="auto"/>
      </w:divBdr>
    </w:div>
    <w:div w:id="570165016">
      <w:marLeft w:val="0"/>
      <w:marRight w:val="0"/>
      <w:marTop w:val="100"/>
      <w:marBottom w:val="100"/>
      <w:divBdr>
        <w:top w:val="none" w:sz="0" w:space="0" w:color="auto"/>
        <w:left w:val="none" w:sz="0" w:space="0" w:color="auto"/>
        <w:bottom w:val="none" w:sz="0" w:space="0" w:color="auto"/>
        <w:right w:val="none" w:sz="0" w:space="0" w:color="auto"/>
      </w:divBdr>
    </w:div>
    <w:div w:id="571281647">
      <w:marLeft w:val="0"/>
      <w:marRight w:val="0"/>
      <w:marTop w:val="0"/>
      <w:marBottom w:val="240"/>
      <w:divBdr>
        <w:top w:val="none" w:sz="0" w:space="0" w:color="auto"/>
        <w:left w:val="none" w:sz="0" w:space="0" w:color="auto"/>
        <w:bottom w:val="none" w:sz="0" w:space="0" w:color="auto"/>
        <w:right w:val="none" w:sz="0" w:space="0" w:color="auto"/>
      </w:divBdr>
    </w:div>
    <w:div w:id="574047625">
      <w:marLeft w:val="0"/>
      <w:marRight w:val="0"/>
      <w:marTop w:val="100"/>
      <w:marBottom w:val="100"/>
      <w:divBdr>
        <w:top w:val="none" w:sz="0" w:space="0" w:color="auto"/>
        <w:left w:val="none" w:sz="0" w:space="0" w:color="auto"/>
        <w:bottom w:val="none" w:sz="0" w:space="0" w:color="auto"/>
        <w:right w:val="none" w:sz="0" w:space="0" w:color="auto"/>
      </w:divBdr>
    </w:div>
    <w:div w:id="575629919">
      <w:marLeft w:val="0"/>
      <w:marRight w:val="0"/>
      <w:marTop w:val="120"/>
      <w:marBottom w:val="120"/>
      <w:divBdr>
        <w:top w:val="none" w:sz="0" w:space="0" w:color="auto"/>
        <w:left w:val="none" w:sz="0" w:space="0" w:color="auto"/>
        <w:bottom w:val="none" w:sz="0" w:space="0" w:color="auto"/>
        <w:right w:val="none" w:sz="0" w:space="0" w:color="auto"/>
      </w:divBdr>
    </w:div>
    <w:div w:id="577061781">
      <w:marLeft w:val="0"/>
      <w:marRight w:val="0"/>
      <w:marTop w:val="0"/>
      <w:marBottom w:val="240"/>
      <w:divBdr>
        <w:top w:val="none" w:sz="0" w:space="0" w:color="auto"/>
        <w:left w:val="none" w:sz="0" w:space="0" w:color="auto"/>
        <w:bottom w:val="none" w:sz="0" w:space="0" w:color="auto"/>
        <w:right w:val="none" w:sz="0" w:space="0" w:color="auto"/>
      </w:divBdr>
    </w:div>
    <w:div w:id="579829338">
      <w:marLeft w:val="0"/>
      <w:marRight w:val="0"/>
      <w:marTop w:val="0"/>
      <w:marBottom w:val="180"/>
      <w:divBdr>
        <w:top w:val="none" w:sz="0" w:space="0" w:color="auto"/>
        <w:left w:val="none" w:sz="0" w:space="0" w:color="auto"/>
        <w:bottom w:val="none" w:sz="0" w:space="0" w:color="auto"/>
        <w:right w:val="none" w:sz="0" w:space="0" w:color="auto"/>
      </w:divBdr>
    </w:div>
    <w:div w:id="582180791">
      <w:marLeft w:val="0"/>
      <w:marRight w:val="0"/>
      <w:marTop w:val="0"/>
      <w:marBottom w:val="180"/>
      <w:divBdr>
        <w:top w:val="none" w:sz="0" w:space="0" w:color="auto"/>
        <w:left w:val="none" w:sz="0" w:space="0" w:color="auto"/>
        <w:bottom w:val="none" w:sz="0" w:space="0" w:color="auto"/>
        <w:right w:val="none" w:sz="0" w:space="0" w:color="auto"/>
      </w:divBdr>
    </w:div>
    <w:div w:id="582373678">
      <w:marLeft w:val="0"/>
      <w:marRight w:val="0"/>
      <w:marTop w:val="120"/>
      <w:marBottom w:val="240"/>
      <w:divBdr>
        <w:top w:val="none" w:sz="0" w:space="0" w:color="auto"/>
        <w:left w:val="none" w:sz="0" w:space="0" w:color="auto"/>
        <w:bottom w:val="none" w:sz="0" w:space="0" w:color="auto"/>
        <w:right w:val="none" w:sz="0" w:space="0" w:color="auto"/>
      </w:divBdr>
    </w:div>
    <w:div w:id="583338264">
      <w:marLeft w:val="0"/>
      <w:marRight w:val="0"/>
      <w:marTop w:val="0"/>
      <w:marBottom w:val="0"/>
      <w:divBdr>
        <w:top w:val="none" w:sz="0" w:space="0" w:color="auto"/>
        <w:left w:val="none" w:sz="0" w:space="0" w:color="auto"/>
        <w:bottom w:val="none" w:sz="0" w:space="0" w:color="auto"/>
        <w:right w:val="none" w:sz="0" w:space="0" w:color="auto"/>
      </w:divBdr>
    </w:div>
    <w:div w:id="583412986">
      <w:marLeft w:val="0"/>
      <w:marRight w:val="0"/>
      <w:marTop w:val="0"/>
      <w:marBottom w:val="180"/>
      <w:divBdr>
        <w:top w:val="none" w:sz="0" w:space="0" w:color="auto"/>
        <w:left w:val="none" w:sz="0" w:space="0" w:color="auto"/>
        <w:bottom w:val="none" w:sz="0" w:space="0" w:color="auto"/>
        <w:right w:val="none" w:sz="0" w:space="0" w:color="auto"/>
      </w:divBdr>
    </w:div>
    <w:div w:id="587467732">
      <w:marLeft w:val="0"/>
      <w:marRight w:val="0"/>
      <w:marTop w:val="0"/>
      <w:marBottom w:val="180"/>
      <w:divBdr>
        <w:top w:val="none" w:sz="0" w:space="0" w:color="auto"/>
        <w:left w:val="none" w:sz="0" w:space="0" w:color="auto"/>
        <w:bottom w:val="none" w:sz="0" w:space="0" w:color="auto"/>
        <w:right w:val="none" w:sz="0" w:space="0" w:color="auto"/>
      </w:divBdr>
    </w:div>
    <w:div w:id="588392642">
      <w:marLeft w:val="0"/>
      <w:marRight w:val="0"/>
      <w:marTop w:val="0"/>
      <w:marBottom w:val="0"/>
      <w:divBdr>
        <w:top w:val="none" w:sz="0" w:space="0" w:color="auto"/>
        <w:left w:val="none" w:sz="0" w:space="0" w:color="auto"/>
        <w:bottom w:val="none" w:sz="0" w:space="0" w:color="auto"/>
        <w:right w:val="none" w:sz="0" w:space="0" w:color="auto"/>
      </w:divBdr>
    </w:div>
    <w:div w:id="590159775">
      <w:marLeft w:val="0"/>
      <w:marRight w:val="0"/>
      <w:marTop w:val="0"/>
      <w:marBottom w:val="240"/>
      <w:divBdr>
        <w:top w:val="none" w:sz="0" w:space="0" w:color="auto"/>
        <w:left w:val="none" w:sz="0" w:space="0" w:color="auto"/>
        <w:bottom w:val="none" w:sz="0" w:space="0" w:color="auto"/>
        <w:right w:val="none" w:sz="0" w:space="0" w:color="auto"/>
      </w:divBdr>
    </w:div>
    <w:div w:id="591595769">
      <w:marLeft w:val="0"/>
      <w:marRight w:val="0"/>
      <w:marTop w:val="0"/>
      <w:marBottom w:val="60"/>
      <w:divBdr>
        <w:top w:val="none" w:sz="0" w:space="0" w:color="auto"/>
        <w:left w:val="none" w:sz="0" w:space="0" w:color="auto"/>
        <w:bottom w:val="none" w:sz="0" w:space="0" w:color="auto"/>
        <w:right w:val="none" w:sz="0" w:space="0" w:color="auto"/>
      </w:divBdr>
    </w:div>
    <w:div w:id="592472044">
      <w:marLeft w:val="0"/>
      <w:marRight w:val="0"/>
      <w:marTop w:val="180"/>
      <w:marBottom w:val="180"/>
      <w:divBdr>
        <w:top w:val="none" w:sz="0" w:space="0" w:color="auto"/>
        <w:left w:val="none" w:sz="0" w:space="0" w:color="auto"/>
        <w:bottom w:val="none" w:sz="0" w:space="0" w:color="auto"/>
        <w:right w:val="none" w:sz="0" w:space="0" w:color="auto"/>
      </w:divBdr>
    </w:div>
    <w:div w:id="592980206">
      <w:marLeft w:val="0"/>
      <w:marRight w:val="0"/>
      <w:marTop w:val="0"/>
      <w:marBottom w:val="180"/>
      <w:divBdr>
        <w:top w:val="none" w:sz="0" w:space="0" w:color="auto"/>
        <w:left w:val="none" w:sz="0" w:space="0" w:color="auto"/>
        <w:bottom w:val="none" w:sz="0" w:space="0" w:color="auto"/>
        <w:right w:val="none" w:sz="0" w:space="0" w:color="auto"/>
      </w:divBdr>
    </w:div>
    <w:div w:id="593829058">
      <w:marLeft w:val="0"/>
      <w:marRight w:val="0"/>
      <w:marTop w:val="0"/>
      <w:marBottom w:val="0"/>
      <w:divBdr>
        <w:top w:val="none" w:sz="0" w:space="0" w:color="auto"/>
        <w:left w:val="none" w:sz="0" w:space="0" w:color="auto"/>
        <w:bottom w:val="none" w:sz="0" w:space="0" w:color="auto"/>
        <w:right w:val="none" w:sz="0" w:space="0" w:color="auto"/>
      </w:divBdr>
    </w:div>
    <w:div w:id="594900512">
      <w:marLeft w:val="0"/>
      <w:marRight w:val="0"/>
      <w:marTop w:val="0"/>
      <w:marBottom w:val="240"/>
      <w:divBdr>
        <w:top w:val="none" w:sz="0" w:space="0" w:color="auto"/>
        <w:left w:val="none" w:sz="0" w:space="0" w:color="auto"/>
        <w:bottom w:val="none" w:sz="0" w:space="0" w:color="auto"/>
        <w:right w:val="none" w:sz="0" w:space="0" w:color="auto"/>
      </w:divBdr>
    </w:div>
    <w:div w:id="596521826">
      <w:marLeft w:val="0"/>
      <w:marRight w:val="0"/>
      <w:marTop w:val="120"/>
      <w:marBottom w:val="120"/>
      <w:divBdr>
        <w:top w:val="none" w:sz="0" w:space="0" w:color="auto"/>
        <w:left w:val="none" w:sz="0" w:space="0" w:color="auto"/>
        <w:bottom w:val="none" w:sz="0" w:space="0" w:color="auto"/>
        <w:right w:val="none" w:sz="0" w:space="0" w:color="auto"/>
      </w:divBdr>
    </w:div>
    <w:div w:id="596795300">
      <w:marLeft w:val="0"/>
      <w:marRight w:val="0"/>
      <w:marTop w:val="0"/>
      <w:marBottom w:val="180"/>
      <w:divBdr>
        <w:top w:val="none" w:sz="0" w:space="0" w:color="auto"/>
        <w:left w:val="none" w:sz="0" w:space="0" w:color="auto"/>
        <w:bottom w:val="none" w:sz="0" w:space="0" w:color="auto"/>
        <w:right w:val="none" w:sz="0" w:space="0" w:color="auto"/>
      </w:divBdr>
    </w:div>
    <w:div w:id="597251467">
      <w:marLeft w:val="0"/>
      <w:marRight w:val="0"/>
      <w:marTop w:val="120"/>
      <w:marBottom w:val="240"/>
      <w:divBdr>
        <w:top w:val="none" w:sz="0" w:space="0" w:color="auto"/>
        <w:left w:val="none" w:sz="0" w:space="0" w:color="auto"/>
        <w:bottom w:val="none" w:sz="0" w:space="0" w:color="auto"/>
        <w:right w:val="none" w:sz="0" w:space="0" w:color="auto"/>
      </w:divBdr>
    </w:div>
    <w:div w:id="598493025">
      <w:marLeft w:val="0"/>
      <w:marRight w:val="0"/>
      <w:marTop w:val="120"/>
      <w:marBottom w:val="120"/>
      <w:divBdr>
        <w:top w:val="none" w:sz="0" w:space="0" w:color="auto"/>
        <w:left w:val="none" w:sz="0" w:space="0" w:color="auto"/>
        <w:bottom w:val="none" w:sz="0" w:space="0" w:color="auto"/>
        <w:right w:val="none" w:sz="0" w:space="0" w:color="auto"/>
      </w:divBdr>
    </w:div>
    <w:div w:id="599261475">
      <w:marLeft w:val="0"/>
      <w:marRight w:val="0"/>
      <w:marTop w:val="0"/>
      <w:marBottom w:val="180"/>
      <w:divBdr>
        <w:top w:val="none" w:sz="0" w:space="0" w:color="auto"/>
        <w:left w:val="none" w:sz="0" w:space="0" w:color="auto"/>
        <w:bottom w:val="none" w:sz="0" w:space="0" w:color="auto"/>
        <w:right w:val="none" w:sz="0" w:space="0" w:color="auto"/>
      </w:divBdr>
    </w:div>
    <w:div w:id="605845283">
      <w:marLeft w:val="0"/>
      <w:marRight w:val="0"/>
      <w:marTop w:val="0"/>
      <w:marBottom w:val="0"/>
      <w:divBdr>
        <w:top w:val="none" w:sz="0" w:space="0" w:color="auto"/>
        <w:left w:val="none" w:sz="0" w:space="0" w:color="auto"/>
        <w:bottom w:val="none" w:sz="0" w:space="0" w:color="auto"/>
        <w:right w:val="none" w:sz="0" w:space="0" w:color="auto"/>
      </w:divBdr>
    </w:div>
    <w:div w:id="606733928">
      <w:marLeft w:val="0"/>
      <w:marRight w:val="0"/>
      <w:marTop w:val="0"/>
      <w:marBottom w:val="180"/>
      <w:divBdr>
        <w:top w:val="none" w:sz="0" w:space="0" w:color="auto"/>
        <w:left w:val="none" w:sz="0" w:space="0" w:color="auto"/>
        <w:bottom w:val="none" w:sz="0" w:space="0" w:color="auto"/>
        <w:right w:val="none" w:sz="0" w:space="0" w:color="auto"/>
      </w:divBdr>
    </w:div>
    <w:div w:id="607858520">
      <w:marLeft w:val="0"/>
      <w:marRight w:val="0"/>
      <w:marTop w:val="0"/>
      <w:marBottom w:val="240"/>
      <w:divBdr>
        <w:top w:val="none" w:sz="0" w:space="0" w:color="auto"/>
        <w:left w:val="none" w:sz="0" w:space="0" w:color="auto"/>
        <w:bottom w:val="none" w:sz="0" w:space="0" w:color="auto"/>
        <w:right w:val="none" w:sz="0" w:space="0" w:color="auto"/>
      </w:divBdr>
    </w:div>
    <w:div w:id="610816783">
      <w:marLeft w:val="0"/>
      <w:marRight w:val="0"/>
      <w:marTop w:val="120"/>
      <w:marBottom w:val="120"/>
      <w:divBdr>
        <w:top w:val="none" w:sz="0" w:space="0" w:color="auto"/>
        <w:left w:val="none" w:sz="0" w:space="0" w:color="auto"/>
        <w:bottom w:val="none" w:sz="0" w:space="0" w:color="auto"/>
        <w:right w:val="none" w:sz="0" w:space="0" w:color="auto"/>
      </w:divBdr>
    </w:div>
    <w:div w:id="611985352">
      <w:marLeft w:val="0"/>
      <w:marRight w:val="0"/>
      <w:marTop w:val="0"/>
      <w:marBottom w:val="180"/>
      <w:divBdr>
        <w:top w:val="none" w:sz="0" w:space="0" w:color="auto"/>
        <w:left w:val="none" w:sz="0" w:space="0" w:color="auto"/>
        <w:bottom w:val="none" w:sz="0" w:space="0" w:color="auto"/>
        <w:right w:val="none" w:sz="0" w:space="0" w:color="auto"/>
      </w:divBdr>
    </w:div>
    <w:div w:id="612714197">
      <w:marLeft w:val="0"/>
      <w:marRight w:val="0"/>
      <w:marTop w:val="0"/>
      <w:marBottom w:val="0"/>
      <w:divBdr>
        <w:top w:val="none" w:sz="0" w:space="0" w:color="auto"/>
        <w:left w:val="none" w:sz="0" w:space="0" w:color="auto"/>
        <w:bottom w:val="none" w:sz="0" w:space="0" w:color="auto"/>
        <w:right w:val="none" w:sz="0" w:space="0" w:color="auto"/>
      </w:divBdr>
    </w:div>
    <w:div w:id="614825320">
      <w:marLeft w:val="0"/>
      <w:marRight w:val="0"/>
      <w:marTop w:val="0"/>
      <w:marBottom w:val="180"/>
      <w:divBdr>
        <w:top w:val="none" w:sz="0" w:space="0" w:color="auto"/>
        <w:left w:val="none" w:sz="0" w:space="0" w:color="auto"/>
        <w:bottom w:val="none" w:sz="0" w:space="0" w:color="auto"/>
        <w:right w:val="none" w:sz="0" w:space="0" w:color="auto"/>
      </w:divBdr>
    </w:div>
    <w:div w:id="615330615">
      <w:marLeft w:val="0"/>
      <w:marRight w:val="0"/>
      <w:marTop w:val="0"/>
      <w:marBottom w:val="0"/>
      <w:divBdr>
        <w:top w:val="none" w:sz="0" w:space="0" w:color="auto"/>
        <w:left w:val="none" w:sz="0" w:space="0" w:color="auto"/>
        <w:bottom w:val="none" w:sz="0" w:space="0" w:color="auto"/>
        <w:right w:val="none" w:sz="0" w:space="0" w:color="auto"/>
      </w:divBdr>
    </w:div>
    <w:div w:id="616760725">
      <w:marLeft w:val="0"/>
      <w:marRight w:val="0"/>
      <w:marTop w:val="0"/>
      <w:marBottom w:val="180"/>
      <w:divBdr>
        <w:top w:val="none" w:sz="0" w:space="0" w:color="auto"/>
        <w:left w:val="none" w:sz="0" w:space="0" w:color="auto"/>
        <w:bottom w:val="none" w:sz="0" w:space="0" w:color="auto"/>
        <w:right w:val="none" w:sz="0" w:space="0" w:color="auto"/>
      </w:divBdr>
    </w:div>
    <w:div w:id="619646260">
      <w:marLeft w:val="0"/>
      <w:marRight w:val="0"/>
      <w:marTop w:val="0"/>
      <w:marBottom w:val="240"/>
      <w:divBdr>
        <w:top w:val="none" w:sz="0" w:space="0" w:color="auto"/>
        <w:left w:val="none" w:sz="0" w:space="0" w:color="auto"/>
        <w:bottom w:val="none" w:sz="0" w:space="0" w:color="auto"/>
        <w:right w:val="none" w:sz="0" w:space="0" w:color="auto"/>
      </w:divBdr>
    </w:div>
    <w:div w:id="621692429">
      <w:marLeft w:val="0"/>
      <w:marRight w:val="0"/>
      <w:marTop w:val="0"/>
      <w:marBottom w:val="240"/>
      <w:divBdr>
        <w:top w:val="none" w:sz="0" w:space="0" w:color="auto"/>
        <w:left w:val="none" w:sz="0" w:space="0" w:color="auto"/>
        <w:bottom w:val="none" w:sz="0" w:space="0" w:color="auto"/>
        <w:right w:val="none" w:sz="0" w:space="0" w:color="auto"/>
      </w:divBdr>
    </w:div>
    <w:div w:id="622658319">
      <w:marLeft w:val="0"/>
      <w:marRight w:val="0"/>
      <w:marTop w:val="0"/>
      <w:marBottom w:val="180"/>
      <w:divBdr>
        <w:top w:val="none" w:sz="0" w:space="0" w:color="auto"/>
        <w:left w:val="none" w:sz="0" w:space="0" w:color="auto"/>
        <w:bottom w:val="none" w:sz="0" w:space="0" w:color="auto"/>
        <w:right w:val="none" w:sz="0" w:space="0" w:color="auto"/>
      </w:divBdr>
    </w:div>
    <w:div w:id="625543220">
      <w:marLeft w:val="0"/>
      <w:marRight w:val="0"/>
      <w:marTop w:val="180"/>
      <w:marBottom w:val="180"/>
      <w:divBdr>
        <w:top w:val="none" w:sz="0" w:space="0" w:color="auto"/>
        <w:left w:val="none" w:sz="0" w:space="0" w:color="auto"/>
        <w:bottom w:val="none" w:sz="0" w:space="0" w:color="auto"/>
        <w:right w:val="none" w:sz="0" w:space="0" w:color="auto"/>
      </w:divBdr>
    </w:div>
    <w:div w:id="626546868">
      <w:marLeft w:val="0"/>
      <w:marRight w:val="0"/>
      <w:marTop w:val="0"/>
      <w:marBottom w:val="0"/>
      <w:divBdr>
        <w:top w:val="none" w:sz="0" w:space="0" w:color="auto"/>
        <w:left w:val="none" w:sz="0" w:space="0" w:color="auto"/>
        <w:bottom w:val="none" w:sz="0" w:space="0" w:color="auto"/>
        <w:right w:val="none" w:sz="0" w:space="0" w:color="auto"/>
      </w:divBdr>
    </w:div>
    <w:div w:id="627978211">
      <w:marLeft w:val="0"/>
      <w:marRight w:val="0"/>
      <w:marTop w:val="0"/>
      <w:marBottom w:val="180"/>
      <w:divBdr>
        <w:top w:val="none" w:sz="0" w:space="0" w:color="auto"/>
        <w:left w:val="none" w:sz="0" w:space="0" w:color="auto"/>
        <w:bottom w:val="none" w:sz="0" w:space="0" w:color="auto"/>
        <w:right w:val="none" w:sz="0" w:space="0" w:color="auto"/>
      </w:divBdr>
    </w:div>
    <w:div w:id="628701890">
      <w:marLeft w:val="0"/>
      <w:marRight w:val="0"/>
      <w:marTop w:val="0"/>
      <w:marBottom w:val="240"/>
      <w:divBdr>
        <w:top w:val="none" w:sz="0" w:space="0" w:color="auto"/>
        <w:left w:val="none" w:sz="0" w:space="0" w:color="auto"/>
        <w:bottom w:val="none" w:sz="0" w:space="0" w:color="auto"/>
        <w:right w:val="none" w:sz="0" w:space="0" w:color="auto"/>
      </w:divBdr>
    </w:div>
    <w:div w:id="632102096">
      <w:marLeft w:val="0"/>
      <w:marRight w:val="0"/>
      <w:marTop w:val="100"/>
      <w:marBottom w:val="100"/>
      <w:divBdr>
        <w:top w:val="none" w:sz="0" w:space="0" w:color="auto"/>
        <w:left w:val="none" w:sz="0" w:space="0" w:color="auto"/>
        <w:bottom w:val="none" w:sz="0" w:space="0" w:color="auto"/>
        <w:right w:val="none" w:sz="0" w:space="0" w:color="auto"/>
      </w:divBdr>
    </w:div>
    <w:div w:id="632906757">
      <w:marLeft w:val="0"/>
      <w:marRight w:val="0"/>
      <w:marTop w:val="120"/>
      <w:marBottom w:val="120"/>
      <w:divBdr>
        <w:top w:val="none" w:sz="0" w:space="0" w:color="auto"/>
        <w:left w:val="none" w:sz="0" w:space="0" w:color="auto"/>
        <w:bottom w:val="none" w:sz="0" w:space="0" w:color="auto"/>
        <w:right w:val="none" w:sz="0" w:space="0" w:color="auto"/>
      </w:divBdr>
    </w:div>
    <w:div w:id="634331631">
      <w:marLeft w:val="0"/>
      <w:marRight w:val="0"/>
      <w:marTop w:val="0"/>
      <w:marBottom w:val="60"/>
      <w:divBdr>
        <w:top w:val="none" w:sz="0" w:space="0" w:color="auto"/>
        <w:left w:val="none" w:sz="0" w:space="0" w:color="auto"/>
        <w:bottom w:val="none" w:sz="0" w:space="0" w:color="auto"/>
        <w:right w:val="none" w:sz="0" w:space="0" w:color="auto"/>
      </w:divBdr>
    </w:div>
    <w:div w:id="637152623">
      <w:marLeft w:val="0"/>
      <w:marRight w:val="0"/>
      <w:marTop w:val="180"/>
      <w:marBottom w:val="180"/>
      <w:divBdr>
        <w:top w:val="none" w:sz="0" w:space="0" w:color="auto"/>
        <w:left w:val="none" w:sz="0" w:space="0" w:color="auto"/>
        <w:bottom w:val="none" w:sz="0" w:space="0" w:color="auto"/>
        <w:right w:val="none" w:sz="0" w:space="0" w:color="auto"/>
      </w:divBdr>
    </w:div>
    <w:div w:id="637689629">
      <w:marLeft w:val="0"/>
      <w:marRight w:val="0"/>
      <w:marTop w:val="120"/>
      <w:marBottom w:val="180"/>
      <w:divBdr>
        <w:top w:val="none" w:sz="0" w:space="0" w:color="auto"/>
        <w:left w:val="none" w:sz="0" w:space="0" w:color="auto"/>
        <w:bottom w:val="none" w:sz="0" w:space="0" w:color="auto"/>
        <w:right w:val="none" w:sz="0" w:space="0" w:color="auto"/>
      </w:divBdr>
    </w:div>
    <w:div w:id="638150783">
      <w:marLeft w:val="0"/>
      <w:marRight w:val="0"/>
      <w:marTop w:val="120"/>
      <w:marBottom w:val="180"/>
      <w:divBdr>
        <w:top w:val="none" w:sz="0" w:space="0" w:color="auto"/>
        <w:left w:val="none" w:sz="0" w:space="0" w:color="auto"/>
        <w:bottom w:val="none" w:sz="0" w:space="0" w:color="auto"/>
        <w:right w:val="none" w:sz="0" w:space="0" w:color="auto"/>
      </w:divBdr>
    </w:div>
    <w:div w:id="639191622">
      <w:marLeft w:val="0"/>
      <w:marRight w:val="0"/>
      <w:marTop w:val="0"/>
      <w:marBottom w:val="180"/>
      <w:divBdr>
        <w:top w:val="none" w:sz="0" w:space="0" w:color="auto"/>
        <w:left w:val="none" w:sz="0" w:space="0" w:color="auto"/>
        <w:bottom w:val="none" w:sz="0" w:space="0" w:color="auto"/>
        <w:right w:val="none" w:sz="0" w:space="0" w:color="auto"/>
      </w:divBdr>
    </w:div>
    <w:div w:id="640579024">
      <w:marLeft w:val="0"/>
      <w:marRight w:val="0"/>
      <w:marTop w:val="0"/>
      <w:marBottom w:val="180"/>
      <w:divBdr>
        <w:top w:val="none" w:sz="0" w:space="0" w:color="auto"/>
        <w:left w:val="none" w:sz="0" w:space="0" w:color="auto"/>
        <w:bottom w:val="none" w:sz="0" w:space="0" w:color="auto"/>
        <w:right w:val="none" w:sz="0" w:space="0" w:color="auto"/>
      </w:divBdr>
    </w:div>
    <w:div w:id="642806350">
      <w:marLeft w:val="0"/>
      <w:marRight w:val="0"/>
      <w:marTop w:val="0"/>
      <w:marBottom w:val="240"/>
      <w:divBdr>
        <w:top w:val="none" w:sz="0" w:space="0" w:color="auto"/>
        <w:left w:val="none" w:sz="0" w:space="0" w:color="auto"/>
        <w:bottom w:val="none" w:sz="0" w:space="0" w:color="auto"/>
        <w:right w:val="none" w:sz="0" w:space="0" w:color="auto"/>
      </w:divBdr>
    </w:div>
    <w:div w:id="644161023">
      <w:marLeft w:val="0"/>
      <w:marRight w:val="0"/>
      <w:marTop w:val="0"/>
      <w:marBottom w:val="0"/>
      <w:divBdr>
        <w:top w:val="none" w:sz="0" w:space="0" w:color="auto"/>
        <w:left w:val="none" w:sz="0" w:space="0" w:color="auto"/>
        <w:bottom w:val="none" w:sz="0" w:space="0" w:color="auto"/>
        <w:right w:val="none" w:sz="0" w:space="0" w:color="auto"/>
      </w:divBdr>
      <w:divsChild>
        <w:div w:id="2119132425">
          <w:marLeft w:val="0"/>
          <w:marRight w:val="0"/>
          <w:marTop w:val="0"/>
          <w:marBottom w:val="0"/>
          <w:divBdr>
            <w:top w:val="none" w:sz="0" w:space="0" w:color="auto"/>
            <w:left w:val="none" w:sz="0" w:space="0" w:color="auto"/>
            <w:bottom w:val="none" w:sz="0" w:space="0" w:color="auto"/>
            <w:right w:val="none" w:sz="0" w:space="0" w:color="auto"/>
          </w:divBdr>
        </w:div>
      </w:divsChild>
    </w:div>
    <w:div w:id="644625530">
      <w:marLeft w:val="0"/>
      <w:marRight w:val="0"/>
      <w:marTop w:val="180"/>
      <w:marBottom w:val="180"/>
      <w:divBdr>
        <w:top w:val="none" w:sz="0" w:space="0" w:color="auto"/>
        <w:left w:val="none" w:sz="0" w:space="0" w:color="auto"/>
        <w:bottom w:val="none" w:sz="0" w:space="0" w:color="auto"/>
        <w:right w:val="none" w:sz="0" w:space="0" w:color="auto"/>
      </w:divBdr>
    </w:div>
    <w:div w:id="646201184">
      <w:marLeft w:val="0"/>
      <w:marRight w:val="0"/>
      <w:marTop w:val="0"/>
      <w:marBottom w:val="60"/>
      <w:divBdr>
        <w:top w:val="none" w:sz="0" w:space="0" w:color="auto"/>
        <w:left w:val="none" w:sz="0" w:space="0" w:color="auto"/>
        <w:bottom w:val="none" w:sz="0" w:space="0" w:color="auto"/>
        <w:right w:val="none" w:sz="0" w:space="0" w:color="auto"/>
      </w:divBdr>
    </w:div>
    <w:div w:id="646319619">
      <w:marLeft w:val="0"/>
      <w:marRight w:val="0"/>
      <w:marTop w:val="100"/>
      <w:marBottom w:val="100"/>
      <w:divBdr>
        <w:top w:val="none" w:sz="0" w:space="0" w:color="auto"/>
        <w:left w:val="none" w:sz="0" w:space="0" w:color="auto"/>
        <w:bottom w:val="none" w:sz="0" w:space="0" w:color="auto"/>
        <w:right w:val="none" w:sz="0" w:space="0" w:color="auto"/>
      </w:divBdr>
    </w:div>
    <w:div w:id="646544961">
      <w:marLeft w:val="0"/>
      <w:marRight w:val="0"/>
      <w:marTop w:val="0"/>
      <w:marBottom w:val="180"/>
      <w:divBdr>
        <w:top w:val="none" w:sz="0" w:space="0" w:color="auto"/>
        <w:left w:val="none" w:sz="0" w:space="0" w:color="auto"/>
        <w:bottom w:val="none" w:sz="0" w:space="0" w:color="auto"/>
        <w:right w:val="none" w:sz="0" w:space="0" w:color="auto"/>
      </w:divBdr>
    </w:div>
    <w:div w:id="646709578">
      <w:marLeft w:val="0"/>
      <w:marRight w:val="0"/>
      <w:marTop w:val="100"/>
      <w:marBottom w:val="100"/>
      <w:divBdr>
        <w:top w:val="none" w:sz="0" w:space="0" w:color="auto"/>
        <w:left w:val="none" w:sz="0" w:space="0" w:color="auto"/>
        <w:bottom w:val="none" w:sz="0" w:space="0" w:color="auto"/>
        <w:right w:val="none" w:sz="0" w:space="0" w:color="auto"/>
      </w:divBdr>
    </w:div>
    <w:div w:id="648099780">
      <w:marLeft w:val="0"/>
      <w:marRight w:val="0"/>
      <w:marTop w:val="120"/>
      <w:marBottom w:val="120"/>
      <w:divBdr>
        <w:top w:val="none" w:sz="0" w:space="0" w:color="auto"/>
        <w:left w:val="none" w:sz="0" w:space="0" w:color="auto"/>
        <w:bottom w:val="none" w:sz="0" w:space="0" w:color="auto"/>
        <w:right w:val="none" w:sz="0" w:space="0" w:color="auto"/>
      </w:divBdr>
    </w:div>
    <w:div w:id="648941729">
      <w:marLeft w:val="0"/>
      <w:marRight w:val="0"/>
      <w:marTop w:val="0"/>
      <w:marBottom w:val="0"/>
      <w:divBdr>
        <w:top w:val="none" w:sz="0" w:space="0" w:color="auto"/>
        <w:left w:val="none" w:sz="0" w:space="0" w:color="auto"/>
        <w:bottom w:val="none" w:sz="0" w:space="0" w:color="auto"/>
        <w:right w:val="none" w:sz="0" w:space="0" w:color="auto"/>
      </w:divBdr>
      <w:divsChild>
        <w:div w:id="1282296785">
          <w:marLeft w:val="0"/>
          <w:marRight w:val="0"/>
          <w:marTop w:val="0"/>
          <w:marBottom w:val="0"/>
          <w:divBdr>
            <w:top w:val="none" w:sz="0" w:space="0" w:color="auto"/>
            <w:left w:val="none" w:sz="0" w:space="0" w:color="auto"/>
            <w:bottom w:val="none" w:sz="0" w:space="0" w:color="auto"/>
            <w:right w:val="none" w:sz="0" w:space="0" w:color="auto"/>
          </w:divBdr>
        </w:div>
      </w:divsChild>
    </w:div>
    <w:div w:id="650058173">
      <w:marLeft w:val="0"/>
      <w:marRight w:val="0"/>
      <w:marTop w:val="0"/>
      <w:marBottom w:val="0"/>
      <w:divBdr>
        <w:top w:val="none" w:sz="0" w:space="0" w:color="auto"/>
        <w:left w:val="none" w:sz="0" w:space="0" w:color="auto"/>
        <w:bottom w:val="none" w:sz="0" w:space="0" w:color="auto"/>
        <w:right w:val="none" w:sz="0" w:space="0" w:color="auto"/>
      </w:divBdr>
      <w:divsChild>
        <w:div w:id="1586571194">
          <w:marLeft w:val="0"/>
          <w:marRight w:val="0"/>
          <w:marTop w:val="0"/>
          <w:marBottom w:val="0"/>
          <w:divBdr>
            <w:top w:val="none" w:sz="0" w:space="0" w:color="auto"/>
            <w:left w:val="none" w:sz="0" w:space="0" w:color="auto"/>
            <w:bottom w:val="none" w:sz="0" w:space="0" w:color="auto"/>
            <w:right w:val="none" w:sz="0" w:space="0" w:color="auto"/>
          </w:divBdr>
        </w:div>
      </w:divsChild>
    </w:div>
    <w:div w:id="652292563">
      <w:marLeft w:val="0"/>
      <w:marRight w:val="0"/>
      <w:marTop w:val="0"/>
      <w:marBottom w:val="0"/>
      <w:divBdr>
        <w:top w:val="none" w:sz="0" w:space="0" w:color="auto"/>
        <w:left w:val="none" w:sz="0" w:space="0" w:color="auto"/>
        <w:bottom w:val="none" w:sz="0" w:space="0" w:color="auto"/>
        <w:right w:val="none" w:sz="0" w:space="0" w:color="auto"/>
      </w:divBdr>
    </w:div>
    <w:div w:id="652874068">
      <w:marLeft w:val="0"/>
      <w:marRight w:val="0"/>
      <w:marTop w:val="0"/>
      <w:marBottom w:val="0"/>
      <w:divBdr>
        <w:top w:val="none" w:sz="0" w:space="0" w:color="auto"/>
        <w:left w:val="none" w:sz="0" w:space="0" w:color="auto"/>
        <w:bottom w:val="none" w:sz="0" w:space="0" w:color="auto"/>
        <w:right w:val="none" w:sz="0" w:space="0" w:color="auto"/>
      </w:divBdr>
    </w:div>
    <w:div w:id="652950659">
      <w:marLeft w:val="0"/>
      <w:marRight w:val="0"/>
      <w:marTop w:val="0"/>
      <w:marBottom w:val="180"/>
      <w:divBdr>
        <w:top w:val="none" w:sz="0" w:space="0" w:color="auto"/>
        <w:left w:val="none" w:sz="0" w:space="0" w:color="auto"/>
        <w:bottom w:val="none" w:sz="0" w:space="0" w:color="auto"/>
        <w:right w:val="none" w:sz="0" w:space="0" w:color="auto"/>
      </w:divBdr>
    </w:div>
    <w:div w:id="653142842">
      <w:marLeft w:val="0"/>
      <w:marRight w:val="0"/>
      <w:marTop w:val="0"/>
      <w:marBottom w:val="180"/>
      <w:divBdr>
        <w:top w:val="none" w:sz="0" w:space="0" w:color="auto"/>
        <w:left w:val="none" w:sz="0" w:space="0" w:color="auto"/>
        <w:bottom w:val="none" w:sz="0" w:space="0" w:color="auto"/>
        <w:right w:val="none" w:sz="0" w:space="0" w:color="auto"/>
      </w:divBdr>
    </w:div>
    <w:div w:id="653340905">
      <w:marLeft w:val="0"/>
      <w:marRight w:val="0"/>
      <w:marTop w:val="180"/>
      <w:marBottom w:val="180"/>
      <w:divBdr>
        <w:top w:val="none" w:sz="0" w:space="0" w:color="auto"/>
        <w:left w:val="none" w:sz="0" w:space="0" w:color="auto"/>
        <w:bottom w:val="none" w:sz="0" w:space="0" w:color="auto"/>
        <w:right w:val="none" w:sz="0" w:space="0" w:color="auto"/>
      </w:divBdr>
    </w:div>
    <w:div w:id="655453594">
      <w:marLeft w:val="0"/>
      <w:marRight w:val="0"/>
      <w:marTop w:val="0"/>
      <w:marBottom w:val="0"/>
      <w:divBdr>
        <w:top w:val="none" w:sz="0" w:space="0" w:color="auto"/>
        <w:left w:val="none" w:sz="0" w:space="0" w:color="auto"/>
        <w:bottom w:val="none" w:sz="0" w:space="0" w:color="auto"/>
        <w:right w:val="none" w:sz="0" w:space="0" w:color="auto"/>
      </w:divBdr>
      <w:divsChild>
        <w:div w:id="1574855698">
          <w:marLeft w:val="0"/>
          <w:marRight w:val="0"/>
          <w:marTop w:val="0"/>
          <w:marBottom w:val="0"/>
          <w:divBdr>
            <w:top w:val="none" w:sz="0" w:space="0" w:color="auto"/>
            <w:left w:val="none" w:sz="0" w:space="0" w:color="auto"/>
            <w:bottom w:val="none" w:sz="0" w:space="0" w:color="auto"/>
            <w:right w:val="none" w:sz="0" w:space="0" w:color="auto"/>
          </w:divBdr>
        </w:div>
      </w:divsChild>
    </w:div>
    <w:div w:id="658575993">
      <w:marLeft w:val="0"/>
      <w:marRight w:val="0"/>
      <w:marTop w:val="100"/>
      <w:marBottom w:val="100"/>
      <w:divBdr>
        <w:top w:val="none" w:sz="0" w:space="0" w:color="auto"/>
        <w:left w:val="none" w:sz="0" w:space="0" w:color="auto"/>
        <w:bottom w:val="none" w:sz="0" w:space="0" w:color="auto"/>
        <w:right w:val="none" w:sz="0" w:space="0" w:color="auto"/>
      </w:divBdr>
      <w:divsChild>
        <w:div w:id="910384359">
          <w:marLeft w:val="0"/>
          <w:marRight w:val="0"/>
          <w:marTop w:val="0"/>
          <w:marBottom w:val="0"/>
          <w:divBdr>
            <w:top w:val="none" w:sz="0" w:space="0" w:color="auto"/>
            <w:left w:val="none" w:sz="0" w:space="0" w:color="auto"/>
            <w:bottom w:val="none" w:sz="0" w:space="0" w:color="auto"/>
            <w:right w:val="none" w:sz="0" w:space="0" w:color="auto"/>
          </w:divBdr>
        </w:div>
      </w:divsChild>
    </w:div>
    <w:div w:id="660230405">
      <w:marLeft w:val="0"/>
      <w:marRight w:val="0"/>
      <w:marTop w:val="0"/>
      <w:marBottom w:val="0"/>
      <w:divBdr>
        <w:top w:val="none" w:sz="0" w:space="0" w:color="auto"/>
        <w:left w:val="none" w:sz="0" w:space="0" w:color="auto"/>
        <w:bottom w:val="none" w:sz="0" w:space="0" w:color="auto"/>
        <w:right w:val="none" w:sz="0" w:space="0" w:color="auto"/>
      </w:divBdr>
    </w:div>
    <w:div w:id="664279491">
      <w:marLeft w:val="0"/>
      <w:marRight w:val="0"/>
      <w:marTop w:val="0"/>
      <w:marBottom w:val="0"/>
      <w:divBdr>
        <w:top w:val="none" w:sz="0" w:space="0" w:color="auto"/>
        <w:left w:val="none" w:sz="0" w:space="0" w:color="auto"/>
        <w:bottom w:val="none" w:sz="0" w:space="0" w:color="auto"/>
        <w:right w:val="none" w:sz="0" w:space="0" w:color="auto"/>
      </w:divBdr>
      <w:divsChild>
        <w:div w:id="1151289834">
          <w:marLeft w:val="0"/>
          <w:marRight w:val="0"/>
          <w:marTop w:val="0"/>
          <w:marBottom w:val="0"/>
          <w:divBdr>
            <w:top w:val="none" w:sz="0" w:space="0" w:color="auto"/>
            <w:left w:val="none" w:sz="0" w:space="0" w:color="auto"/>
            <w:bottom w:val="none" w:sz="0" w:space="0" w:color="auto"/>
            <w:right w:val="none" w:sz="0" w:space="0" w:color="auto"/>
          </w:divBdr>
        </w:div>
      </w:divsChild>
    </w:div>
    <w:div w:id="665208047">
      <w:marLeft w:val="0"/>
      <w:marRight w:val="0"/>
      <w:marTop w:val="0"/>
      <w:marBottom w:val="180"/>
      <w:divBdr>
        <w:top w:val="none" w:sz="0" w:space="0" w:color="auto"/>
        <w:left w:val="none" w:sz="0" w:space="0" w:color="auto"/>
        <w:bottom w:val="none" w:sz="0" w:space="0" w:color="auto"/>
        <w:right w:val="none" w:sz="0" w:space="0" w:color="auto"/>
      </w:divBdr>
    </w:div>
    <w:div w:id="667561473">
      <w:marLeft w:val="0"/>
      <w:marRight w:val="0"/>
      <w:marTop w:val="0"/>
      <w:marBottom w:val="180"/>
      <w:divBdr>
        <w:top w:val="none" w:sz="0" w:space="0" w:color="auto"/>
        <w:left w:val="none" w:sz="0" w:space="0" w:color="auto"/>
        <w:bottom w:val="none" w:sz="0" w:space="0" w:color="auto"/>
        <w:right w:val="none" w:sz="0" w:space="0" w:color="auto"/>
      </w:divBdr>
    </w:div>
    <w:div w:id="671301465">
      <w:marLeft w:val="0"/>
      <w:marRight w:val="0"/>
      <w:marTop w:val="0"/>
      <w:marBottom w:val="0"/>
      <w:divBdr>
        <w:top w:val="none" w:sz="0" w:space="0" w:color="auto"/>
        <w:left w:val="none" w:sz="0" w:space="0" w:color="auto"/>
        <w:bottom w:val="none" w:sz="0" w:space="0" w:color="auto"/>
        <w:right w:val="none" w:sz="0" w:space="0" w:color="auto"/>
      </w:divBdr>
    </w:div>
    <w:div w:id="672533550">
      <w:marLeft w:val="0"/>
      <w:marRight w:val="0"/>
      <w:marTop w:val="0"/>
      <w:marBottom w:val="0"/>
      <w:divBdr>
        <w:top w:val="none" w:sz="0" w:space="0" w:color="auto"/>
        <w:left w:val="none" w:sz="0" w:space="0" w:color="auto"/>
        <w:bottom w:val="none" w:sz="0" w:space="0" w:color="auto"/>
        <w:right w:val="none" w:sz="0" w:space="0" w:color="auto"/>
      </w:divBdr>
    </w:div>
    <w:div w:id="672998953">
      <w:marLeft w:val="0"/>
      <w:marRight w:val="0"/>
      <w:marTop w:val="0"/>
      <w:marBottom w:val="180"/>
      <w:divBdr>
        <w:top w:val="none" w:sz="0" w:space="0" w:color="auto"/>
        <w:left w:val="none" w:sz="0" w:space="0" w:color="auto"/>
        <w:bottom w:val="none" w:sz="0" w:space="0" w:color="auto"/>
        <w:right w:val="none" w:sz="0" w:space="0" w:color="auto"/>
      </w:divBdr>
    </w:div>
    <w:div w:id="673067466">
      <w:marLeft w:val="0"/>
      <w:marRight w:val="0"/>
      <w:marTop w:val="0"/>
      <w:marBottom w:val="0"/>
      <w:divBdr>
        <w:top w:val="none" w:sz="0" w:space="0" w:color="auto"/>
        <w:left w:val="none" w:sz="0" w:space="0" w:color="auto"/>
        <w:bottom w:val="none" w:sz="0" w:space="0" w:color="auto"/>
        <w:right w:val="none" w:sz="0" w:space="0" w:color="auto"/>
      </w:divBdr>
      <w:divsChild>
        <w:div w:id="109201044">
          <w:marLeft w:val="0"/>
          <w:marRight w:val="0"/>
          <w:marTop w:val="0"/>
          <w:marBottom w:val="0"/>
          <w:divBdr>
            <w:top w:val="none" w:sz="0" w:space="0" w:color="auto"/>
            <w:left w:val="none" w:sz="0" w:space="0" w:color="auto"/>
            <w:bottom w:val="none" w:sz="0" w:space="0" w:color="auto"/>
            <w:right w:val="none" w:sz="0" w:space="0" w:color="auto"/>
          </w:divBdr>
        </w:div>
      </w:divsChild>
    </w:div>
    <w:div w:id="673071754">
      <w:marLeft w:val="0"/>
      <w:marRight w:val="0"/>
      <w:marTop w:val="0"/>
      <w:marBottom w:val="0"/>
      <w:divBdr>
        <w:top w:val="none" w:sz="0" w:space="0" w:color="auto"/>
        <w:left w:val="none" w:sz="0" w:space="0" w:color="auto"/>
        <w:bottom w:val="none" w:sz="0" w:space="0" w:color="auto"/>
        <w:right w:val="none" w:sz="0" w:space="0" w:color="auto"/>
      </w:divBdr>
      <w:divsChild>
        <w:div w:id="1209416179">
          <w:marLeft w:val="0"/>
          <w:marRight w:val="0"/>
          <w:marTop w:val="0"/>
          <w:marBottom w:val="0"/>
          <w:divBdr>
            <w:top w:val="none" w:sz="0" w:space="0" w:color="auto"/>
            <w:left w:val="none" w:sz="0" w:space="0" w:color="auto"/>
            <w:bottom w:val="none" w:sz="0" w:space="0" w:color="auto"/>
            <w:right w:val="none" w:sz="0" w:space="0" w:color="auto"/>
          </w:divBdr>
        </w:div>
      </w:divsChild>
    </w:div>
    <w:div w:id="673650613">
      <w:marLeft w:val="0"/>
      <w:marRight w:val="0"/>
      <w:marTop w:val="0"/>
      <w:marBottom w:val="180"/>
      <w:divBdr>
        <w:top w:val="none" w:sz="0" w:space="0" w:color="auto"/>
        <w:left w:val="none" w:sz="0" w:space="0" w:color="auto"/>
        <w:bottom w:val="none" w:sz="0" w:space="0" w:color="auto"/>
        <w:right w:val="none" w:sz="0" w:space="0" w:color="auto"/>
      </w:divBdr>
    </w:div>
    <w:div w:id="674460960">
      <w:marLeft w:val="0"/>
      <w:marRight w:val="0"/>
      <w:marTop w:val="0"/>
      <w:marBottom w:val="0"/>
      <w:divBdr>
        <w:top w:val="none" w:sz="0" w:space="0" w:color="auto"/>
        <w:left w:val="none" w:sz="0" w:space="0" w:color="auto"/>
        <w:bottom w:val="none" w:sz="0" w:space="0" w:color="auto"/>
        <w:right w:val="none" w:sz="0" w:space="0" w:color="auto"/>
      </w:divBdr>
    </w:div>
    <w:div w:id="675306296">
      <w:marLeft w:val="0"/>
      <w:marRight w:val="0"/>
      <w:marTop w:val="100"/>
      <w:marBottom w:val="220"/>
      <w:divBdr>
        <w:top w:val="none" w:sz="0" w:space="0" w:color="auto"/>
        <w:left w:val="none" w:sz="0" w:space="0" w:color="auto"/>
        <w:bottom w:val="none" w:sz="0" w:space="0" w:color="auto"/>
        <w:right w:val="none" w:sz="0" w:space="0" w:color="auto"/>
      </w:divBdr>
    </w:div>
    <w:div w:id="676663093">
      <w:marLeft w:val="0"/>
      <w:marRight w:val="0"/>
      <w:marTop w:val="0"/>
      <w:marBottom w:val="180"/>
      <w:divBdr>
        <w:top w:val="none" w:sz="0" w:space="0" w:color="auto"/>
        <w:left w:val="none" w:sz="0" w:space="0" w:color="auto"/>
        <w:bottom w:val="none" w:sz="0" w:space="0" w:color="auto"/>
        <w:right w:val="none" w:sz="0" w:space="0" w:color="auto"/>
      </w:divBdr>
    </w:div>
    <w:div w:id="677460381">
      <w:marLeft w:val="0"/>
      <w:marRight w:val="0"/>
      <w:marTop w:val="0"/>
      <w:marBottom w:val="180"/>
      <w:divBdr>
        <w:top w:val="none" w:sz="0" w:space="0" w:color="auto"/>
        <w:left w:val="none" w:sz="0" w:space="0" w:color="auto"/>
        <w:bottom w:val="none" w:sz="0" w:space="0" w:color="auto"/>
        <w:right w:val="none" w:sz="0" w:space="0" w:color="auto"/>
      </w:divBdr>
    </w:div>
    <w:div w:id="678040540">
      <w:marLeft w:val="0"/>
      <w:marRight w:val="0"/>
      <w:marTop w:val="0"/>
      <w:marBottom w:val="240"/>
      <w:divBdr>
        <w:top w:val="none" w:sz="0" w:space="0" w:color="auto"/>
        <w:left w:val="none" w:sz="0" w:space="0" w:color="auto"/>
        <w:bottom w:val="none" w:sz="0" w:space="0" w:color="auto"/>
        <w:right w:val="none" w:sz="0" w:space="0" w:color="auto"/>
      </w:divBdr>
    </w:div>
    <w:div w:id="678391122">
      <w:marLeft w:val="0"/>
      <w:marRight w:val="0"/>
      <w:marTop w:val="120"/>
      <w:marBottom w:val="120"/>
      <w:divBdr>
        <w:top w:val="none" w:sz="0" w:space="0" w:color="auto"/>
        <w:left w:val="none" w:sz="0" w:space="0" w:color="auto"/>
        <w:bottom w:val="none" w:sz="0" w:space="0" w:color="auto"/>
        <w:right w:val="none" w:sz="0" w:space="0" w:color="auto"/>
      </w:divBdr>
    </w:div>
    <w:div w:id="678459467">
      <w:marLeft w:val="0"/>
      <w:marRight w:val="0"/>
      <w:marTop w:val="120"/>
      <w:marBottom w:val="180"/>
      <w:divBdr>
        <w:top w:val="none" w:sz="0" w:space="0" w:color="auto"/>
        <w:left w:val="none" w:sz="0" w:space="0" w:color="auto"/>
        <w:bottom w:val="none" w:sz="0" w:space="0" w:color="auto"/>
        <w:right w:val="none" w:sz="0" w:space="0" w:color="auto"/>
      </w:divBdr>
    </w:div>
    <w:div w:id="679739645">
      <w:marLeft w:val="0"/>
      <w:marRight w:val="0"/>
      <w:marTop w:val="0"/>
      <w:marBottom w:val="0"/>
      <w:divBdr>
        <w:top w:val="none" w:sz="0" w:space="0" w:color="auto"/>
        <w:left w:val="none" w:sz="0" w:space="0" w:color="auto"/>
        <w:bottom w:val="none" w:sz="0" w:space="0" w:color="auto"/>
        <w:right w:val="none" w:sz="0" w:space="0" w:color="auto"/>
      </w:divBdr>
      <w:divsChild>
        <w:div w:id="1313169696">
          <w:marLeft w:val="0"/>
          <w:marRight w:val="0"/>
          <w:marTop w:val="0"/>
          <w:marBottom w:val="0"/>
          <w:divBdr>
            <w:top w:val="none" w:sz="0" w:space="0" w:color="auto"/>
            <w:left w:val="none" w:sz="0" w:space="0" w:color="auto"/>
            <w:bottom w:val="none" w:sz="0" w:space="0" w:color="auto"/>
            <w:right w:val="none" w:sz="0" w:space="0" w:color="auto"/>
          </w:divBdr>
        </w:div>
      </w:divsChild>
    </w:div>
    <w:div w:id="679818191">
      <w:marLeft w:val="0"/>
      <w:marRight w:val="0"/>
      <w:marTop w:val="0"/>
      <w:marBottom w:val="240"/>
      <w:divBdr>
        <w:top w:val="none" w:sz="0" w:space="0" w:color="auto"/>
        <w:left w:val="none" w:sz="0" w:space="0" w:color="auto"/>
        <w:bottom w:val="none" w:sz="0" w:space="0" w:color="auto"/>
        <w:right w:val="none" w:sz="0" w:space="0" w:color="auto"/>
      </w:divBdr>
    </w:div>
    <w:div w:id="681008988">
      <w:marLeft w:val="0"/>
      <w:marRight w:val="0"/>
      <w:marTop w:val="180"/>
      <w:marBottom w:val="180"/>
      <w:divBdr>
        <w:top w:val="none" w:sz="0" w:space="0" w:color="auto"/>
        <w:left w:val="none" w:sz="0" w:space="0" w:color="auto"/>
        <w:bottom w:val="none" w:sz="0" w:space="0" w:color="auto"/>
        <w:right w:val="none" w:sz="0" w:space="0" w:color="auto"/>
      </w:divBdr>
    </w:div>
    <w:div w:id="686980348">
      <w:marLeft w:val="0"/>
      <w:marRight w:val="0"/>
      <w:marTop w:val="120"/>
      <w:marBottom w:val="120"/>
      <w:divBdr>
        <w:top w:val="none" w:sz="0" w:space="0" w:color="auto"/>
        <w:left w:val="none" w:sz="0" w:space="0" w:color="auto"/>
        <w:bottom w:val="none" w:sz="0" w:space="0" w:color="auto"/>
        <w:right w:val="none" w:sz="0" w:space="0" w:color="auto"/>
      </w:divBdr>
    </w:div>
    <w:div w:id="688797646">
      <w:marLeft w:val="0"/>
      <w:marRight w:val="0"/>
      <w:marTop w:val="100"/>
      <w:marBottom w:val="100"/>
      <w:divBdr>
        <w:top w:val="none" w:sz="0" w:space="0" w:color="auto"/>
        <w:left w:val="none" w:sz="0" w:space="0" w:color="auto"/>
        <w:bottom w:val="none" w:sz="0" w:space="0" w:color="auto"/>
        <w:right w:val="none" w:sz="0" w:space="0" w:color="auto"/>
      </w:divBdr>
    </w:div>
    <w:div w:id="692456194">
      <w:marLeft w:val="0"/>
      <w:marRight w:val="0"/>
      <w:marTop w:val="0"/>
      <w:marBottom w:val="0"/>
      <w:divBdr>
        <w:top w:val="none" w:sz="0" w:space="0" w:color="auto"/>
        <w:left w:val="none" w:sz="0" w:space="0" w:color="auto"/>
        <w:bottom w:val="none" w:sz="0" w:space="0" w:color="auto"/>
        <w:right w:val="none" w:sz="0" w:space="0" w:color="auto"/>
      </w:divBdr>
    </w:div>
    <w:div w:id="693270926">
      <w:marLeft w:val="0"/>
      <w:marRight w:val="0"/>
      <w:marTop w:val="120"/>
      <w:marBottom w:val="180"/>
      <w:divBdr>
        <w:top w:val="none" w:sz="0" w:space="0" w:color="auto"/>
        <w:left w:val="none" w:sz="0" w:space="0" w:color="auto"/>
        <w:bottom w:val="none" w:sz="0" w:space="0" w:color="auto"/>
        <w:right w:val="none" w:sz="0" w:space="0" w:color="auto"/>
      </w:divBdr>
    </w:div>
    <w:div w:id="693534127">
      <w:marLeft w:val="0"/>
      <w:marRight w:val="0"/>
      <w:marTop w:val="0"/>
      <w:marBottom w:val="240"/>
      <w:divBdr>
        <w:top w:val="none" w:sz="0" w:space="0" w:color="auto"/>
        <w:left w:val="none" w:sz="0" w:space="0" w:color="auto"/>
        <w:bottom w:val="none" w:sz="0" w:space="0" w:color="auto"/>
        <w:right w:val="none" w:sz="0" w:space="0" w:color="auto"/>
      </w:divBdr>
    </w:div>
    <w:div w:id="694162100">
      <w:marLeft w:val="0"/>
      <w:marRight w:val="0"/>
      <w:marTop w:val="0"/>
      <w:marBottom w:val="240"/>
      <w:divBdr>
        <w:top w:val="none" w:sz="0" w:space="0" w:color="auto"/>
        <w:left w:val="none" w:sz="0" w:space="0" w:color="auto"/>
        <w:bottom w:val="none" w:sz="0" w:space="0" w:color="auto"/>
        <w:right w:val="none" w:sz="0" w:space="0" w:color="auto"/>
      </w:divBdr>
    </w:div>
    <w:div w:id="694696547">
      <w:marLeft w:val="0"/>
      <w:marRight w:val="0"/>
      <w:marTop w:val="0"/>
      <w:marBottom w:val="0"/>
      <w:divBdr>
        <w:top w:val="none" w:sz="0" w:space="0" w:color="auto"/>
        <w:left w:val="none" w:sz="0" w:space="0" w:color="auto"/>
        <w:bottom w:val="none" w:sz="0" w:space="0" w:color="auto"/>
        <w:right w:val="none" w:sz="0" w:space="0" w:color="auto"/>
      </w:divBdr>
    </w:div>
    <w:div w:id="696008569">
      <w:marLeft w:val="0"/>
      <w:marRight w:val="0"/>
      <w:marTop w:val="120"/>
      <w:marBottom w:val="240"/>
      <w:divBdr>
        <w:top w:val="none" w:sz="0" w:space="0" w:color="auto"/>
        <w:left w:val="none" w:sz="0" w:space="0" w:color="auto"/>
        <w:bottom w:val="none" w:sz="0" w:space="0" w:color="auto"/>
        <w:right w:val="none" w:sz="0" w:space="0" w:color="auto"/>
      </w:divBdr>
    </w:div>
    <w:div w:id="701367271">
      <w:marLeft w:val="0"/>
      <w:marRight w:val="0"/>
      <w:marTop w:val="0"/>
      <w:marBottom w:val="180"/>
      <w:divBdr>
        <w:top w:val="none" w:sz="0" w:space="0" w:color="auto"/>
        <w:left w:val="none" w:sz="0" w:space="0" w:color="auto"/>
        <w:bottom w:val="none" w:sz="0" w:space="0" w:color="auto"/>
        <w:right w:val="none" w:sz="0" w:space="0" w:color="auto"/>
      </w:divBdr>
    </w:div>
    <w:div w:id="701981469">
      <w:marLeft w:val="0"/>
      <w:marRight w:val="0"/>
      <w:marTop w:val="0"/>
      <w:marBottom w:val="0"/>
      <w:divBdr>
        <w:top w:val="none" w:sz="0" w:space="0" w:color="auto"/>
        <w:left w:val="none" w:sz="0" w:space="0" w:color="auto"/>
        <w:bottom w:val="none" w:sz="0" w:space="0" w:color="auto"/>
        <w:right w:val="none" w:sz="0" w:space="0" w:color="auto"/>
      </w:divBdr>
    </w:div>
    <w:div w:id="703403238">
      <w:marLeft w:val="0"/>
      <w:marRight w:val="0"/>
      <w:marTop w:val="0"/>
      <w:marBottom w:val="0"/>
      <w:divBdr>
        <w:top w:val="none" w:sz="0" w:space="0" w:color="auto"/>
        <w:left w:val="none" w:sz="0" w:space="0" w:color="auto"/>
        <w:bottom w:val="none" w:sz="0" w:space="0" w:color="auto"/>
        <w:right w:val="none" w:sz="0" w:space="0" w:color="auto"/>
      </w:divBdr>
    </w:div>
    <w:div w:id="706836144">
      <w:marLeft w:val="0"/>
      <w:marRight w:val="0"/>
      <w:marTop w:val="0"/>
      <w:marBottom w:val="180"/>
      <w:divBdr>
        <w:top w:val="none" w:sz="0" w:space="0" w:color="auto"/>
        <w:left w:val="none" w:sz="0" w:space="0" w:color="auto"/>
        <w:bottom w:val="none" w:sz="0" w:space="0" w:color="auto"/>
        <w:right w:val="none" w:sz="0" w:space="0" w:color="auto"/>
      </w:divBdr>
    </w:div>
    <w:div w:id="710543058">
      <w:marLeft w:val="0"/>
      <w:marRight w:val="0"/>
      <w:marTop w:val="100"/>
      <w:marBottom w:val="100"/>
      <w:divBdr>
        <w:top w:val="none" w:sz="0" w:space="0" w:color="auto"/>
        <w:left w:val="none" w:sz="0" w:space="0" w:color="auto"/>
        <w:bottom w:val="none" w:sz="0" w:space="0" w:color="auto"/>
        <w:right w:val="none" w:sz="0" w:space="0" w:color="auto"/>
      </w:divBdr>
      <w:divsChild>
        <w:div w:id="1660036995">
          <w:marLeft w:val="0"/>
          <w:marRight w:val="0"/>
          <w:marTop w:val="0"/>
          <w:marBottom w:val="0"/>
          <w:divBdr>
            <w:top w:val="none" w:sz="0" w:space="0" w:color="auto"/>
            <w:left w:val="none" w:sz="0" w:space="0" w:color="auto"/>
            <w:bottom w:val="none" w:sz="0" w:space="0" w:color="auto"/>
            <w:right w:val="none" w:sz="0" w:space="0" w:color="auto"/>
          </w:divBdr>
        </w:div>
        <w:div w:id="1821579809">
          <w:marLeft w:val="0"/>
          <w:marRight w:val="0"/>
          <w:marTop w:val="0"/>
          <w:marBottom w:val="0"/>
          <w:divBdr>
            <w:top w:val="none" w:sz="0" w:space="0" w:color="auto"/>
            <w:left w:val="none" w:sz="0" w:space="0" w:color="auto"/>
            <w:bottom w:val="none" w:sz="0" w:space="0" w:color="auto"/>
            <w:right w:val="none" w:sz="0" w:space="0" w:color="auto"/>
          </w:divBdr>
        </w:div>
        <w:div w:id="1646013105">
          <w:marLeft w:val="0"/>
          <w:marRight w:val="0"/>
          <w:marTop w:val="0"/>
          <w:marBottom w:val="0"/>
          <w:divBdr>
            <w:top w:val="none" w:sz="0" w:space="0" w:color="auto"/>
            <w:left w:val="none" w:sz="0" w:space="0" w:color="auto"/>
            <w:bottom w:val="none" w:sz="0" w:space="0" w:color="auto"/>
            <w:right w:val="none" w:sz="0" w:space="0" w:color="auto"/>
          </w:divBdr>
        </w:div>
        <w:div w:id="1859003126">
          <w:marLeft w:val="0"/>
          <w:marRight w:val="0"/>
          <w:marTop w:val="0"/>
          <w:marBottom w:val="0"/>
          <w:divBdr>
            <w:top w:val="none" w:sz="0" w:space="0" w:color="auto"/>
            <w:left w:val="none" w:sz="0" w:space="0" w:color="auto"/>
            <w:bottom w:val="none" w:sz="0" w:space="0" w:color="auto"/>
            <w:right w:val="none" w:sz="0" w:space="0" w:color="auto"/>
          </w:divBdr>
        </w:div>
      </w:divsChild>
    </w:div>
    <w:div w:id="712073200">
      <w:marLeft w:val="0"/>
      <w:marRight w:val="0"/>
      <w:marTop w:val="240"/>
      <w:marBottom w:val="240"/>
      <w:divBdr>
        <w:top w:val="none" w:sz="0" w:space="0" w:color="auto"/>
        <w:left w:val="none" w:sz="0" w:space="0" w:color="auto"/>
        <w:bottom w:val="none" w:sz="0" w:space="0" w:color="auto"/>
        <w:right w:val="none" w:sz="0" w:space="0" w:color="auto"/>
      </w:divBdr>
    </w:div>
    <w:div w:id="712189568">
      <w:marLeft w:val="0"/>
      <w:marRight w:val="0"/>
      <w:marTop w:val="0"/>
      <w:marBottom w:val="0"/>
      <w:divBdr>
        <w:top w:val="none" w:sz="0" w:space="0" w:color="auto"/>
        <w:left w:val="none" w:sz="0" w:space="0" w:color="auto"/>
        <w:bottom w:val="none" w:sz="0" w:space="0" w:color="auto"/>
        <w:right w:val="none" w:sz="0" w:space="0" w:color="auto"/>
      </w:divBdr>
      <w:divsChild>
        <w:div w:id="851458767">
          <w:marLeft w:val="0"/>
          <w:marRight w:val="0"/>
          <w:marTop w:val="0"/>
          <w:marBottom w:val="0"/>
          <w:divBdr>
            <w:top w:val="none" w:sz="0" w:space="0" w:color="auto"/>
            <w:left w:val="none" w:sz="0" w:space="0" w:color="auto"/>
            <w:bottom w:val="none" w:sz="0" w:space="0" w:color="auto"/>
            <w:right w:val="none" w:sz="0" w:space="0" w:color="auto"/>
          </w:divBdr>
        </w:div>
      </w:divsChild>
    </w:div>
    <w:div w:id="712192198">
      <w:marLeft w:val="0"/>
      <w:marRight w:val="0"/>
      <w:marTop w:val="120"/>
      <w:marBottom w:val="120"/>
      <w:divBdr>
        <w:top w:val="none" w:sz="0" w:space="0" w:color="auto"/>
        <w:left w:val="none" w:sz="0" w:space="0" w:color="auto"/>
        <w:bottom w:val="none" w:sz="0" w:space="0" w:color="auto"/>
        <w:right w:val="none" w:sz="0" w:space="0" w:color="auto"/>
      </w:divBdr>
    </w:div>
    <w:div w:id="712534997">
      <w:marLeft w:val="0"/>
      <w:marRight w:val="0"/>
      <w:marTop w:val="0"/>
      <w:marBottom w:val="0"/>
      <w:divBdr>
        <w:top w:val="none" w:sz="0" w:space="0" w:color="auto"/>
        <w:left w:val="none" w:sz="0" w:space="0" w:color="auto"/>
        <w:bottom w:val="none" w:sz="0" w:space="0" w:color="auto"/>
        <w:right w:val="none" w:sz="0" w:space="0" w:color="auto"/>
      </w:divBdr>
    </w:div>
    <w:div w:id="714306363">
      <w:marLeft w:val="0"/>
      <w:marRight w:val="0"/>
      <w:marTop w:val="0"/>
      <w:marBottom w:val="0"/>
      <w:divBdr>
        <w:top w:val="none" w:sz="0" w:space="0" w:color="auto"/>
        <w:left w:val="none" w:sz="0" w:space="0" w:color="auto"/>
        <w:bottom w:val="none" w:sz="0" w:space="0" w:color="auto"/>
        <w:right w:val="none" w:sz="0" w:space="0" w:color="auto"/>
      </w:divBdr>
    </w:div>
    <w:div w:id="714505107">
      <w:marLeft w:val="0"/>
      <w:marRight w:val="0"/>
      <w:marTop w:val="0"/>
      <w:marBottom w:val="0"/>
      <w:divBdr>
        <w:top w:val="none" w:sz="0" w:space="0" w:color="auto"/>
        <w:left w:val="none" w:sz="0" w:space="0" w:color="auto"/>
        <w:bottom w:val="none" w:sz="0" w:space="0" w:color="auto"/>
        <w:right w:val="none" w:sz="0" w:space="0" w:color="auto"/>
      </w:divBdr>
      <w:divsChild>
        <w:div w:id="1932736847">
          <w:marLeft w:val="0"/>
          <w:marRight w:val="0"/>
          <w:marTop w:val="0"/>
          <w:marBottom w:val="0"/>
          <w:divBdr>
            <w:top w:val="none" w:sz="0" w:space="0" w:color="auto"/>
            <w:left w:val="none" w:sz="0" w:space="0" w:color="auto"/>
            <w:bottom w:val="none" w:sz="0" w:space="0" w:color="auto"/>
            <w:right w:val="none" w:sz="0" w:space="0" w:color="auto"/>
          </w:divBdr>
        </w:div>
      </w:divsChild>
    </w:div>
    <w:div w:id="716243345">
      <w:marLeft w:val="0"/>
      <w:marRight w:val="0"/>
      <w:marTop w:val="120"/>
      <w:marBottom w:val="180"/>
      <w:divBdr>
        <w:top w:val="none" w:sz="0" w:space="0" w:color="auto"/>
        <w:left w:val="none" w:sz="0" w:space="0" w:color="auto"/>
        <w:bottom w:val="none" w:sz="0" w:space="0" w:color="auto"/>
        <w:right w:val="none" w:sz="0" w:space="0" w:color="auto"/>
      </w:divBdr>
    </w:div>
    <w:div w:id="721682528">
      <w:marLeft w:val="0"/>
      <w:marRight w:val="0"/>
      <w:marTop w:val="0"/>
      <w:marBottom w:val="0"/>
      <w:divBdr>
        <w:top w:val="none" w:sz="0" w:space="0" w:color="auto"/>
        <w:left w:val="none" w:sz="0" w:space="0" w:color="auto"/>
        <w:bottom w:val="none" w:sz="0" w:space="0" w:color="auto"/>
        <w:right w:val="none" w:sz="0" w:space="0" w:color="auto"/>
      </w:divBdr>
    </w:div>
    <w:div w:id="721901398">
      <w:marLeft w:val="0"/>
      <w:marRight w:val="0"/>
      <w:marTop w:val="0"/>
      <w:marBottom w:val="0"/>
      <w:divBdr>
        <w:top w:val="none" w:sz="0" w:space="0" w:color="auto"/>
        <w:left w:val="none" w:sz="0" w:space="0" w:color="auto"/>
        <w:bottom w:val="none" w:sz="0" w:space="0" w:color="auto"/>
        <w:right w:val="none" w:sz="0" w:space="0" w:color="auto"/>
      </w:divBdr>
    </w:div>
    <w:div w:id="725615134">
      <w:marLeft w:val="0"/>
      <w:marRight w:val="0"/>
      <w:marTop w:val="120"/>
      <w:marBottom w:val="180"/>
      <w:divBdr>
        <w:top w:val="none" w:sz="0" w:space="0" w:color="auto"/>
        <w:left w:val="none" w:sz="0" w:space="0" w:color="auto"/>
        <w:bottom w:val="none" w:sz="0" w:space="0" w:color="auto"/>
        <w:right w:val="none" w:sz="0" w:space="0" w:color="auto"/>
      </w:divBdr>
    </w:div>
    <w:div w:id="726413762">
      <w:marLeft w:val="0"/>
      <w:marRight w:val="0"/>
      <w:marTop w:val="0"/>
      <w:marBottom w:val="240"/>
      <w:divBdr>
        <w:top w:val="none" w:sz="0" w:space="0" w:color="auto"/>
        <w:left w:val="none" w:sz="0" w:space="0" w:color="auto"/>
        <w:bottom w:val="none" w:sz="0" w:space="0" w:color="auto"/>
        <w:right w:val="none" w:sz="0" w:space="0" w:color="auto"/>
      </w:divBdr>
    </w:div>
    <w:div w:id="727416174">
      <w:marLeft w:val="0"/>
      <w:marRight w:val="0"/>
      <w:marTop w:val="100"/>
      <w:marBottom w:val="100"/>
      <w:divBdr>
        <w:top w:val="none" w:sz="0" w:space="0" w:color="auto"/>
        <w:left w:val="none" w:sz="0" w:space="0" w:color="auto"/>
        <w:bottom w:val="none" w:sz="0" w:space="0" w:color="auto"/>
        <w:right w:val="none" w:sz="0" w:space="0" w:color="auto"/>
      </w:divBdr>
    </w:div>
    <w:div w:id="730809278">
      <w:marLeft w:val="0"/>
      <w:marRight w:val="0"/>
      <w:marTop w:val="180"/>
      <w:marBottom w:val="180"/>
      <w:divBdr>
        <w:top w:val="none" w:sz="0" w:space="0" w:color="auto"/>
        <w:left w:val="none" w:sz="0" w:space="0" w:color="auto"/>
        <w:bottom w:val="none" w:sz="0" w:space="0" w:color="auto"/>
        <w:right w:val="none" w:sz="0" w:space="0" w:color="auto"/>
      </w:divBdr>
    </w:div>
    <w:div w:id="730885602">
      <w:marLeft w:val="0"/>
      <w:marRight w:val="0"/>
      <w:marTop w:val="0"/>
      <w:marBottom w:val="0"/>
      <w:divBdr>
        <w:top w:val="none" w:sz="0" w:space="0" w:color="auto"/>
        <w:left w:val="none" w:sz="0" w:space="0" w:color="auto"/>
        <w:bottom w:val="none" w:sz="0" w:space="0" w:color="auto"/>
        <w:right w:val="none" w:sz="0" w:space="0" w:color="auto"/>
      </w:divBdr>
    </w:div>
    <w:div w:id="737631412">
      <w:marLeft w:val="0"/>
      <w:marRight w:val="0"/>
      <w:marTop w:val="0"/>
      <w:marBottom w:val="0"/>
      <w:divBdr>
        <w:top w:val="none" w:sz="0" w:space="0" w:color="auto"/>
        <w:left w:val="none" w:sz="0" w:space="0" w:color="auto"/>
        <w:bottom w:val="none" w:sz="0" w:space="0" w:color="auto"/>
        <w:right w:val="none" w:sz="0" w:space="0" w:color="auto"/>
      </w:divBdr>
    </w:div>
    <w:div w:id="739866857">
      <w:marLeft w:val="0"/>
      <w:marRight w:val="0"/>
      <w:marTop w:val="0"/>
      <w:marBottom w:val="0"/>
      <w:divBdr>
        <w:top w:val="none" w:sz="0" w:space="0" w:color="auto"/>
        <w:left w:val="none" w:sz="0" w:space="0" w:color="auto"/>
        <w:bottom w:val="none" w:sz="0" w:space="0" w:color="auto"/>
        <w:right w:val="none" w:sz="0" w:space="0" w:color="auto"/>
      </w:divBdr>
    </w:div>
    <w:div w:id="740833777">
      <w:marLeft w:val="0"/>
      <w:marRight w:val="0"/>
      <w:marTop w:val="0"/>
      <w:marBottom w:val="0"/>
      <w:divBdr>
        <w:top w:val="none" w:sz="0" w:space="0" w:color="auto"/>
        <w:left w:val="none" w:sz="0" w:space="0" w:color="auto"/>
        <w:bottom w:val="none" w:sz="0" w:space="0" w:color="auto"/>
        <w:right w:val="none" w:sz="0" w:space="0" w:color="auto"/>
      </w:divBdr>
    </w:div>
    <w:div w:id="741441051">
      <w:marLeft w:val="0"/>
      <w:marRight w:val="0"/>
      <w:marTop w:val="180"/>
      <w:marBottom w:val="180"/>
      <w:divBdr>
        <w:top w:val="none" w:sz="0" w:space="0" w:color="auto"/>
        <w:left w:val="none" w:sz="0" w:space="0" w:color="auto"/>
        <w:bottom w:val="none" w:sz="0" w:space="0" w:color="auto"/>
        <w:right w:val="none" w:sz="0" w:space="0" w:color="auto"/>
      </w:divBdr>
    </w:div>
    <w:div w:id="744183521">
      <w:marLeft w:val="0"/>
      <w:marRight w:val="0"/>
      <w:marTop w:val="120"/>
      <w:marBottom w:val="120"/>
      <w:divBdr>
        <w:top w:val="none" w:sz="0" w:space="0" w:color="auto"/>
        <w:left w:val="none" w:sz="0" w:space="0" w:color="auto"/>
        <w:bottom w:val="none" w:sz="0" w:space="0" w:color="auto"/>
        <w:right w:val="none" w:sz="0" w:space="0" w:color="auto"/>
      </w:divBdr>
    </w:div>
    <w:div w:id="747964305">
      <w:marLeft w:val="0"/>
      <w:marRight w:val="0"/>
      <w:marTop w:val="0"/>
      <w:marBottom w:val="240"/>
      <w:divBdr>
        <w:top w:val="none" w:sz="0" w:space="0" w:color="auto"/>
        <w:left w:val="none" w:sz="0" w:space="0" w:color="auto"/>
        <w:bottom w:val="none" w:sz="0" w:space="0" w:color="auto"/>
        <w:right w:val="none" w:sz="0" w:space="0" w:color="auto"/>
      </w:divBdr>
    </w:div>
    <w:div w:id="749473854">
      <w:marLeft w:val="0"/>
      <w:marRight w:val="0"/>
      <w:marTop w:val="0"/>
      <w:marBottom w:val="0"/>
      <w:divBdr>
        <w:top w:val="none" w:sz="0" w:space="0" w:color="auto"/>
        <w:left w:val="none" w:sz="0" w:space="0" w:color="auto"/>
        <w:bottom w:val="none" w:sz="0" w:space="0" w:color="auto"/>
        <w:right w:val="none" w:sz="0" w:space="0" w:color="auto"/>
      </w:divBdr>
      <w:divsChild>
        <w:div w:id="228200420">
          <w:marLeft w:val="0"/>
          <w:marRight w:val="0"/>
          <w:marTop w:val="0"/>
          <w:marBottom w:val="0"/>
          <w:divBdr>
            <w:top w:val="none" w:sz="0" w:space="0" w:color="auto"/>
            <w:left w:val="none" w:sz="0" w:space="0" w:color="auto"/>
            <w:bottom w:val="none" w:sz="0" w:space="0" w:color="auto"/>
            <w:right w:val="none" w:sz="0" w:space="0" w:color="auto"/>
          </w:divBdr>
        </w:div>
      </w:divsChild>
    </w:div>
    <w:div w:id="751852764">
      <w:marLeft w:val="0"/>
      <w:marRight w:val="0"/>
      <w:marTop w:val="0"/>
      <w:marBottom w:val="240"/>
      <w:divBdr>
        <w:top w:val="none" w:sz="0" w:space="0" w:color="auto"/>
        <w:left w:val="none" w:sz="0" w:space="0" w:color="auto"/>
        <w:bottom w:val="none" w:sz="0" w:space="0" w:color="auto"/>
        <w:right w:val="none" w:sz="0" w:space="0" w:color="auto"/>
      </w:divBdr>
    </w:div>
    <w:div w:id="753281670">
      <w:marLeft w:val="0"/>
      <w:marRight w:val="0"/>
      <w:marTop w:val="0"/>
      <w:marBottom w:val="0"/>
      <w:divBdr>
        <w:top w:val="none" w:sz="0" w:space="0" w:color="auto"/>
        <w:left w:val="none" w:sz="0" w:space="0" w:color="auto"/>
        <w:bottom w:val="none" w:sz="0" w:space="0" w:color="auto"/>
        <w:right w:val="none" w:sz="0" w:space="0" w:color="auto"/>
      </w:divBdr>
    </w:div>
    <w:div w:id="756483614">
      <w:marLeft w:val="0"/>
      <w:marRight w:val="0"/>
      <w:marTop w:val="120"/>
      <w:marBottom w:val="120"/>
      <w:divBdr>
        <w:top w:val="none" w:sz="0" w:space="0" w:color="auto"/>
        <w:left w:val="none" w:sz="0" w:space="0" w:color="auto"/>
        <w:bottom w:val="none" w:sz="0" w:space="0" w:color="auto"/>
        <w:right w:val="none" w:sz="0" w:space="0" w:color="auto"/>
      </w:divBdr>
    </w:div>
    <w:div w:id="758598694">
      <w:marLeft w:val="0"/>
      <w:marRight w:val="0"/>
      <w:marTop w:val="0"/>
      <w:marBottom w:val="240"/>
      <w:divBdr>
        <w:top w:val="none" w:sz="0" w:space="0" w:color="auto"/>
        <w:left w:val="none" w:sz="0" w:space="0" w:color="auto"/>
        <w:bottom w:val="none" w:sz="0" w:space="0" w:color="auto"/>
        <w:right w:val="none" w:sz="0" w:space="0" w:color="auto"/>
      </w:divBdr>
    </w:div>
    <w:div w:id="758722101">
      <w:marLeft w:val="0"/>
      <w:marRight w:val="0"/>
      <w:marTop w:val="100"/>
      <w:marBottom w:val="100"/>
      <w:divBdr>
        <w:top w:val="none" w:sz="0" w:space="0" w:color="auto"/>
        <w:left w:val="none" w:sz="0" w:space="0" w:color="auto"/>
        <w:bottom w:val="none" w:sz="0" w:space="0" w:color="auto"/>
        <w:right w:val="none" w:sz="0" w:space="0" w:color="auto"/>
      </w:divBdr>
      <w:divsChild>
        <w:div w:id="1287463277">
          <w:marLeft w:val="0"/>
          <w:marRight w:val="0"/>
          <w:marTop w:val="0"/>
          <w:marBottom w:val="0"/>
          <w:divBdr>
            <w:top w:val="none" w:sz="0" w:space="0" w:color="auto"/>
            <w:left w:val="none" w:sz="0" w:space="0" w:color="auto"/>
            <w:bottom w:val="none" w:sz="0" w:space="0" w:color="auto"/>
            <w:right w:val="none" w:sz="0" w:space="0" w:color="auto"/>
          </w:divBdr>
        </w:div>
      </w:divsChild>
    </w:div>
    <w:div w:id="760762171">
      <w:marLeft w:val="0"/>
      <w:marRight w:val="0"/>
      <w:marTop w:val="180"/>
      <w:marBottom w:val="180"/>
      <w:divBdr>
        <w:top w:val="none" w:sz="0" w:space="0" w:color="auto"/>
        <w:left w:val="none" w:sz="0" w:space="0" w:color="auto"/>
        <w:bottom w:val="none" w:sz="0" w:space="0" w:color="auto"/>
        <w:right w:val="none" w:sz="0" w:space="0" w:color="auto"/>
      </w:divBdr>
    </w:div>
    <w:div w:id="761338513">
      <w:marLeft w:val="0"/>
      <w:marRight w:val="0"/>
      <w:marTop w:val="0"/>
      <w:marBottom w:val="180"/>
      <w:divBdr>
        <w:top w:val="none" w:sz="0" w:space="0" w:color="auto"/>
        <w:left w:val="none" w:sz="0" w:space="0" w:color="auto"/>
        <w:bottom w:val="none" w:sz="0" w:space="0" w:color="auto"/>
        <w:right w:val="none" w:sz="0" w:space="0" w:color="auto"/>
      </w:divBdr>
    </w:div>
    <w:div w:id="763454859">
      <w:marLeft w:val="0"/>
      <w:marRight w:val="0"/>
      <w:marTop w:val="0"/>
      <w:marBottom w:val="0"/>
      <w:divBdr>
        <w:top w:val="none" w:sz="0" w:space="0" w:color="auto"/>
        <w:left w:val="none" w:sz="0" w:space="0" w:color="auto"/>
        <w:bottom w:val="none" w:sz="0" w:space="0" w:color="auto"/>
        <w:right w:val="none" w:sz="0" w:space="0" w:color="auto"/>
      </w:divBdr>
    </w:div>
    <w:div w:id="765618096">
      <w:marLeft w:val="0"/>
      <w:marRight w:val="0"/>
      <w:marTop w:val="180"/>
      <w:marBottom w:val="180"/>
      <w:divBdr>
        <w:top w:val="none" w:sz="0" w:space="0" w:color="auto"/>
        <w:left w:val="none" w:sz="0" w:space="0" w:color="auto"/>
        <w:bottom w:val="none" w:sz="0" w:space="0" w:color="auto"/>
        <w:right w:val="none" w:sz="0" w:space="0" w:color="auto"/>
      </w:divBdr>
    </w:div>
    <w:div w:id="765734120">
      <w:marLeft w:val="0"/>
      <w:marRight w:val="0"/>
      <w:marTop w:val="0"/>
      <w:marBottom w:val="0"/>
      <w:divBdr>
        <w:top w:val="none" w:sz="0" w:space="0" w:color="auto"/>
        <w:left w:val="none" w:sz="0" w:space="0" w:color="auto"/>
        <w:bottom w:val="none" w:sz="0" w:space="0" w:color="auto"/>
        <w:right w:val="none" w:sz="0" w:space="0" w:color="auto"/>
      </w:divBdr>
    </w:div>
    <w:div w:id="766119243">
      <w:marLeft w:val="0"/>
      <w:marRight w:val="0"/>
      <w:marTop w:val="0"/>
      <w:marBottom w:val="0"/>
      <w:divBdr>
        <w:top w:val="none" w:sz="0" w:space="0" w:color="auto"/>
        <w:left w:val="none" w:sz="0" w:space="0" w:color="auto"/>
        <w:bottom w:val="none" w:sz="0" w:space="0" w:color="auto"/>
        <w:right w:val="none" w:sz="0" w:space="0" w:color="auto"/>
      </w:divBdr>
      <w:divsChild>
        <w:div w:id="633484676">
          <w:marLeft w:val="0"/>
          <w:marRight w:val="0"/>
          <w:marTop w:val="0"/>
          <w:marBottom w:val="0"/>
          <w:divBdr>
            <w:top w:val="none" w:sz="0" w:space="0" w:color="auto"/>
            <w:left w:val="none" w:sz="0" w:space="0" w:color="auto"/>
            <w:bottom w:val="none" w:sz="0" w:space="0" w:color="auto"/>
            <w:right w:val="none" w:sz="0" w:space="0" w:color="auto"/>
          </w:divBdr>
        </w:div>
      </w:divsChild>
    </w:div>
    <w:div w:id="767777618">
      <w:marLeft w:val="0"/>
      <w:marRight w:val="0"/>
      <w:marTop w:val="180"/>
      <w:marBottom w:val="180"/>
      <w:divBdr>
        <w:top w:val="none" w:sz="0" w:space="0" w:color="auto"/>
        <w:left w:val="none" w:sz="0" w:space="0" w:color="auto"/>
        <w:bottom w:val="none" w:sz="0" w:space="0" w:color="auto"/>
        <w:right w:val="none" w:sz="0" w:space="0" w:color="auto"/>
      </w:divBdr>
    </w:div>
    <w:div w:id="769544981">
      <w:marLeft w:val="0"/>
      <w:marRight w:val="0"/>
      <w:marTop w:val="180"/>
      <w:marBottom w:val="180"/>
      <w:divBdr>
        <w:top w:val="none" w:sz="0" w:space="0" w:color="auto"/>
        <w:left w:val="none" w:sz="0" w:space="0" w:color="auto"/>
        <w:bottom w:val="none" w:sz="0" w:space="0" w:color="auto"/>
        <w:right w:val="none" w:sz="0" w:space="0" w:color="auto"/>
      </w:divBdr>
    </w:div>
    <w:div w:id="771050426">
      <w:marLeft w:val="0"/>
      <w:marRight w:val="0"/>
      <w:marTop w:val="0"/>
      <w:marBottom w:val="0"/>
      <w:divBdr>
        <w:top w:val="none" w:sz="0" w:space="0" w:color="auto"/>
        <w:left w:val="none" w:sz="0" w:space="0" w:color="auto"/>
        <w:bottom w:val="none" w:sz="0" w:space="0" w:color="auto"/>
        <w:right w:val="none" w:sz="0" w:space="0" w:color="auto"/>
      </w:divBdr>
      <w:divsChild>
        <w:div w:id="115419223">
          <w:marLeft w:val="0"/>
          <w:marRight w:val="0"/>
          <w:marTop w:val="0"/>
          <w:marBottom w:val="0"/>
          <w:divBdr>
            <w:top w:val="none" w:sz="0" w:space="0" w:color="auto"/>
            <w:left w:val="none" w:sz="0" w:space="0" w:color="auto"/>
            <w:bottom w:val="none" w:sz="0" w:space="0" w:color="auto"/>
            <w:right w:val="none" w:sz="0" w:space="0" w:color="auto"/>
          </w:divBdr>
        </w:div>
      </w:divsChild>
    </w:div>
    <w:div w:id="771124757">
      <w:marLeft w:val="0"/>
      <w:marRight w:val="0"/>
      <w:marTop w:val="0"/>
      <w:marBottom w:val="0"/>
      <w:divBdr>
        <w:top w:val="none" w:sz="0" w:space="0" w:color="auto"/>
        <w:left w:val="none" w:sz="0" w:space="0" w:color="auto"/>
        <w:bottom w:val="none" w:sz="0" w:space="0" w:color="auto"/>
        <w:right w:val="none" w:sz="0" w:space="0" w:color="auto"/>
      </w:divBdr>
      <w:divsChild>
        <w:div w:id="1538347091">
          <w:marLeft w:val="0"/>
          <w:marRight w:val="0"/>
          <w:marTop w:val="0"/>
          <w:marBottom w:val="0"/>
          <w:divBdr>
            <w:top w:val="none" w:sz="0" w:space="0" w:color="auto"/>
            <w:left w:val="none" w:sz="0" w:space="0" w:color="auto"/>
            <w:bottom w:val="none" w:sz="0" w:space="0" w:color="auto"/>
            <w:right w:val="none" w:sz="0" w:space="0" w:color="auto"/>
          </w:divBdr>
        </w:div>
      </w:divsChild>
    </w:div>
    <w:div w:id="774136959">
      <w:marLeft w:val="0"/>
      <w:marRight w:val="0"/>
      <w:marTop w:val="0"/>
      <w:marBottom w:val="240"/>
      <w:divBdr>
        <w:top w:val="none" w:sz="0" w:space="0" w:color="auto"/>
        <w:left w:val="none" w:sz="0" w:space="0" w:color="auto"/>
        <w:bottom w:val="none" w:sz="0" w:space="0" w:color="auto"/>
        <w:right w:val="none" w:sz="0" w:space="0" w:color="auto"/>
      </w:divBdr>
    </w:div>
    <w:div w:id="775059534">
      <w:marLeft w:val="0"/>
      <w:marRight w:val="0"/>
      <w:marTop w:val="0"/>
      <w:marBottom w:val="180"/>
      <w:divBdr>
        <w:top w:val="none" w:sz="0" w:space="0" w:color="auto"/>
        <w:left w:val="none" w:sz="0" w:space="0" w:color="auto"/>
        <w:bottom w:val="none" w:sz="0" w:space="0" w:color="auto"/>
        <w:right w:val="none" w:sz="0" w:space="0" w:color="auto"/>
      </w:divBdr>
    </w:div>
    <w:div w:id="783228423">
      <w:marLeft w:val="0"/>
      <w:marRight w:val="0"/>
      <w:marTop w:val="180"/>
      <w:marBottom w:val="180"/>
      <w:divBdr>
        <w:top w:val="none" w:sz="0" w:space="0" w:color="auto"/>
        <w:left w:val="none" w:sz="0" w:space="0" w:color="auto"/>
        <w:bottom w:val="none" w:sz="0" w:space="0" w:color="auto"/>
        <w:right w:val="none" w:sz="0" w:space="0" w:color="auto"/>
      </w:divBdr>
    </w:div>
    <w:div w:id="783353926">
      <w:marLeft w:val="0"/>
      <w:marRight w:val="0"/>
      <w:marTop w:val="0"/>
      <w:marBottom w:val="180"/>
      <w:divBdr>
        <w:top w:val="none" w:sz="0" w:space="0" w:color="auto"/>
        <w:left w:val="none" w:sz="0" w:space="0" w:color="auto"/>
        <w:bottom w:val="none" w:sz="0" w:space="0" w:color="auto"/>
        <w:right w:val="none" w:sz="0" w:space="0" w:color="auto"/>
      </w:divBdr>
    </w:div>
    <w:div w:id="784035924">
      <w:marLeft w:val="0"/>
      <w:marRight w:val="0"/>
      <w:marTop w:val="0"/>
      <w:marBottom w:val="180"/>
      <w:divBdr>
        <w:top w:val="none" w:sz="0" w:space="0" w:color="auto"/>
        <w:left w:val="none" w:sz="0" w:space="0" w:color="auto"/>
        <w:bottom w:val="none" w:sz="0" w:space="0" w:color="auto"/>
        <w:right w:val="none" w:sz="0" w:space="0" w:color="auto"/>
      </w:divBdr>
    </w:div>
    <w:div w:id="785851515">
      <w:marLeft w:val="0"/>
      <w:marRight w:val="0"/>
      <w:marTop w:val="180"/>
      <w:marBottom w:val="180"/>
      <w:divBdr>
        <w:top w:val="none" w:sz="0" w:space="0" w:color="auto"/>
        <w:left w:val="none" w:sz="0" w:space="0" w:color="auto"/>
        <w:bottom w:val="none" w:sz="0" w:space="0" w:color="auto"/>
        <w:right w:val="none" w:sz="0" w:space="0" w:color="auto"/>
      </w:divBdr>
    </w:div>
    <w:div w:id="786436394">
      <w:marLeft w:val="0"/>
      <w:marRight w:val="0"/>
      <w:marTop w:val="0"/>
      <w:marBottom w:val="60"/>
      <w:divBdr>
        <w:top w:val="none" w:sz="0" w:space="0" w:color="auto"/>
        <w:left w:val="none" w:sz="0" w:space="0" w:color="auto"/>
        <w:bottom w:val="none" w:sz="0" w:space="0" w:color="auto"/>
        <w:right w:val="none" w:sz="0" w:space="0" w:color="auto"/>
      </w:divBdr>
    </w:div>
    <w:div w:id="787436192">
      <w:marLeft w:val="0"/>
      <w:marRight w:val="0"/>
      <w:marTop w:val="0"/>
      <w:marBottom w:val="0"/>
      <w:divBdr>
        <w:top w:val="none" w:sz="0" w:space="0" w:color="auto"/>
        <w:left w:val="none" w:sz="0" w:space="0" w:color="auto"/>
        <w:bottom w:val="none" w:sz="0" w:space="0" w:color="auto"/>
        <w:right w:val="none" w:sz="0" w:space="0" w:color="auto"/>
      </w:divBdr>
    </w:div>
    <w:div w:id="789279045">
      <w:marLeft w:val="0"/>
      <w:marRight w:val="0"/>
      <w:marTop w:val="180"/>
      <w:marBottom w:val="180"/>
      <w:divBdr>
        <w:top w:val="none" w:sz="0" w:space="0" w:color="auto"/>
        <w:left w:val="none" w:sz="0" w:space="0" w:color="auto"/>
        <w:bottom w:val="none" w:sz="0" w:space="0" w:color="auto"/>
        <w:right w:val="none" w:sz="0" w:space="0" w:color="auto"/>
      </w:divBdr>
    </w:div>
    <w:div w:id="790175423">
      <w:marLeft w:val="0"/>
      <w:marRight w:val="0"/>
      <w:marTop w:val="120"/>
      <w:marBottom w:val="180"/>
      <w:divBdr>
        <w:top w:val="none" w:sz="0" w:space="0" w:color="auto"/>
        <w:left w:val="none" w:sz="0" w:space="0" w:color="auto"/>
        <w:bottom w:val="none" w:sz="0" w:space="0" w:color="auto"/>
        <w:right w:val="none" w:sz="0" w:space="0" w:color="auto"/>
      </w:divBdr>
    </w:div>
    <w:div w:id="790585816">
      <w:marLeft w:val="0"/>
      <w:marRight w:val="0"/>
      <w:marTop w:val="0"/>
      <w:marBottom w:val="240"/>
      <w:divBdr>
        <w:top w:val="none" w:sz="0" w:space="0" w:color="auto"/>
        <w:left w:val="none" w:sz="0" w:space="0" w:color="auto"/>
        <w:bottom w:val="none" w:sz="0" w:space="0" w:color="auto"/>
        <w:right w:val="none" w:sz="0" w:space="0" w:color="auto"/>
      </w:divBdr>
    </w:div>
    <w:div w:id="793334002">
      <w:marLeft w:val="0"/>
      <w:marRight w:val="0"/>
      <w:marTop w:val="0"/>
      <w:marBottom w:val="180"/>
      <w:divBdr>
        <w:top w:val="none" w:sz="0" w:space="0" w:color="auto"/>
        <w:left w:val="none" w:sz="0" w:space="0" w:color="auto"/>
        <w:bottom w:val="none" w:sz="0" w:space="0" w:color="auto"/>
        <w:right w:val="none" w:sz="0" w:space="0" w:color="auto"/>
      </w:divBdr>
    </w:div>
    <w:div w:id="800617646">
      <w:marLeft w:val="0"/>
      <w:marRight w:val="0"/>
      <w:marTop w:val="180"/>
      <w:marBottom w:val="180"/>
      <w:divBdr>
        <w:top w:val="none" w:sz="0" w:space="0" w:color="auto"/>
        <w:left w:val="none" w:sz="0" w:space="0" w:color="auto"/>
        <w:bottom w:val="none" w:sz="0" w:space="0" w:color="auto"/>
        <w:right w:val="none" w:sz="0" w:space="0" w:color="auto"/>
      </w:divBdr>
    </w:div>
    <w:div w:id="801577680">
      <w:marLeft w:val="0"/>
      <w:marRight w:val="0"/>
      <w:marTop w:val="0"/>
      <w:marBottom w:val="180"/>
      <w:divBdr>
        <w:top w:val="none" w:sz="0" w:space="0" w:color="auto"/>
        <w:left w:val="none" w:sz="0" w:space="0" w:color="auto"/>
        <w:bottom w:val="none" w:sz="0" w:space="0" w:color="auto"/>
        <w:right w:val="none" w:sz="0" w:space="0" w:color="auto"/>
      </w:divBdr>
    </w:div>
    <w:div w:id="803235387">
      <w:marLeft w:val="0"/>
      <w:marRight w:val="0"/>
      <w:marTop w:val="0"/>
      <w:marBottom w:val="0"/>
      <w:divBdr>
        <w:top w:val="none" w:sz="0" w:space="0" w:color="auto"/>
        <w:left w:val="none" w:sz="0" w:space="0" w:color="auto"/>
        <w:bottom w:val="none" w:sz="0" w:space="0" w:color="auto"/>
        <w:right w:val="none" w:sz="0" w:space="0" w:color="auto"/>
      </w:divBdr>
    </w:div>
    <w:div w:id="803549975">
      <w:marLeft w:val="0"/>
      <w:marRight w:val="0"/>
      <w:marTop w:val="0"/>
      <w:marBottom w:val="0"/>
      <w:divBdr>
        <w:top w:val="none" w:sz="0" w:space="0" w:color="auto"/>
        <w:left w:val="none" w:sz="0" w:space="0" w:color="auto"/>
        <w:bottom w:val="none" w:sz="0" w:space="0" w:color="auto"/>
        <w:right w:val="none" w:sz="0" w:space="0" w:color="auto"/>
      </w:divBdr>
      <w:divsChild>
        <w:div w:id="1682127614">
          <w:marLeft w:val="0"/>
          <w:marRight w:val="0"/>
          <w:marTop w:val="0"/>
          <w:marBottom w:val="0"/>
          <w:divBdr>
            <w:top w:val="none" w:sz="0" w:space="0" w:color="auto"/>
            <w:left w:val="none" w:sz="0" w:space="0" w:color="auto"/>
            <w:bottom w:val="none" w:sz="0" w:space="0" w:color="auto"/>
            <w:right w:val="none" w:sz="0" w:space="0" w:color="auto"/>
          </w:divBdr>
        </w:div>
      </w:divsChild>
    </w:div>
    <w:div w:id="803741036">
      <w:marLeft w:val="0"/>
      <w:marRight w:val="0"/>
      <w:marTop w:val="0"/>
      <w:marBottom w:val="0"/>
      <w:divBdr>
        <w:top w:val="none" w:sz="0" w:space="0" w:color="auto"/>
        <w:left w:val="none" w:sz="0" w:space="0" w:color="auto"/>
        <w:bottom w:val="none" w:sz="0" w:space="0" w:color="auto"/>
        <w:right w:val="none" w:sz="0" w:space="0" w:color="auto"/>
      </w:divBdr>
    </w:div>
    <w:div w:id="806699057">
      <w:marLeft w:val="0"/>
      <w:marRight w:val="0"/>
      <w:marTop w:val="0"/>
      <w:marBottom w:val="240"/>
      <w:divBdr>
        <w:top w:val="none" w:sz="0" w:space="0" w:color="auto"/>
        <w:left w:val="none" w:sz="0" w:space="0" w:color="auto"/>
        <w:bottom w:val="none" w:sz="0" w:space="0" w:color="auto"/>
        <w:right w:val="none" w:sz="0" w:space="0" w:color="auto"/>
      </w:divBdr>
    </w:div>
    <w:div w:id="807166001">
      <w:marLeft w:val="0"/>
      <w:marRight w:val="0"/>
      <w:marTop w:val="0"/>
      <w:marBottom w:val="0"/>
      <w:divBdr>
        <w:top w:val="none" w:sz="0" w:space="0" w:color="auto"/>
        <w:left w:val="none" w:sz="0" w:space="0" w:color="auto"/>
        <w:bottom w:val="none" w:sz="0" w:space="0" w:color="auto"/>
        <w:right w:val="none" w:sz="0" w:space="0" w:color="auto"/>
      </w:divBdr>
    </w:div>
    <w:div w:id="808589833">
      <w:marLeft w:val="0"/>
      <w:marRight w:val="0"/>
      <w:marTop w:val="0"/>
      <w:marBottom w:val="0"/>
      <w:divBdr>
        <w:top w:val="none" w:sz="0" w:space="0" w:color="auto"/>
        <w:left w:val="none" w:sz="0" w:space="0" w:color="auto"/>
        <w:bottom w:val="none" w:sz="0" w:space="0" w:color="auto"/>
        <w:right w:val="none" w:sz="0" w:space="0" w:color="auto"/>
      </w:divBdr>
    </w:div>
    <w:div w:id="811752094">
      <w:marLeft w:val="0"/>
      <w:marRight w:val="0"/>
      <w:marTop w:val="0"/>
      <w:marBottom w:val="240"/>
      <w:divBdr>
        <w:top w:val="none" w:sz="0" w:space="0" w:color="auto"/>
        <w:left w:val="none" w:sz="0" w:space="0" w:color="auto"/>
        <w:bottom w:val="none" w:sz="0" w:space="0" w:color="auto"/>
        <w:right w:val="none" w:sz="0" w:space="0" w:color="auto"/>
      </w:divBdr>
    </w:div>
    <w:div w:id="812061666">
      <w:marLeft w:val="0"/>
      <w:marRight w:val="0"/>
      <w:marTop w:val="0"/>
      <w:marBottom w:val="240"/>
      <w:divBdr>
        <w:top w:val="none" w:sz="0" w:space="0" w:color="auto"/>
        <w:left w:val="none" w:sz="0" w:space="0" w:color="auto"/>
        <w:bottom w:val="none" w:sz="0" w:space="0" w:color="auto"/>
        <w:right w:val="none" w:sz="0" w:space="0" w:color="auto"/>
      </w:divBdr>
    </w:div>
    <w:div w:id="812330816">
      <w:marLeft w:val="0"/>
      <w:marRight w:val="0"/>
      <w:marTop w:val="120"/>
      <w:marBottom w:val="180"/>
      <w:divBdr>
        <w:top w:val="none" w:sz="0" w:space="0" w:color="auto"/>
        <w:left w:val="none" w:sz="0" w:space="0" w:color="auto"/>
        <w:bottom w:val="none" w:sz="0" w:space="0" w:color="auto"/>
        <w:right w:val="none" w:sz="0" w:space="0" w:color="auto"/>
      </w:divBdr>
    </w:div>
    <w:div w:id="813372587">
      <w:marLeft w:val="0"/>
      <w:marRight w:val="0"/>
      <w:marTop w:val="120"/>
      <w:marBottom w:val="120"/>
      <w:divBdr>
        <w:top w:val="none" w:sz="0" w:space="0" w:color="auto"/>
        <w:left w:val="none" w:sz="0" w:space="0" w:color="auto"/>
        <w:bottom w:val="none" w:sz="0" w:space="0" w:color="auto"/>
        <w:right w:val="none" w:sz="0" w:space="0" w:color="auto"/>
      </w:divBdr>
    </w:div>
    <w:div w:id="814029778">
      <w:marLeft w:val="0"/>
      <w:marRight w:val="0"/>
      <w:marTop w:val="120"/>
      <w:marBottom w:val="120"/>
      <w:divBdr>
        <w:top w:val="none" w:sz="0" w:space="0" w:color="auto"/>
        <w:left w:val="none" w:sz="0" w:space="0" w:color="auto"/>
        <w:bottom w:val="none" w:sz="0" w:space="0" w:color="auto"/>
        <w:right w:val="none" w:sz="0" w:space="0" w:color="auto"/>
      </w:divBdr>
    </w:div>
    <w:div w:id="815295537">
      <w:marLeft w:val="0"/>
      <w:marRight w:val="0"/>
      <w:marTop w:val="120"/>
      <w:marBottom w:val="120"/>
      <w:divBdr>
        <w:top w:val="none" w:sz="0" w:space="0" w:color="auto"/>
        <w:left w:val="none" w:sz="0" w:space="0" w:color="auto"/>
        <w:bottom w:val="none" w:sz="0" w:space="0" w:color="auto"/>
        <w:right w:val="none" w:sz="0" w:space="0" w:color="auto"/>
      </w:divBdr>
    </w:div>
    <w:div w:id="816066268">
      <w:marLeft w:val="0"/>
      <w:marRight w:val="0"/>
      <w:marTop w:val="120"/>
      <w:marBottom w:val="120"/>
      <w:divBdr>
        <w:top w:val="none" w:sz="0" w:space="0" w:color="auto"/>
        <w:left w:val="none" w:sz="0" w:space="0" w:color="auto"/>
        <w:bottom w:val="none" w:sz="0" w:space="0" w:color="auto"/>
        <w:right w:val="none" w:sz="0" w:space="0" w:color="auto"/>
      </w:divBdr>
    </w:div>
    <w:div w:id="818620561">
      <w:marLeft w:val="0"/>
      <w:marRight w:val="0"/>
      <w:marTop w:val="0"/>
      <w:marBottom w:val="0"/>
      <w:divBdr>
        <w:top w:val="none" w:sz="0" w:space="0" w:color="auto"/>
        <w:left w:val="none" w:sz="0" w:space="0" w:color="auto"/>
        <w:bottom w:val="none" w:sz="0" w:space="0" w:color="auto"/>
        <w:right w:val="none" w:sz="0" w:space="0" w:color="auto"/>
      </w:divBdr>
      <w:divsChild>
        <w:div w:id="1624341020">
          <w:marLeft w:val="0"/>
          <w:marRight w:val="0"/>
          <w:marTop w:val="0"/>
          <w:marBottom w:val="0"/>
          <w:divBdr>
            <w:top w:val="none" w:sz="0" w:space="0" w:color="auto"/>
            <w:left w:val="none" w:sz="0" w:space="0" w:color="auto"/>
            <w:bottom w:val="none" w:sz="0" w:space="0" w:color="auto"/>
            <w:right w:val="none" w:sz="0" w:space="0" w:color="auto"/>
          </w:divBdr>
        </w:div>
      </w:divsChild>
    </w:div>
    <w:div w:id="818620799">
      <w:marLeft w:val="0"/>
      <w:marRight w:val="0"/>
      <w:marTop w:val="100"/>
      <w:marBottom w:val="100"/>
      <w:divBdr>
        <w:top w:val="none" w:sz="0" w:space="0" w:color="auto"/>
        <w:left w:val="none" w:sz="0" w:space="0" w:color="auto"/>
        <w:bottom w:val="none" w:sz="0" w:space="0" w:color="auto"/>
        <w:right w:val="none" w:sz="0" w:space="0" w:color="auto"/>
      </w:divBdr>
    </w:div>
    <w:div w:id="819077088">
      <w:marLeft w:val="0"/>
      <w:marRight w:val="0"/>
      <w:marTop w:val="0"/>
      <w:marBottom w:val="180"/>
      <w:divBdr>
        <w:top w:val="none" w:sz="0" w:space="0" w:color="auto"/>
        <w:left w:val="none" w:sz="0" w:space="0" w:color="auto"/>
        <w:bottom w:val="none" w:sz="0" w:space="0" w:color="auto"/>
        <w:right w:val="none" w:sz="0" w:space="0" w:color="auto"/>
      </w:divBdr>
    </w:div>
    <w:div w:id="821045337">
      <w:marLeft w:val="0"/>
      <w:marRight w:val="0"/>
      <w:marTop w:val="0"/>
      <w:marBottom w:val="180"/>
      <w:divBdr>
        <w:top w:val="none" w:sz="0" w:space="0" w:color="auto"/>
        <w:left w:val="none" w:sz="0" w:space="0" w:color="auto"/>
        <w:bottom w:val="none" w:sz="0" w:space="0" w:color="auto"/>
        <w:right w:val="none" w:sz="0" w:space="0" w:color="auto"/>
      </w:divBdr>
    </w:div>
    <w:div w:id="824517139">
      <w:marLeft w:val="0"/>
      <w:marRight w:val="0"/>
      <w:marTop w:val="0"/>
      <w:marBottom w:val="180"/>
      <w:divBdr>
        <w:top w:val="none" w:sz="0" w:space="0" w:color="auto"/>
        <w:left w:val="none" w:sz="0" w:space="0" w:color="auto"/>
        <w:bottom w:val="none" w:sz="0" w:space="0" w:color="auto"/>
        <w:right w:val="none" w:sz="0" w:space="0" w:color="auto"/>
      </w:divBdr>
    </w:div>
    <w:div w:id="824974407">
      <w:marLeft w:val="0"/>
      <w:marRight w:val="0"/>
      <w:marTop w:val="0"/>
      <w:marBottom w:val="0"/>
      <w:divBdr>
        <w:top w:val="none" w:sz="0" w:space="0" w:color="auto"/>
        <w:left w:val="none" w:sz="0" w:space="0" w:color="auto"/>
        <w:bottom w:val="none" w:sz="0" w:space="0" w:color="auto"/>
        <w:right w:val="none" w:sz="0" w:space="0" w:color="auto"/>
      </w:divBdr>
    </w:div>
    <w:div w:id="826823663">
      <w:marLeft w:val="0"/>
      <w:marRight w:val="0"/>
      <w:marTop w:val="120"/>
      <w:marBottom w:val="120"/>
      <w:divBdr>
        <w:top w:val="none" w:sz="0" w:space="0" w:color="auto"/>
        <w:left w:val="none" w:sz="0" w:space="0" w:color="auto"/>
        <w:bottom w:val="none" w:sz="0" w:space="0" w:color="auto"/>
        <w:right w:val="none" w:sz="0" w:space="0" w:color="auto"/>
      </w:divBdr>
    </w:div>
    <w:div w:id="828205360">
      <w:marLeft w:val="0"/>
      <w:marRight w:val="0"/>
      <w:marTop w:val="180"/>
      <w:marBottom w:val="180"/>
      <w:divBdr>
        <w:top w:val="none" w:sz="0" w:space="0" w:color="auto"/>
        <w:left w:val="none" w:sz="0" w:space="0" w:color="auto"/>
        <w:bottom w:val="none" w:sz="0" w:space="0" w:color="auto"/>
        <w:right w:val="none" w:sz="0" w:space="0" w:color="auto"/>
      </w:divBdr>
    </w:div>
    <w:div w:id="830406745">
      <w:marLeft w:val="0"/>
      <w:marRight w:val="0"/>
      <w:marTop w:val="0"/>
      <w:marBottom w:val="240"/>
      <w:divBdr>
        <w:top w:val="none" w:sz="0" w:space="0" w:color="auto"/>
        <w:left w:val="none" w:sz="0" w:space="0" w:color="auto"/>
        <w:bottom w:val="none" w:sz="0" w:space="0" w:color="auto"/>
        <w:right w:val="none" w:sz="0" w:space="0" w:color="auto"/>
      </w:divBdr>
    </w:div>
    <w:div w:id="830414821">
      <w:marLeft w:val="0"/>
      <w:marRight w:val="0"/>
      <w:marTop w:val="0"/>
      <w:marBottom w:val="240"/>
      <w:divBdr>
        <w:top w:val="none" w:sz="0" w:space="0" w:color="auto"/>
        <w:left w:val="none" w:sz="0" w:space="0" w:color="auto"/>
        <w:bottom w:val="none" w:sz="0" w:space="0" w:color="auto"/>
        <w:right w:val="none" w:sz="0" w:space="0" w:color="auto"/>
      </w:divBdr>
    </w:div>
    <w:div w:id="833881421">
      <w:marLeft w:val="0"/>
      <w:marRight w:val="0"/>
      <w:marTop w:val="0"/>
      <w:marBottom w:val="240"/>
      <w:divBdr>
        <w:top w:val="none" w:sz="0" w:space="0" w:color="auto"/>
        <w:left w:val="none" w:sz="0" w:space="0" w:color="auto"/>
        <w:bottom w:val="none" w:sz="0" w:space="0" w:color="auto"/>
        <w:right w:val="none" w:sz="0" w:space="0" w:color="auto"/>
      </w:divBdr>
    </w:div>
    <w:div w:id="836115349">
      <w:marLeft w:val="0"/>
      <w:marRight w:val="0"/>
      <w:marTop w:val="0"/>
      <w:marBottom w:val="0"/>
      <w:divBdr>
        <w:top w:val="none" w:sz="0" w:space="0" w:color="auto"/>
        <w:left w:val="none" w:sz="0" w:space="0" w:color="auto"/>
        <w:bottom w:val="none" w:sz="0" w:space="0" w:color="auto"/>
        <w:right w:val="none" w:sz="0" w:space="0" w:color="auto"/>
      </w:divBdr>
      <w:divsChild>
        <w:div w:id="918946454">
          <w:marLeft w:val="0"/>
          <w:marRight w:val="0"/>
          <w:marTop w:val="0"/>
          <w:marBottom w:val="0"/>
          <w:divBdr>
            <w:top w:val="none" w:sz="0" w:space="0" w:color="auto"/>
            <w:left w:val="none" w:sz="0" w:space="0" w:color="auto"/>
            <w:bottom w:val="none" w:sz="0" w:space="0" w:color="auto"/>
            <w:right w:val="none" w:sz="0" w:space="0" w:color="auto"/>
          </w:divBdr>
        </w:div>
      </w:divsChild>
    </w:div>
    <w:div w:id="840588108">
      <w:marLeft w:val="0"/>
      <w:marRight w:val="0"/>
      <w:marTop w:val="0"/>
      <w:marBottom w:val="0"/>
      <w:divBdr>
        <w:top w:val="none" w:sz="0" w:space="0" w:color="auto"/>
        <w:left w:val="none" w:sz="0" w:space="0" w:color="auto"/>
        <w:bottom w:val="none" w:sz="0" w:space="0" w:color="auto"/>
        <w:right w:val="none" w:sz="0" w:space="0" w:color="auto"/>
      </w:divBdr>
    </w:div>
    <w:div w:id="841942405">
      <w:marLeft w:val="0"/>
      <w:marRight w:val="0"/>
      <w:marTop w:val="0"/>
      <w:marBottom w:val="0"/>
      <w:divBdr>
        <w:top w:val="none" w:sz="0" w:space="0" w:color="auto"/>
        <w:left w:val="none" w:sz="0" w:space="0" w:color="auto"/>
        <w:bottom w:val="none" w:sz="0" w:space="0" w:color="auto"/>
        <w:right w:val="none" w:sz="0" w:space="0" w:color="auto"/>
      </w:divBdr>
    </w:div>
    <w:div w:id="842234666">
      <w:marLeft w:val="0"/>
      <w:marRight w:val="0"/>
      <w:marTop w:val="0"/>
      <w:marBottom w:val="0"/>
      <w:divBdr>
        <w:top w:val="none" w:sz="0" w:space="0" w:color="auto"/>
        <w:left w:val="none" w:sz="0" w:space="0" w:color="auto"/>
        <w:bottom w:val="none" w:sz="0" w:space="0" w:color="auto"/>
        <w:right w:val="none" w:sz="0" w:space="0" w:color="auto"/>
      </w:divBdr>
    </w:div>
    <w:div w:id="845096286">
      <w:marLeft w:val="0"/>
      <w:marRight w:val="0"/>
      <w:marTop w:val="0"/>
      <w:marBottom w:val="0"/>
      <w:divBdr>
        <w:top w:val="none" w:sz="0" w:space="0" w:color="auto"/>
        <w:left w:val="none" w:sz="0" w:space="0" w:color="auto"/>
        <w:bottom w:val="none" w:sz="0" w:space="0" w:color="auto"/>
        <w:right w:val="none" w:sz="0" w:space="0" w:color="auto"/>
      </w:divBdr>
      <w:divsChild>
        <w:div w:id="1512573197">
          <w:marLeft w:val="0"/>
          <w:marRight w:val="0"/>
          <w:marTop w:val="0"/>
          <w:marBottom w:val="0"/>
          <w:divBdr>
            <w:top w:val="none" w:sz="0" w:space="0" w:color="auto"/>
            <w:left w:val="none" w:sz="0" w:space="0" w:color="auto"/>
            <w:bottom w:val="none" w:sz="0" w:space="0" w:color="auto"/>
            <w:right w:val="none" w:sz="0" w:space="0" w:color="auto"/>
          </w:divBdr>
        </w:div>
      </w:divsChild>
    </w:div>
    <w:div w:id="845097188">
      <w:marLeft w:val="0"/>
      <w:marRight w:val="0"/>
      <w:marTop w:val="0"/>
      <w:marBottom w:val="0"/>
      <w:divBdr>
        <w:top w:val="none" w:sz="0" w:space="0" w:color="auto"/>
        <w:left w:val="none" w:sz="0" w:space="0" w:color="auto"/>
        <w:bottom w:val="none" w:sz="0" w:space="0" w:color="auto"/>
        <w:right w:val="none" w:sz="0" w:space="0" w:color="auto"/>
      </w:divBdr>
    </w:div>
    <w:div w:id="845747755">
      <w:marLeft w:val="0"/>
      <w:marRight w:val="0"/>
      <w:marTop w:val="0"/>
      <w:marBottom w:val="180"/>
      <w:divBdr>
        <w:top w:val="none" w:sz="0" w:space="0" w:color="auto"/>
        <w:left w:val="none" w:sz="0" w:space="0" w:color="auto"/>
        <w:bottom w:val="none" w:sz="0" w:space="0" w:color="auto"/>
        <w:right w:val="none" w:sz="0" w:space="0" w:color="auto"/>
      </w:divBdr>
    </w:div>
    <w:div w:id="848833834">
      <w:marLeft w:val="0"/>
      <w:marRight w:val="0"/>
      <w:marTop w:val="0"/>
      <w:marBottom w:val="240"/>
      <w:divBdr>
        <w:top w:val="none" w:sz="0" w:space="0" w:color="auto"/>
        <w:left w:val="none" w:sz="0" w:space="0" w:color="auto"/>
        <w:bottom w:val="none" w:sz="0" w:space="0" w:color="auto"/>
        <w:right w:val="none" w:sz="0" w:space="0" w:color="auto"/>
      </w:divBdr>
    </w:div>
    <w:div w:id="849372600">
      <w:marLeft w:val="0"/>
      <w:marRight w:val="0"/>
      <w:marTop w:val="180"/>
      <w:marBottom w:val="180"/>
      <w:divBdr>
        <w:top w:val="none" w:sz="0" w:space="0" w:color="auto"/>
        <w:left w:val="none" w:sz="0" w:space="0" w:color="auto"/>
        <w:bottom w:val="none" w:sz="0" w:space="0" w:color="auto"/>
        <w:right w:val="none" w:sz="0" w:space="0" w:color="auto"/>
      </w:divBdr>
    </w:div>
    <w:div w:id="850264304">
      <w:marLeft w:val="0"/>
      <w:marRight w:val="0"/>
      <w:marTop w:val="0"/>
      <w:marBottom w:val="0"/>
      <w:divBdr>
        <w:top w:val="none" w:sz="0" w:space="0" w:color="auto"/>
        <w:left w:val="none" w:sz="0" w:space="0" w:color="auto"/>
        <w:bottom w:val="none" w:sz="0" w:space="0" w:color="auto"/>
        <w:right w:val="none" w:sz="0" w:space="0" w:color="auto"/>
      </w:divBdr>
    </w:div>
    <w:div w:id="851527305">
      <w:marLeft w:val="0"/>
      <w:marRight w:val="0"/>
      <w:marTop w:val="120"/>
      <w:marBottom w:val="120"/>
      <w:divBdr>
        <w:top w:val="none" w:sz="0" w:space="0" w:color="auto"/>
        <w:left w:val="none" w:sz="0" w:space="0" w:color="auto"/>
        <w:bottom w:val="none" w:sz="0" w:space="0" w:color="auto"/>
        <w:right w:val="none" w:sz="0" w:space="0" w:color="auto"/>
      </w:divBdr>
    </w:div>
    <w:div w:id="851843583">
      <w:marLeft w:val="0"/>
      <w:marRight w:val="0"/>
      <w:marTop w:val="120"/>
      <w:marBottom w:val="120"/>
      <w:divBdr>
        <w:top w:val="none" w:sz="0" w:space="0" w:color="auto"/>
        <w:left w:val="none" w:sz="0" w:space="0" w:color="auto"/>
        <w:bottom w:val="none" w:sz="0" w:space="0" w:color="auto"/>
        <w:right w:val="none" w:sz="0" w:space="0" w:color="auto"/>
      </w:divBdr>
    </w:div>
    <w:div w:id="853609707">
      <w:marLeft w:val="0"/>
      <w:marRight w:val="0"/>
      <w:marTop w:val="120"/>
      <w:marBottom w:val="120"/>
      <w:divBdr>
        <w:top w:val="none" w:sz="0" w:space="0" w:color="auto"/>
        <w:left w:val="none" w:sz="0" w:space="0" w:color="auto"/>
        <w:bottom w:val="none" w:sz="0" w:space="0" w:color="auto"/>
        <w:right w:val="none" w:sz="0" w:space="0" w:color="auto"/>
      </w:divBdr>
    </w:div>
    <w:div w:id="856844726">
      <w:marLeft w:val="0"/>
      <w:marRight w:val="0"/>
      <w:marTop w:val="0"/>
      <w:marBottom w:val="240"/>
      <w:divBdr>
        <w:top w:val="none" w:sz="0" w:space="0" w:color="auto"/>
        <w:left w:val="none" w:sz="0" w:space="0" w:color="auto"/>
        <w:bottom w:val="none" w:sz="0" w:space="0" w:color="auto"/>
        <w:right w:val="none" w:sz="0" w:space="0" w:color="auto"/>
      </w:divBdr>
    </w:div>
    <w:div w:id="859126984">
      <w:marLeft w:val="0"/>
      <w:marRight w:val="0"/>
      <w:marTop w:val="0"/>
      <w:marBottom w:val="0"/>
      <w:divBdr>
        <w:top w:val="none" w:sz="0" w:space="0" w:color="auto"/>
        <w:left w:val="none" w:sz="0" w:space="0" w:color="auto"/>
        <w:bottom w:val="none" w:sz="0" w:space="0" w:color="auto"/>
        <w:right w:val="none" w:sz="0" w:space="0" w:color="auto"/>
      </w:divBdr>
    </w:div>
    <w:div w:id="859508760">
      <w:marLeft w:val="0"/>
      <w:marRight w:val="0"/>
      <w:marTop w:val="60"/>
      <w:marBottom w:val="240"/>
      <w:divBdr>
        <w:top w:val="none" w:sz="0" w:space="0" w:color="auto"/>
        <w:left w:val="none" w:sz="0" w:space="0" w:color="auto"/>
        <w:bottom w:val="none" w:sz="0" w:space="0" w:color="auto"/>
        <w:right w:val="none" w:sz="0" w:space="0" w:color="auto"/>
      </w:divBdr>
    </w:div>
    <w:div w:id="860897975">
      <w:marLeft w:val="0"/>
      <w:marRight w:val="0"/>
      <w:marTop w:val="120"/>
      <w:marBottom w:val="120"/>
      <w:divBdr>
        <w:top w:val="none" w:sz="0" w:space="0" w:color="auto"/>
        <w:left w:val="none" w:sz="0" w:space="0" w:color="auto"/>
        <w:bottom w:val="none" w:sz="0" w:space="0" w:color="auto"/>
        <w:right w:val="none" w:sz="0" w:space="0" w:color="auto"/>
      </w:divBdr>
    </w:div>
    <w:div w:id="861095605">
      <w:marLeft w:val="0"/>
      <w:marRight w:val="0"/>
      <w:marTop w:val="0"/>
      <w:marBottom w:val="0"/>
      <w:divBdr>
        <w:top w:val="none" w:sz="0" w:space="0" w:color="auto"/>
        <w:left w:val="none" w:sz="0" w:space="0" w:color="auto"/>
        <w:bottom w:val="none" w:sz="0" w:space="0" w:color="auto"/>
        <w:right w:val="none" w:sz="0" w:space="0" w:color="auto"/>
      </w:divBdr>
      <w:divsChild>
        <w:div w:id="283313103">
          <w:marLeft w:val="0"/>
          <w:marRight w:val="0"/>
          <w:marTop w:val="0"/>
          <w:marBottom w:val="0"/>
          <w:divBdr>
            <w:top w:val="none" w:sz="0" w:space="0" w:color="auto"/>
            <w:left w:val="none" w:sz="0" w:space="0" w:color="auto"/>
            <w:bottom w:val="none" w:sz="0" w:space="0" w:color="auto"/>
            <w:right w:val="none" w:sz="0" w:space="0" w:color="auto"/>
          </w:divBdr>
        </w:div>
      </w:divsChild>
    </w:div>
    <w:div w:id="861165293">
      <w:marLeft w:val="0"/>
      <w:marRight w:val="0"/>
      <w:marTop w:val="180"/>
      <w:marBottom w:val="180"/>
      <w:divBdr>
        <w:top w:val="none" w:sz="0" w:space="0" w:color="auto"/>
        <w:left w:val="none" w:sz="0" w:space="0" w:color="auto"/>
        <w:bottom w:val="none" w:sz="0" w:space="0" w:color="auto"/>
        <w:right w:val="none" w:sz="0" w:space="0" w:color="auto"/>
      </w:divBdr>
    </w:div>
    <w:div w:id="861285181">
      <w:marLeft w:val="0"/>
      <w:marRight w:val="0"/>
      <w:marTop w:val="0"/>
      <w:marBottom w:val="0"/>
      <w:divBdr>
        <w:top w:val="none" w:sz="0" w:space="0" w:color="auto"/>
        <w:left w:val="none" w:sz="0" w:space="0" w:color="auto"/>
        <w:bottom w:val="none" w:sz="0" w:space="0" w:color="auto"/>
        <w:right w:val="none" w:sz="0" w:space="0" w:color="auto"/>
      </w:divBdr>
    </w:div>
    <w:div w:id="861941559">
      <w:marLeft w:val="0"/>
      <w:marRight w:val="0"/>
      <w:marTop w:val="0"/>
      <w:marBottom w:val="240"/>
      <w:divBdr>
        <w:top w:val="none" w:sz="0" w:space="0" w:color="auto"/>
        <w:left w:val="none" w:sz="0" w:space="0" w:color="auto"/>
        <w:bottom w:val="none" w:sz="0" w:space="0" w:color="auto"/>
        <w:right w:val="none" w:sz="0" w:space="0" w:color="auto"/>
      </w:divBdr>
    </w:div>
    <w:div w:id="862328520">
      <w:marLeft w:val="0"/>
      <w:marRight w:val="0"/>
      <w:marTop w:val="240"/>
      <w:marBottom w:val="180"/>
      <w:divBdr>
        <w:top w:val="none" w:sz="0" w:space="0" w:color="auto"/>
        <w:left w:val="none" w:sz="0" w:space="0" w:color="auto"/>
        <w:bottom w:val="none" w:sz="0" w:space="0" w:color="auto"/>
        <w:right w:val="none" w:sz="0" w:space="0" w:color="auto"/>
      </w:divBdr>
    </w:div>
    <w:div w:id="864100302">
      <w:marLeft w:val="0"/>
      <w:marRight w:val="0"/>
      <w:marTop w:val="0"/>
      <w:marBottom w:val="0"/>
      <w:divBdr>
        <w:top w:val="none" w:sz="0" w:space="0" w:color="auto"/>
        <w:left w:val="none" w:sz="0" w:space="0" w:color="auto"/>
        <w:bottom w:val="none" w:sz="0" w:space="0" w:color="auto"/>
        <w:right w:val="none" w:sz="0" w:space="0" w:color="auto"/>
      </w:divBdr>
      <w:divsChild>
        <w:div w:id="912087625">
          <w:marLeft w:val="0"/>
          <w:marRight w:val="0"/>
          <w:marTop w:val="0"/>
          <w:marBottom w:val="0"/>
          <w:divBdr>
            <w:top w:val="none" w:sz="0" w:space="0" w:color="auto"/>
            <w:left w:val="none" w:sz="0" w:space="0" w:color="auto"/>
            <w:bottom w:val="none" w:sz="0" w:space="0" w:color="auto"/>
            <w:right w:val="none" w:sz="0" w:space="0" w:color="auto"/>
          </w:divBdr>
        </w:div>
      </w:divsChild>
    </w:div>
    <w:div w:id="869413785">
      <w:marLeft w:val="0"/>
      <w:marRight w:val="0"/>
      <w:marTop w:val="0"/>
      <w:marBottom w:val="180"/>
      <w:divBdr>
        <w:top w:val="none" w:sz="0" w:space="0" w:color="auto"/>
        <w:left w:val="none" w:sz="0" w:space="0" w:color="auto"/>
        <w:bottom w:val="none" w:sz="0" w:space="0" w:color="auto"/>
        <w:right w:val="none" w:sz="0" w:space="0" w:color="auto"/>
      </w:divBdr>
    </w:div>
    <w:div w:id="869805252">
      <w:marLeft w:val="0"/>
      <w:marRight w:val="0"/>
      <w:marTop w:val="0"/>
      <w:marBottom w:val="240"/>
      <w:divBdr>
        <w:top w:val="none" w:sz="0" w:space="0" w:color="auto"/>
        <w:left w:val="none" w:sz="0" w:space="0" w:color="auto"/>
        <w:bottom w:val="none" w:sz="0" w:space="0" w:color="auto"/>
        <w:right w:val="none" w:sz="0" w:space="0" w:color="auto"/>
      </w:divBdr>
    </w:div>
    <w:div w:id="870842762">
      <w:marLeft w:val="0"/>
      <w:marRight w:val="0"/>
      <w:marTop w:val="240"/>
      <w:marBottom w:val="240"/>
      <w:divBdr>
        <w:top w:val="none" w:sz="0" w:space="0" w:color="auto"/>
        <w:left w:val="none" w:sz="0" w:space="0" w:color="auto"/>
        <w:bottom w:val="none" w:sz="0" w:space="0" w:color="auto"/>
        <w:right w:val="none" w:sz="0" w:space="0" w:color="auto"/>
      </w:divBdr>
    </w:div>
    <w:div w:id="872424766">
      <w:marLeft w:val="0"/>
      <w:marRight w:val="0"/>
      <w:marTop w:val="0"/>
      <w:marBottom w:val="0"/>
      <w:divBdr>
        <w:top w:val="none" w:sz="0" w:space="0" w:color="auto"/>
        <w:left w:val="none" w:sz="0" w:space="0" w:color="auto"/>
        <w:bottom w:val="none" w:sz="0" w:space="0" w:color="auto"/>
        <w:right w:val="none" w:sz="0" w:space="0" w:color="auto"/>
      </w:divBdr>
    </w:div>
    <w:div w:id="873159324">
      <w:marLeft w:val="0"/>
      <w:marRight w:val="0"/>
      <w:marTop w:val="0"/>
      <w:marBottom w:val="0"/>
      <w:divBdr>
        <w:top w:val="none" w:sz="0" w:space="0" w:color="auto"/>
        <w:left w:val="none" w:sz="0" w:space="0" w:color="auto"/>
        <w:bottom w:val="none" w:sz="0" w:space="0" w:color="auto"/>
        <w:right w:val="none" w:sz="0" w:space="0" w:color="auto"/>
      </w:divBdr>
    </w:div>
    <w:div w:id="874925928">
      <w:marLeft w:val="0"/>
      <w:marRight w:val="0"/>
      <w:marTop w:val="0"/>
      <w:marBottom w:val="0"/>
      <w:divBdr>
        <w:top w:val="none" w:sz="0" w:space="0" w:color="auto"/>
        <w:left w:val="none" w:sz="0" w:space="0" w:color="auto"/>
        <w:bottom w:val="none" w:sz="0" w:space="0" w:color="auto"/>
        <w:right w:val="none" w:sz="0" w:space="0" w:color="auto"/>
      </w:divBdr>
    </w:div>
    <w:div w:id="875580848">
      <w:marLeft w:val="0"/>
      <w:marRight w:val="0"/>
      <w:marTop w:val="0"/>
      <w:marBottom w:val="180"/>
      <w:divBdr>
        <w:top w:val="none" w:sz="0" w:space="0" w:color="auto"/>
        <w:left w:val="none" w:sz="0" w:space="0" w:color="auto"/>
        <w:bottom w:val="none" w:sz="0" w:space="0" w:color="auto"/>
        <w:right w:val="none" w:sz="0" w:space="0" w:color="auto"/>
      </w:divBdr>
    </w:div>
    <w:div w:id="875626657">
      <w:marLeft w:val="0"/>
      <w:marRight w:val="0"/>
      <w:marTop w:val="120"/>
      <w:marBottom w:val="120"/>
      <w:divBdr>
        <w:top w:val="none" w:sz="0" w:space="0" w:color="auto"/>
        <w:left w:val="none" w:sz="0" w:space="0" w:color="auto"/>
        <w:bottom w:val="none" w:sz="0" w:space="0" w:color="auto"/>
        <w:right w:val="none" w:sz="0" w:space="0" w:color="auto"/>
      </w:divBdr>
    </w:div>
    <w:div w:id="878132004">
      <w:marLeft w:val="0"/>
      <w:marRight w:val="0"/>
      <w:marTop w:val="0"/>
      <w:marBottom w:val="180"/>
      <w:divBdr>
        <w:top w:val="none" w:sz="0" w:space="0" w:color="auto"/>
        <w:left w:val="none" w:sz="0" w:space="0" w:color="auto"/>
        <w:bottom w:val="none" w:sz="0" w:space="0" w:color="auto"/>
        <w:right w:val="none" w:sz="0" w:space="0" w:color="auto"/>
      </w:divBdr>
    </w:div>
    <w:div w:id="883299217">
      <w:marLeft w:val="0"/>
      <w:marRight w:val="0"/>
      <w:marTop w:val="0"/>
      <w:marBottom w:val="180"/>
      <w:divBdr>
        <w:top w:val="none" w:sz="0" w:space="0" w:color="auto"/>
        <w:left w:val="none" w:sz="0" w:space="0" w:color="auto"/>
        <w:bottom w:val="none" w:sz="0" w:space="0" w:color="auto"/>
        <w:right w:val="none" w:sz="0" w:space="0" w:color="auto"/>
      </w:divBdr>
    </w:div>
    <w:div w:id="886377059">
      <w:marLeft w:val="0"/>
      <w:marRight w:val="0"/>
      <w:marTop w:val="0"/>
      <w:marBottom w:val="0"/>
      <w:divBdr>
        <w:top w:val="none" w:sz="0" w:space="0" w:color="auto"/>
        <w:left w:val="none" w:sz="0" w:space="0" w:color="auto"/>
        <w:bottom w:val="none" w:sz="0" w:space="0" w:color="auto"/>
        <w:right w:val="none" w:sz="0" w:space="0" w:color="auto"/>
      </w:divBdr>
    </w:div>
    <w:div w:id="888609003">
      <w:marLeft w:val="0"/>
      <w:marRight w:val="0"/>
      <w:marTop w:val="120"/>
      <w:marBottom w:val="120"/>
      <w:divBdr>
        <w:top w:val="none" w:sz="0" w:space="0" w:color="auto"/>
        <w:left w:val="none" w:sz="0" w:space="0" w:color="auto"/>
        <w:bottom w:val="none" w:sz="0" w:space="0" w:color="auto"/>
        <w:right w:val="none" w:sz="0" w:space="0" w:color="auto"/>
      </w:divBdr>
    </w:div>
    <w:div w:id="890381755">
      <w:marLeft w:val="0"/>
      <w:marRight w:val="0"/>
      <w:marTop w:val="0"/>
      <w:marBottom w:val="0"/>
      <w:divBdr>
        <w:top w:val="none" w:sz="0" w:space="0" w:color="auto"/>
        <w:left w:val="none" w:sz="0" w:space="0" w:color="auto"/>
        <w:bottom w:val="none" w:sz="0" w:space="0" w:color="auto"/>
        <w:right w:val="none" w:sz="0" w:space="0" w:color="auto"/>
      </w:divBdr>
    </w:div>
    <w:div w:id="890573735">
      <w:marLeft w:val="0"/>
      <w:marRight w:val="0"/>
      <w:marTop w:val="0"/>
      <w:marBottom w:val="180"/>
      <w:divBdr>
        <w:top w:val="none" w:sz="0" w:space="0" w:color="auto"/>
        <w:left w:val="none" w:sz="0" w:space="0" w:color="auto"/>
        <w:bottom w:val="none" w:sz="0" w:space="0" w:color="auto"/>
        <w:right w:val="none" w:sz="0" w:space="0" w:color="auto"/>
      </w:divBdr>
    </w:div>
    <w:div w:id="892350001">
      <w:marLeft w:val="0"/>
      <w:marRight w:val="0"/>
      <w:marTop w:val="120"/>
      <w:marBottom w:val="240"/>
      <w:divBdr>
        <w:top w:val="none" w:sz="0" w:space="0" w:color="auto"/>
        <w:left w:val="none" w:sz="0" w:space="0" w:color="auto"/>
        <w:bottom w:val="none" w:sz="0" w:space="0" w:color="auto"/>
        <w:right w:val="none" w:sz="0" w:space="0" w:color="auto"/>
      </w:divBdr>
    </w:div>
    <w:div w:id="893658084">
      <w:marLeft w:val="0"/>
      <w:marRight w:val="0"/>
      <w:marTop w:val="120"/>
      <w:marBottom w:val="180"/>
      <w:divBdr>
        <w:top w:val="none" w:sz="0" w:space="0" w:color="auto"/>
        <w:left w:val="none" w:sz="0" w:space="0" w:color="auto"/>
        <w:bottom w:val="none" w:sz="0" w:space="0" w:color="auto"/>
        <w:right w:val="none" w:sz="0" w:space="0" w:color="auto"/>
      </w:divBdr>
    </w:div>
    <w:div w:id="895238570">
      <w:marLeft w:val="0"/>
      <w:marRight w:val="0"/>
      <w:marTop w:val="0"/>
      <w:marBottom w:val="180"/>
      <w:divBdr>
        <w:top w:val="none" w:sz="0" w:space="0" w:color="auto"/>
        <w:left w:val="none" w:sz="0" w:space="0" w:color="auto"/>
        <w:bottom w:val="none" w:sz="0" w:space="0" w:color="auto"/>
        <w:right w:val="none" w:sz="0" w:space="0" w:color="auto"/>
      </w:divBdr>
    </w:div>
    <w:div w:id="896012144">
      <w:marLeft w:val="0"/>
      <w:marRight w:val="0"/>
      <w:marTop w:val="100"/>
      <w:marBottom w:val="100"/>
      <w:divBdr>
        <w:top w:val="none" w:sz="0" w:space="0" w:color="auto"/>
        <w:left w:val="none" w:sz="0" w:space="0" w:color="auto"/>
        <w:bottom w:val="none" w:sz="0" w:space="0" w:color="auto"/>
        <w:right w:val="none" w:sz="0" w:space="0" w:color="auto"/>
      </w:divBdr>
      <w:divsChild>
        <w:div w:id="269627904">
          <w:marLeft w:val="0"/>
          <w:marRight w:val="0"/>
          <w:marTop w:val="0"/>
          <w:marBottom w:val="0"/>
          <w:divBdr>
            <w:top w:val="none" w:sz="0" w:space="0" w:color="auto"/>
            <w:left w:val="none" w:sz="0" w:space="0" w:color="auto"/>
            <w:bottom w:val="none" w:sz="0" w:space="0" w:color="auto"/>
            <w:right w:val="none" w:sz="0" w:space="0" w:color="auto"/>
          </w:divBdr>
        </w:div>
        <w:div w:id="1002590095">
          <w:marLeft w:val="0"/>
          <w:marRight w:val="0"/>
          <w:marTop w:val="0"/>
          <w:marBottom w:val="0"/>
          <w:divBdr>
            <w:top w:val="none" w:sz="0" w:space="0" w:color="auto"/>
            <w:left w:val="none" w:sz="0" w:space="0" w:color="auto"/>
            <w:bottom w:val="none" w:sz="0" w:space="0" w:color="auto"/>
            <w:right w:val="none" w:sz="0" w:space="0" w:color="auto"/>
          </w:divBdr>
        </w:div>
        <w:div w:id="1141580791">
          <w:marLeft w:val="0"/>
          <w:marRight w:val="0"/>
          <w:marTop w:val="0"/>
          <w:marBottom w:val="0"/>
          <w:divBdr>
            <w:top w:val="none" w:sz="0" w:space="0" w:color="auto"/>
            <w:left w:val="none" w:sz="0" w:space="0" w:color="auto"/>
            <w:bottom w:val="none" w:sz="0" w:space="0" w:color="auto"/>
            <w:right w:val="none" w:sz="0" w:space="0" w:color="auto"/>
          </w:divBdr>
        </w:div>
        <w:div w:id="1553424771">
          <w:marLeft w:val="0"/>
          <w:marRight w:val="0"/>
          <w:marTop w:val="0"/>
          <w:marBottom w:val="0"/>
          <w:divBdr>
            <w:top w:val="none" w:sz="0" w:space="0" w:color="auto"/>
            <w:left w:val="none" w:sz="0" w:space="0" w:color="auto"/>
            <w:bottom w:val="none" w:sz="0" w:space="0" w:color="auto"/>
            <w:right w:val="none" w:sz="0" w:space="0" w:color="auto"/>
          </w:divBdr>
        </w:div>
      </w:divsChild>
    </w:div>
    <w:div w:id="897210047">
      <w:marLeft w:val="0"/>
      <w:marRight w:val="0"/>
      <w:marTop w:val="0"/>
      <w:marBottom w:val="0"/>
      <w:divBdr>
        <w:top w:val="none" w:sz="0" w:space="0" w:color="auto"/>
        <w:left w:val="none" w:sz="0" w:space="0" w:color="auto"/>
        <w:bottom w:val="none" w:sz="0" w:space="0" w:color="auto"/>
        <w:right w:val="none" w:sz="0" w:space="0" w:color="auto"/>
      </w:divBdr>
    </w:div>
    <w:div w:id="898436910">
      <w:marLeft w:val="0"/>
      <w:marRight w:val="0"/>
      <w:marTop w:val="0"/>
      <w:marBottom w:val="0"/>
      <w:divBdr>
        <w:top w:val="none" w:sz="0" w:space="0" w:color="auto"/>
        <w:left w:val="none" w:sz="0" w:space="0" w:color="auto"/>
        <w:bottom w:val="none" w:sz="0" w:space="0" w:color="auto"/>
        <w:right w:val="none" w:sz="0" w:space="0" w:color="auto"/>
      </w:divBdr>
      <w:divsChild>
        <w:div w:id="1329603264">
          <w:marLeft w:val="0"/>
          <w:marRight w:val="0"/>
          <w:marTop w:val="0"/>
          <w:marBottom w:val="0"/>
          <w:divBdr>
            <w:top w:val="none" w:sz="0" w:space="0" w:color="auto"/>
            <w:left w:val="none" w:sz="0" w:space="0" w:color="auto"/>
            <w:bottom w:val="none" w:sz="0" w:space="0" w:color="auto"/>
            <w:right w:val="none" w:sz="0" w:space="0" w:color="auto"/>
          </w:divBdr>
        </w:div>
      </w:divsChild>
    </w:div>
    <w:div w:id="898711738">
      <w:marLeft w:val="0"/>
      <w:marRight w:val="0"/>
      <w:marTop w:val="0"/>
      <w:marBottom w:val="180"/>
      <w:divBdr>
        <w:top w:val="none" w:sz="0" w:space="0" w:color="auto"/>
        <w:left w:val="none" w:sz="0" w:space="0" w:color="auto"/>
        <w:bottom w:val="none" w:sz="0" w:space="0" w:color="auto"/>
        <w:right w:val="none" w:sz="0" w:space="0" w:color="auto"/>
      </w:divBdr>
    </w:div>
    <w:div w:id="899167549">
      <w:marLeft w:val="0"/>
      <w:marRight w:val="0"/>
      <w:marTop w:val="0"/>
      <w:marBottom w:val="0"/>
      <w:divBdr>
        <w:top w:val="none" w:sz="0" w:space="0" w:color="auto"/>
        <w:left w:val="none" w:sz="0" w:space="0" w:color="auto"/>
        <w:bottom w:val="none" w:sz="0" w:space="0" w:color="auto"/>
        <w:right w:val="none" w:sz="0" w:space="0" w:color="auto"/>
      </w:divBdr>
      <w:divsChild>
        <w:div w:id="867379101">
          <w:marLeft w:val="0"/>
          <w:marRight w:val="0"/>
          <w:marTop w:val="0"/>
          <w:marBottom w:val="0"/>
          <w:divBdr>
            <w:top w:val="none" w:sz="0" w:space="0" w:color="auto"/>
            <w:left w:val="none" w:sz="0" w:space="0" w:color="auto"/>
            <w:bottom w:val="none" w:sz="0" w:space="0" w:color="auto"/>
            <w:right w:val="none" w:sz="0" w:space="0" w:color="auto"/>
          </w:divBdr>
        </w:div>
      </w:divsChild>
    </w:div>
    <w:div w:id="900947942">
      <w:marLeft w:val="0"/>
      <w:marRight w:val="0"/>
      <w:marTop w:val="0"/>
      <w:marBottom w:val="240"/>
      <w:divBdr>
        <w:top w:val="none" w:sz="0" w:space="0" w:color="auto"/>
        <w:left w:val="none" w:sz="0" w:space="0" w:color="auto"/>
        <w:bottom w:val="none" w:sz="0" w:space="0" w:color="auto"/>
        <w:right w:val="none" w:sz="0" w:space="0" w:color="auto"/>
      </w:divBdr>
    </w:div>
    <w:div w:id="901061441">
      <w:marLeft w:val="0"/>
      <w:marRight w:val="0"/>
      <w:marTop w:val="120"/>
      <w:marBottom w:val="120"/>
      <w:divBdr>
        <w:top w:val="none" w:sz="0" w:space="0" w:color="auto"/>
        <w:left w:val="none" w:sz="0" w:space="0" w:color="auto"/>
        <w:bottom w:val="none" w:sz="0" w:space="0" w:color="auto"/>
        <w:right w:val="none" w:sz="0" w:space="0" w:color="auto"/>
      </w:divBdr>
    </w:div>
    <w:div w:id="901401697">
      <w:marLeft w:val="0"/>
      <w:marRight w:val="0"/>
      <w:marTop w:val="0"/>
      <w:marBottom w:val="0"/>
      <w:divBdr>
        <w:top w:val="none" w:sz="0" w:space="0" w:color="auto"/>
        <w:left w:val="none" w:sz="0" w:space="0" w:color="auto"/>
        <w:bottom w:val="none" w:sz="0" w:space="0" w:color="auto"/>
        <w:right w:val="none" w:sz="0" w:space="0" w:color="auto"/>
      </w:divBdr>
    </w:div>
    <w:div w:id="904295940">
      <w:marLeft w:val="0"/>
      <w:marRight w:val="0"/>
      <w:marTop w:val="120"/>
      <w:marBottom w:val="120"/>
      <w:divBdr>
        <w:top w:val="none" w:sz="0" w:space="0" w:color="auto"/>
        <w:left w:val="none" w:sz="0" w:space="0" w:color="auto"/>
        <w:bottom w:val="none" w:sz="0" w:space="0" w:color="auto"/>
        <w:right w:val="none" w:sz="0" w:space="0" w:color="auto"/>
      </w:divBdr>
    </w:div>
    <w:div w:id="904486448">
      <w:marLeft w:val="0"/>
      <w:marRight w:val="0"/>
      <w:marTop w:val="180"/>
      <w:marBottom w:val="180"/>
      <w:divBdr>
        <w:top w:val="none" w:sz="0" w:space="0" w:color="auto"/>
        <w:left w:val="none" w:sz="0" w:space="0" w:color="auto"/>
        <w:bottom w:val="none" w:sz="0" w:space="0" w:color="auto"/>
        <w:right w:val="none" w:sz="0" w:space="0" w:color="auto"/>
      </w:divBdr>
    </w:div>
    <w:div w:id="904488398">
      <w:marLeft w:val="0"/>
      <w:marRight w:val="0"/>
      <w:marTop w:val="0"/>
      <w:marBottom w:val="240"/>
      <w:divBdr>
        <w:top w:val="none" w:sz="0" w:space="0" w:color="auto"/>
        <w:left w:val="none" w:sz="0" w:space="0" w:color="auto"/>
        <w:bottom w:val="none" w:sz="0" w:space="0" w:color="auto"/>
        <w:right w:val="none" w:sz="0" w:space="0" w:color="auto"/>
      </w:divBdr>
    </w:div>
    <w:div w:id="904874309">
      <w:marLeft w:val="0"/>
      <w:marRight w:val="0"/>
      <w:marTop w:val="0"/>
      <w:marBottom w:val="240"/>
      <w:divBdr>
        <w:top w:val="none" w:sz="0" w:space="0" w:color="auto"/>
        <w:left w:val="none" w:sz="0" w:space="0" w:color="auto"/>
        <w:bottom w:val="none" w:sz="0" w:space="0" w:color="auto"/>
        <w:right w:val="none" w:sz="0" w:space="0" w:color="auto"/>
      </w:divBdr>
    </w:div>
    <w:div w:id="905843235">
      <w:marLeft w:val="0"/>
      <w:marRight w:val="0"/>
      <w:marTop w:val="120"/>
      <w:marBottom w:val="180"/>
      <w:divBdr>
        <w:top w:val="none" w:sz="0" w:space="0" w:color="auto"/>
        <w:left w:val="none" w:sz="0" w:space="0" w:color="auto"/>
        <w:bottom w:val="none" w:sz="0" w:space="0" w:color="auto"/>
        <w:right w:val="none" w:sz="0" w:space="0" w:color="auto"/>
      </w:divBdr>
    </w:div>
    <w:div w:id="906257463">
      <w:marLeft w:val="0"/>
      <w:marRight w:val="0"/>
      <w:marTop w:val="0"/>
      <w:marBottom w:val="240"/>
      <w:divBdr>
        <w:top w:val="none" w:sz="0" w:space="0" w:color="auto"/>
        <w:left w:val="none" w:sz="0" w:space="0" w:color="auto"/>
        <w:bottom w:val="none" w:sz="0" w:space="0" w:color="auto"/>
        <w:right w:val="none" w:sz="0" w:space="0" w:color="auto"/>
      </w:divBdr>
    </w:div>
    <w:div w:id="906459596">
      <w:marLeft w:val="0"/>
      <w:marRight w:val="0"/>
      <w:marTop w:val="0"/>
      <w:marBottom w:val="0"/>
      <w:divBdr>
        <w:top w:val="none" w:sz="0" w:space="0" w:color="auto"/>
        <w:left w:val="none" w:sz="0" w:space="0" w:color="auto"/>
        <w:bottom w:val="none" w:sz="0" w:space="0" w:color="auto"/>
        <w:right w:val="none" w:sz="0" w:space="0" w:color="auto"/>
      </w:divBdr>
    </w:div>
    <w:div w:id="907374394">
      <w:marLeft w:val="0"/>
      <w:marRight w:val="0"/>
      <w:marTop w:val="100"/>
      <w:marBottom w:val="100"/>
      <w:divBdr>
        <w:top w:val="none" w:sz="0" w:space="0" w:color="auto"/>
        <w:left w:val="none" w:sz="0" w:space="0" w:color="auto"/>
        <w:bottom w:val="none" w:sz="0" w:space="0" w:color="auto"/>
        <w:right w:val="none" w:sz="0" w:space="0" w:color="auto"/>
      </w:divBdr>
      <w:divsChild>
        <w:div w:id="655036785">
          <w:marLeft w:val="0"/>
          <w:marRight w:val="0"/>
          <w:marTop w:val="0"/>
          <w:marBottom w:val="0"/>
          <w:divBdr>
            <w:top w:val="none" w:sz="0" w:space="0" w:color="auto"/>
            <w:left w:val="none" w:sz="0" w:space="0" w:color="auto"/>
            <w:bottom w:val="none" w:sz="0" w:space="0" w:color="auto"/>
            <w:right w:val="none" w:sz="0" w:space="0" w:color="auto"/>
          </w:divBdr>
        </w:div>
        <w:div w:id="535891182">
          <w:marLeft w:val="0"/>
          <w:marRight w:val="0"/>
          <w:marTop w:val="0"/>
          <w:marBottom w:val="0"/>
          <w:divBdr>
            <w:top w:val="none" w:sz="0" w:space="0" w:color="auto"/>
            <w:left w:val="none" w:sz="0" w:space="0" w:color="auto"/>
            <w:bottom w:val="none" w:sz="0" w:space="0" w:color="auto"/>
            <w:right w:val="none" w:sz="0" w:space="0" w:color="auto"/>
          </w:divBdr>
        </w:div>
        <w:div w:id="327052438">
          <w:marLeft w:val="0"/>
          <w:marRight w:val="0"/>
          <w:marTop w:val="0"/>
          <w:marBottom w:val="0"/>
          <w:divBdr>
            <w:top w:val="none" w:sz="0" w:space="0" w:color="auto"/>
            <w:left w:val="none" w:sz="0" w:space="0" w:color="auto"/>
            <w:bottom w:val="none" w:sz="0" w:space="0" w:color="auto"/>
            <w:right w:val="none" w:sz="0" w:space="0" w:color="auto"/>
          </w:divBdr>
        </w:div>
      </w:divsChild>
    </w:div>
    <w:div w:id="908004238">
      <w:marLeft w:val="0"/>
      <w:marRight w:val="0"/>
      <w:marTop w:val="120"/>
      <w:marBottom w:val="120"/>
      <w:divBdr>
        <w:top w:val="none" w:sz="0" w:space="0" w:color="auto"/>
        <w:left w:val="none" w:sz="0" w:space="0" w:color="auto"/>
        <w:bottom w:val="none" w:sz="0" w:space="0" w:color="auto"/>
        <w:right w:val="none" w:sz="0" w:space="0" w:color="auto"/>
      </w:divBdr>
    </w:div>
    <w:div w:id="908032664">
      <w:marLeft w:val="0"/>
      <w:marRight w:val="0"/>
      <w:marTop w:val="0"/>
      <w:marBottom w:val="180"/>
      <w:divBdr>
        <w:top w:val="none" w:sz="0" w:space="0" w:color="auto"/>
        <w:left w:val="none" w:sz="0" w:space="0" w:color="auto"/>
        <w:bottom w:val="none" w:sz="0" w:space="0" w:color="auto"/>
        <w:right w:val="none" w:sz="0" w:space="0" w:color="auto"/>
      </w:divBdr>
    </w:div>
    <w:div w:id="913931785">
      <w:marLeft w:val="0"/>
      <w:marRight w:val="0"/>
      <w:marTop w:val="100"/>
      <w:marBottom w:val="100"/>
      <w:divBdr>
        <w:top w:val="none" w:sz="0" w:space="0" w:color="auto"/>
        <w:left w:val="none" w:sz="0" w:space="0" w:color="auto"/>
        <w:bottom w:val="none" w:sz="0" w:space="0" w:color="auto"/>
        <w:right w:val="none" w:sz="0" w:space="0" w:color="auto"/>
      </w:divBdr>
      <w:divsChild>
        <w:div w:id="1347052392">
          <w:marLeft w:val="0"/>
          <w:marRight w:val="0"/>
          <w:marTop w:val="0"/>
          <w:marBottom w:val="0"/>
          <w:divBdr>
            <w:top w:val="none" w:sz="0" w:space="0" w:color="auto"/>
            <w:left w:val="none" w:sz="0" w:space="0" w:color="auto"/>
            <w:bottom w:val="none" w:sz="0" w:space="0" w:color="auto"/>
            <w:right w:val="none" w:sz="0" w:space="0" w:color="auto"/>
          </w:divBdr>
        </w:div>
        <w:div w:id="982152883">
          <w:marLeft w:val="0"/>
          <w:marRight w:val="0"/>
          <w:marTop w:val="0"/>
          <w:marBottom w:val="0"/>
          <w:divBdr>
            <w:top w:val="none" w:sz="0" w:space="0" w:color="auto"/>
            <w:left w:val="none" w:sz="0" w:space="0" w:color="auto"/>
            <w:bottom w:val="none" w:sz="0" w:space="0" w:color="auto"/>
            <w:right w:val="none" w:sz="0" w:space="0" w:color="auto"/>
          </w:divBdr>
        </w:div>
        <w:div w:id="1410422049">
          <w:marLeft w:val="0"/>
          <w:marRight w:val="0"/>
          <w:marTop w:val="0"/>
          <w:marBottom w:val="0"/>
          <w:divBdr>
            <w:top w:val="none" w:sz="0" w:space="0" w:color="auto"/>
            <w:left w:val="none" w:sz="0" w:space="0" w:color="auto"/>
            <w:bottom w:val="none" w:sz="0" w:space="0" w:color="auto"/>
            <w:right w:val="none" w:sz="0" w:space="0" w:color="auto"/>
          </w:divBdr>
        </w:div>
      </w:divsChild>
    </w:div>
    <w:div w:id="914246065">
      <w:marLeft w:val="0"/>
      <w:marRight w:val="0"/>
      <w:marTop w:val="120"/>
      <w:marBottom w:val="120"/>
      <w:divBdr>
        <w:top w:val="none" w:sz="0" w:space="0" w:color="auto"/>
        <w:left w:val="none" w:sz="0" w:space="0" w:color="auto"/>
        <w:bottom w:val="none" w:sz="0" w:space="0" w:color="auto"/>
        <w:right w:val="none" w:sz="0" w:space="0" w:color="auto"/>
      </w:divBdr>
    </w:div>
    <w:div w:id="914703557">
      <w:marLeft w:val="0"/>
      <w:marRight w:val="0"/>
      <w:marTop w:val="0"/>
      <w:marBottom w:val="180"/>
      <w:divBdr>
        <w:top w:val="none" w:sz="0" w:space="0" w:color="auto"/>
        <w:left w:val="none" w:sz="0" w:space="0" w:color="auto"/>
        <w:bottom w:val="none" w:sz="0" w:space="0" w:color="auto"/>
        <w:right w:val="none" w:sz="0" w:space="0" w:color="auto"/>
      </w:divBdr>
    </w:div>
    <w:div w:id="915163934">
      <w:marLeft w:val="0"/>
      <w:marRight w:val="0"/>
      <w:marTop w:val="0"/>
      <w:marBottom w:val="0"/>
      <w:divBdr>
        <w:top w:val="none" w:sz="0" w:space="0" w:color="auto"/>
        <w:left w:val="none" w:sz="0" w:space="0" w:color="auto"/>
        <w:bottom w:val="none" w:sz="0" w:space="0" w:color="auto"/>
        <w:right w:val="none" w:sz="0" w:space="0" w:color="auto"/>
      </w:divBdr>
      <w:divsChild>
        <w:div w:id="1163471669">
          <w:marLeft w:val="0"/>
          <w:marRight w:val="0"/>
          <w:marTop w:val="0"/>
          <w:marBottom w:val="0"/>
          <w:divBdr>
            <w:top w:val="none" w:sz="0" w:space="0" w:color="auto"/>
            <w:left w:val="none" w:sz="0" w:space="0" w:color="auto"/>
            <w:bottom w:val="none" w:sz="0" w:space="0" w:color="auto"/>
            <w:right w:val="none" w:sz="0" w:space="0" w:color="auto"/>
          </w:divBdr>
        </w:div>
      </w:divsChild>
    </w:div>
    <w:div w:id="915360662">
      <w:marLeft w:val="0"/>
      <w:marRight w:val="0"/>
      <w:marTop w:val="0"/>
      <w:marBottom w:val="0"/>
      <w:divBdr>
        <w:top w:val="none" w:sz="0" w:space="0" w:color="auto"/>
        <w:left w:val="none" w:sz="0" w:space="0" w:color="auto"/>
        <w:bottom w:val="none" w:sz="0" w:space="0" w:color="auto"/>
        <w:right w:val="none" w:sz="0" w:space="0" w:color="auto"/>
      </w:divBdr>
    </w:div>
    <w:div w:id="915939672">
      <w:marLeft w:val="0"/>
      <w:marRight w:val="0"/>
      <w:marTop w:val="0"/>
      <w:marBottom w:val="0"/>
      <w:divBdr>
        <w:top w:val="none" w:sz="0" w:space="0" w:color="auto"/>
        <w:left w:val="none" w:sz="0" w:space="0" w:color="auto"/>
        <w:bottom w:val="none" w:sz="0" w:space="0" w:color="auto"/>
        <w:right w:val="none" w:sz="0" w:space="0" w:color="auto"/>
      </w:divBdr>
      <w:divsChild>
        <w:div w:id="903612758">
          <w:marLeft w:val="0"/>
          <w:marRight w:val="0"/>
          <w:marTop w:val="0"/>
          <w:marBottom w:val="0"/>
          <w:divBdr>
            <w:top w:val="none" w:sz="0" w:space="0" w:color="auto"/>
            <w:left w:val="none" w:sz="0" w:space="0" w:color="auto"/>
            <w:bottom w:val="none" w:sz="0" w:space="0" w:color="auto"/>
            <w:right w:val="none" w:sz="0" w:space="0" w:color="auto"/>
          </w:divBdr>
        </w:div>
      </w:divsChild>
    </w:div>
    <w:div w:id="917906352">
      <w:marLeft w:val="0"/>
      <w:marRight w:val="0"/>
      <w:marTop w:val="100"/>
      <w:marBottom w:val="100"/>
      <w:divBdr>
        <w:top w:val="none" w:sz="0" w:space="0" w:color="auto"/>
        <w:left w:val="none" w:sz="0" w:space="0" w:color="auto"/>
        <w:bottom w:val="none" w:sz="0" w:space="0" w:color="auto"/>
        <w:right w:val="none" w:sz="0" w:space="0" w:color="auto"/>
      </w:divBdr>
      <w:divsChild>
        <w:div w:id="782649417">
          <w:marLeft w:val="0"/>
          <w:marRight w:val="0"/>
          <w:marTop w:val="0"/>
          <w:marBottom w:val="0"/>
          <w:divBdr>
            <w:top w:val="none" w:sz="0" w:space="0" w:color="auto"/>
            <w:left w:val="none" w:sz="0" w:space="0" w:color="auto"/>
            <w:bottom w:val="none" w:sz="0" w:space="0" w:color="auto"/>
            <w:right w:val="none" w:sz="0" w:space="0" w:color="auto"/>
          </w:divBdr>
        </w:div>
        <w:div w:id="627006733">
          <w:marLeft w:val="0"/>
          <w:marRight w:val="0"/>
          <w:marTop w:val="0"/>
          <w:marBottom w:val="0"/>
          <w:divBdr>
            <w:top w:val="none" w:sz="0" w:space="0" w:color="auto"/>
            <w:left w:val="none" w:sz="0" w:space="0" w:color="auto"/>
            <w:bottom w:val="none" w:sz="0" w:space="0" w:color="auto"/>
            <w:right w:val="none" w:sz="0" w:space="0" w:color="auto"/>
          </w:divBdr>
        </w:div>
      </w:divsChild>
    </w:div>
    <w:div w:id="922564561">
      <w:marLeft w:val="0"/>
      <w:marRight w:val="0"/>
      <w:marTop w:val="120"/>
      <w:marBottom w:val="120"/>
      <w:divBdr>
        <w:top w:val="none" w:sz="0" w:space="0" w:color="auto"/>
        <w:left w:val="none" w:sz="0" w:space="0" w:color="auto"/>
        <w:bottom w:val="none" w:sz="0" w:space="0" w:color="auto"/>
        <w:right w:val="none" w:sz="0" w:space="0" w:color="auto"/>
      </w:divBdr>
    </w:div>
    <w:div w:id="923806288">
      <w:marLeft w:val="0"/>
      <w:marRight w:val="0"/>
      <w:marTop w:val="120"/>
      <w:marBottom w:val="120"/>
      <w:divBdr>
        <w:top w:val="none" w:sz="0" w:space="0" w:color="auto"/>
        <w:left w:val="none" w:sz="0" w:space="0" w:color="auto"/>
        <w:bottom w:val="none" w:sz="0" w:space="0" w:color="auto"/>
        <w:right w:val="none" w:sz="0" w:space="0" w:color="auto"/>
      </w:divBdr>
    </w:div>
    <w:div w:id="924532457">
      <w:marLeft w:val="0"/>
      <w:marRight w:val="0"/>
      <w:marTop w:val="100"/>
      <w:marBottom w:val="100"/>
      <w:divBdr>
        <w:top w:val="none" w:sz="0" w:space="0" w:color="auto"/>
        <w:left w:val="none" w:sz="0" w:space="0" w:color="auto"/>
        <w:bottom w:val="none" w:sz="0" w:space="0" w:color="auto"/>
        <w:right w:val="none" w:sz="0" w:space="0" w:color="auto"/>
      </w:divBdr>
      <w:divsChild>
        <w:div w:id="2021883388">
          <w:marLeft w:val="0"/>
          <w:marRight w:val="0"/>
          <w:marTop w:val="40"/>
          <w:marBottom w:val="40"/>
          <w:divBdr>
            <w:top w:val="none" w:sz="0" w:space="0" w:color="auto"/>
            <w:left w:val="none" w:sz="0" w:space="0" w:color="auto"/>
            <w:bottom w:val="none" w:sz="0" w:space="0" w:color="auto"/>
            <w:right w:val="none" w:sz="0" w:space="0" w:color="auto"/>
          </w:divBdr>
        </w:div>
        <w:div w:id="1424300464">
          <w:marLeft w:val="0"/>
          <w:marRight w:val="0"/>
          <w:marTop w:val="40"/>
          <w:marBottom w:val="40"/>
          <w:divBdr>
            <w:top w:val="none" w:sz="0" w:space="0" w:color="auto"/>
            <w:left w:val="none" w:sz="0" w:space="0" w:color="auto"/>
            <w:bottom w:val="none" w:sz="0" w:space="0" w:color="auto"/>
            <w:right w:val="none" w:sz="0" w:space="0" w:color="auto"/>
          </w:divBdr>
        </w:div>
        <w:div w:id="242765325">
          <w:marLeft w:val="0"/>
          <w:marRight w:val="0"/>
          <w:marTop w:val="40"/>
          <w:marBottom w:val="40"/>
          <w:divBdr>
            <w:top w:val="none" w:sz="0" w:space="0" w:color="auto"/>
            <w:left w:val="none" w:sz="0" w:space="0" w:color="auto"/>
            <w:bottom w:val="none" w:sz="0" w:space="0" w:color="auto"/>
            <w:right w:val="none" w:sz="0" w:space="0" w:color="auto"/>
          </w:divBdr>
        </w:div>
        <w:div w:id="1768501707">
          <w:marLeft w:val="0"/>
          <w:marRight w:val="0"/>
          <w:marTop w:val="40"/>
          <w:marBottom w:val="40"/>
          <w:divBdr>
            <w:top w:val="none" w:sz="0" w:space="0" w:color="auto"/>
            <w:left w:val="none" w:sz="0" w:space="0" w:color="auto"/>
            <w:bottom w:val="none" w:sz="0" w:space="0" w:color="auto"/>
            <w:right w:val="none" w:sz="0" w:space="0" w:color="auto"/>
          </w:divBdr>
        </w:div>
      </w:divsChild>
    </w:div>
    <w:div w:id="928388734">
      <w:marLeft w:val="0"/>
      <w:marRight w:val="0"/>
      <w:marTop w:val="0"/>
      <w:marBottom w:val="180"/>
      <w:divBdr>
        <w:top w:val="none" w:sz="0" w:space="0" w:color="auto"/>
        <w:left w:val="none" w:sz="0" w:space="0" w:color="auto"/>
        <w:bottom w:val="none" w:sz="0" w:space="0" w:color="auto"/>
        <w:right w:val="none" w:sz="0" w:space="0" w:color="auto"/>
      </w:divBdr>
    </w:div>
    <w:div w:id="929386748">
      <w:marLeft w:val="0"/>
      <w:marRight w:val="0"/>
      <w:marTop w:val="120"/>
      <w:marBottom w:val="120"/>
      <w:divBdr>
        <w:top w:val="none" w:sz="0" w:space="0" w:color="auto"/>
        <w:left w:val="none" w:sz="0" w:space="0" w:color="auto"/>
        <w:bottom w:val="none" w:sz="0" w:space="0" w:color="auto"/>
        <w:right w:val="none" w:sz="0" w:space="0" w:color="auto"/>
      </w:divBdr>
    </w:div>
    <w:div w:id="930546216">
      <w:marLeft w:val="0"/>
      <w:marRight w:val="0"/>
      <w:marTop w:val="0"/>
      <w:marBottom w:val="240"/>
      <w:divBdr>
        <w:top w:val="none" w:sz="0" w:space="0" w:color="auto"/>
        <w:left w:val="none" w:sz="0" w:space="0" w:color="auto"/>
        <w:bottom w:val="none" w:sz="0" w:space="0" w:color="auto"/>
        <w:right w:val="none" w:sz="0" w:space="0" w:color="auto"/>
      </w:divBdr>
    </w:div>
    <w:div w:id="932515124">
      <w:marLeft w:val="0"/>
      <w:marRight w:val="0"/>
      <w:marTop w:val="0"/>
      <w:marBottom w:val="180"/>
      <w:divBdr>
        <w:top w:val="none" w:sz="0" w:space="0" w:color="auto"/>
        <w:left w:val="none" w:sz="0" w:space="0" w:color="auto"/>
        <w:bottom w:val="none" w:sz="0" w:space="0" w:color="auto"/>
        <w:right w:val="none" w:sz="0" w:space="0" w:color="auto"/>
      </w:divBdr>
    </w:div>
    <w:div w:id="934241187">
      <w:marLeft w:val="0"/>
      <w:marRight w:val="0"/>
      <w:marTop w:val="0"/>
      <w:marBottom w:val="0"/>
      <w:divBdr>
        <w:top w:val="none" w:sz="0" w:space="0" w:color="auto"/>
        <w:left w:val="none" w:sz="0" w:space="0" w:color="auto"/>
        <w:bottom w:val="none" w:sz="0" w:space="0" w:color="auto"/>
        <w:right w:val="none" w:sz="0" w:space="0" w:color="auto"/>
      </w:divBdr>
    </w:div>
    <w:div w:id="934939557">
      <w:marLeft w:val="0"/>
      <w:marRight w:val="0"/>
      <w:marTop w:val="180"/>
      <w:marBottom w:val="180"/>
      <w:divBdr>
        <w:top w:val="none" w:sz="0" w:space="0" w:color="auto"/>
        <w:left w:val="none" w:sz="0" w:space="0" w:color="auto"/>
        <w:bottom w:val="none" w:sz="0" w:space="0" w:color="auto"/>
        <w:right w:val="none" w:sz="0" w:space="0" w:color="auto"/>
      </w:divBdr>
    </w:div>
    <w:div w:id="936402490">
      <w:marLeft w:val="0"/>
      <w:marRight w:val="0"/>
      <w:marTop w:val="0"/>
      <w:marBottom w:val="0"/>
      <w:divBdr>
        <w:top w:val="none" w:sz="0" w:space="0" w:color="auto"/>
        <w:left w:val="none" w:sz="0" w:space="0" w:color="auto"/>
        <w:bottom w:val="none" w:sz="0" w:space="0" w:color="auto"/>
        <w:right w:val="none" w:sz="0" w:space="0" w:color="auto"/>
      </w:divBdr>
      <w:divsChild>
        <w:div w:id="1150445904">
          <w:marLeft w:val="0"/>
          <w:marRight w:val="0"/>
          <w:marTop w:val="0"/>
          <w:marBottom w:val="0"/>
          <w:divBdr>
            <w:top w:val="none" w:sz="0" w:space="0" w:color="auto"/>
            <w:left w:val="none" w:sz="0" w:space="0" w:color="auto"/>
            <w:bottom w:val="none" w:sz="0" w:space="0" w:color="auto"/>
            <w:right w:val="none" w:sz="0" w:space="0" w:color="auto"/>
          </w:divBdr>
        </w:div>
      </w:divsChild>
    </w:div>
    <w:div w:id="937372386">
      <w:marLeft w:val="0"/>
      <w:marRight w:val="0"/>
      <w:marTop w:val="0"/>
      <w:marBottom w:val="240"/>
      <w:divBdr>
        <w:top w:val="none" w:sz="0" w:space="0" w:color="auto"/>
        <w:left w:val="none" w:sz="0" w:space="0" w:color="auto"/>
        <w:bottom w:val="none" w:sz="0" w:space="0" w:color="auto"/>
        <w:right w:val="none" w:sz="0" w:space="0" w:color="auto"/>
      </w:divBdr>
    </w:div>
    <w:div w:id="937785971">
      <w:marLeft w:val="0"/>
      <w:marRight w:val="0"/>
      <w:marTop w:val="0"/>
      <w:marBottom w:val="180"/>
      <w:divBdr>
        <w:top w:val="none" w:sz="0" w:space="0" w:color="auto"/>
        <w:left w:val="none" w:sz="0" w:space="0" w:color="auto"/>
        <w:bottom w:val="none" w:sz="0" w:space="0" w:color="auto"/>
        <w:right w:val="none" w:sz="0" w:space="0" w:color="auto"/>
      </w:divBdr>
    </w:div>
    <w:div w:id="940069641">
      <w:marLeft w:val="0"/>
      <w:marRight w:val="0"/>
      <w:marTop w:val="0"/>
      <w:marBottom w:val="0"/>
      <w:divBdr>
        <w:top w:val="none" w:sz="0" w:space="0" w:color="auto"/>
        <w:left w:val="none" w:sz="0" w:space="0" w:color="auto"/>
        <w:bottom w:val="none" w:sz="0" w:space="0" w:color="auto"/>
        <w:right w:val="none" w:sz="0" w:space="0" w:color="auto"/>
      </w:divBdr>
    </w:div>
    <w:div w:id="941642515">
      <w:marLeft w:val="0"/>
      <w:marRight w:val="0"/>
      <w:marTop w:val="0"/>
      <w:marBottom w:val="0"/>
      <w:divBdr>
        <w:top w:val="none" w:sz="0" w:space="0" w:color="auto"/>
        <w:left w:val="none" w:sz="0" w:space="0" w:color="auto"/>
        <w:bottom w:val="none" w:sz="0" w:space="0" w:color="auto"/>
        <w:right w:val="none" w:sz="0" w:space="0" w:color="auto"/>
      </w:divBdr>
    </w:div>
    <w:div w:id="947930903">
      <w:marLeft w:val="0"/>
      <w:marRight w:val="0"/>
      <w:marTop w:val="0"/>
      <w:marBottom w:val="0"/>
      <w:divBdr>
        <w:top w:val="none" w:sz="0" w:space="0" w:color="auto"/>
        <w:left w:val="none" w:sz="0" w:space="0" w:color="auto"/>
        <w:bottom w:val="none" w:sz="0" w:space="0" w:color="auto"/>
        <w:right w:val="none" w:sz="0" w:space="0" w:color="auto"/>
      </w:divBdr>
      <w:divsChild>
        <w:div w:id="370039589">
          <w:marLeft w:val="0"/>
          <w:marRight w:val="0"/>
          <w:marTop w:val="0"/>
          <w:marBottom w:val="0"/>
          <w:divBdr>
            <w:top w:val="none" w:sz="0" w:space="0" w:color="auto"/>
            <w:left w:val="none" w:sz="0" w:space="0" w:color="auto"/>
            <w:bottom w:val="none" w:sz="0" w:space="0" w:color="auto"/>
            <w:right w:val="none" w:sz="0" w:space="0" w:color="auto"/>
          </w:divBdr>
        </w:div>
      </w:divsChild>
    </w:div>
    <w:div w:id="949899453">
      <w:marLeft w:val="0"/>
      <w:marRight w:val="0"/>
      <w:marTop w:val="120"/>
      <w:marBottom w:val="120"/>
      <w:divBdr>
        <w:top w:val="none" w:sz="0" w:space="0" w:color="auto"/>
        <w:left w:val="none" w:sz="0" w:space="0" w:color="auto"/>
        <w:bottom w:val="none" w:sz="0" w:space="0" w:color="auto"/>
        <w:right w:val="none" w:sz="0" w:space="0" w:color="auto"/>
      </w:divBdr>
    </w:div>
    <w:div w:id="950743868">
      <w:marLeft w:val="0"/>
      <w:marRight w:val="0"/>
      <w:marTop w:val="120"/>
      <w:marBottom w:val="120"/>
      <w:divBdr>
        <w:top w:val="none" w:sz="0" w:space="0" w:color="auto"/>
        <w:left w:val="none" w:sz="0" w:space="0" w:color="auto"/>
        <w:bottom w:val="none" w:sz="0" w:space="0" w:color="auto"/>
        <w:right w:val="none" w:sz="0" w:space="0" w:color="auto"/>
      </w:divBdr>
    </w:div>
    <w:div w:id="951788113">
      <w:marLeft w:val="0"/>
      <w:marRight w:val="0"/>
      <w:marTop w:val="0"/>
      <w:marBottom w:val="0"/>
      <w:divBdr>
        <w:top w:val="none" w:sz="0" w:space="0" w:color="auto"/>
        <w:left w:val="none" w:sz="0" w:space="0" w:color="auto"/>
        <w:bottom w:val="none" w:sz="0" w:space="0" w:color="auto"/>
        <w:right w:val="none" w:sz="0" w:space="0" w:color="auto"/>
      </w:divBdr>
      <w:divsChild>
        <w:div w:id="1227182087">
          <w:marLeft w:val="0"/>
          <w:marRight w:val="0"/>
          <w:marTop w:val="0"/>
          <w:marBottom w:val="0"/>
          <w:divBdr>
            <w:top w:val="none" w:sz="0" w:space="0" w:color="auto"/>
            <w:left w:val="none" w:sz="0" w:space="0" w:color="auto"/>
            <w:bottom w:val="none" w:sz="0" w:space="0" w:color="auto"/>
            <w:right w:val="none" w:sz="0" w:space="0" w:color="auto"/>
          </w:divBdr>
        </w:div>
      </w:divsChild>
    </w:div>
    <w:div w:id="953290267">
      <w:marLeft w:val="0"/>
      <w:marRight w:val="0"/>
      <w:marTop w:val="0"/>
      <w:marBottom w:val="0"/>
      <w:divBdr>
        <w:top w:val="none" w:sz="0" w:space="0" w:color="auto"/>
        <w:left w:val="none" w:sz="0" w:space="0" w:color="auto"/>
        <w:bottom w:val="none" w:sz="0" w:space="0" w:color="auto"/>
        <w:right w:val="none" w:sz="0" w:space="0" w:color="auto"/>
      </w:divBdr>
    </w:div>
    <w:div w:id="956907375">
      <w:marLeft w:val="0"/>
      <w:marRight w:val="0"/>
      <w:marTop w:val="0"/>
      <w:marBottom w:val="0"/>
      <w:divBdr>
        <w:top w:val="none" w:sz="0" w:space="0" w:color="auto"/>
        <w:left w:val="none" w:sz="0" w:space="0" w:color="auto"/>
        <w:bottom w:val="none" w:sz="0" w:space="0" w:color="auto"/>
        <w:right w:val="none" w:sz="0" w:space="0" w:color="auto"/>
      </w:divBdr>
      <w:divsChild>
        <w:div w:id="1020935287">
          <w:marLeft w:val="0"/>
          <w:marRight w:val="0"/>
          <w:marTop w:val="0"/>
          <w:marBottom w:val="0"/>
          <w:divBdr>
            <w:top w:val="none" w:sz="0" w:space="0" w:color="auto"/>
            <w:left w:val="none" w:sz="0" w:space="0" w:color="auto"/>
            <w:bottom w:val="none" w:sz="0" w:space="0" w:color="auto"/>
            <w:right w:val="none" w:sz="0" w:space="0" w:color="auto"/>
          </w:divBdr>
          <w:divsChild>
            <w:div w:id="1298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9542">
      <w:marLeft w:val="0"/>
      <w:marRight w:val="0"/>
      <w:marTop w:val="0"/>
      <w:marBottom w:val="0"/>
      <w:divBdr>
        <w:top w:val="none" w:sz="0" w:space="0" w:color="auto"/>
        <w:left w:val="none" w:sz="0" w:space="0" w:color="auto"/>
        <w:bottom w:val="none" w:sz="0" w:space="0" w:color="auto"/>
        <w:right w:val="none" w:sz="0" w:space="0" w:color="auto"/>
      </w:divBdr>
    </w:div>
    <w:div w:id="957881984">
      <w:marLeft w:val="0"/>
      <w:marRight w:val="0"/>
      <w:marTop w:val="0"/>
      <w:marBottom w:val="0"/>
      <w:divBdr>
        <w:top w:val="none" w:sz="0" w:space="0" w:color="auto"/>
        <w:left w:val="none" w:sz="0" w:space="0" w:color="auto"/>
        <w:bottom w:val="none" w:sz="0" w:space="0" w:color="auto"/>
        <w:right w:val="none" w:sz="0" w:space="0" w:color="auto"/>
      </w:divBdr>
      <w:divsChild>
        <w:div w:id="1148783425">
          <w:marLeft w:val="0"/>
          <w:marRight w:val="0"/>
          <w:marTop w:val="0"/>
          <w:marBottom w:val="0"/>
          <w:divBdr>
            <w:top w:val="none" w:sz="0" w:space="0" w:color="auto"/>
            <w:left w:val="none" w:sz="0" w:space="0" w:color="auto"/>
            <w:bottom w:val="none" w:sz="0" w:space="0" w:color="auto"/>
            <w:right w:val="none" w:sz="0" w:space="0" w:color="auto"/>
          </w:divBdr>
        </w:div>
      </w:divsChild>
    </w:div>
    <w:div w:id="960843076">
      <w:marLeft w:val="0"/>
      <w:marRight w:val="0"/>
      <w:marTop w:val="0"/>
      <w:marBottom w:val="0"/>
      <w:divBdr>
        <w:top w:val="none" w:sz="0" w:space="0" w:color="auto"/>
        <w:left w:val="none" w:sz="0" w:space="0" w:color="auto"/>
        <w:bottom w:val="none" w:sz="0" w:space="0" w:color="auto"/>
        <w:right w:val="none" w:sz="0" w:space="0" w:color="auto"/>
      </w:divBdr>
    </w:div>
    <w:div w:id="964433553">
      <w:marLeft w:val="0"/>
      <w:marRight w:val="0"/>
      <w:marTop w:val="0"/>
      <w:marBottom w:val="180"/>
      <w:divBdr>
        <w:top w:val="none" w:sz="0" w:space="0" w:color="auto"/>
        <w:left w:val="none" w:sz="0" w:space="0" w:color="auto"/>
        <w:bottom w:val="none" w:sz="0" w:space="0" w:color="auto"/>
        <w:right w:val="none" w:sz="0" w:space="0" w:color="auto"/>
      </w:divBdr>
    </w:div>
    <w:div w:id="964890366">
      <w:marLeft w:val="0"/>
      <w:marRight w:val="0"/>
      <w:marTop w:val="0"/>
      <w:marBottom w:val="180"/>
      <w:divBdr>
        <w:top w:val="none" w:sz="0" w:space="0" w:color="auto"/>
        <w:left w:val="none" w:sz="0" w:space="0" w:color="auto"/>
        <w:bottom w:val="none" w:sz="0" w:space="0" w:color="auto"/>
        <w:right w:val="none" w:sz="0" w:space="0" w:color="auto"/>
      </w:divBdr>
    </w:div>
    <w:div w:id="965280542">
      <w:marLeft w:val="0"/>
      <w:marRight w:val="0"/>
      <w:marTop w:val="240"/>
      <w:marBottom w:val="240"/>
      <w:divBdr>
        <w:top w:val="none" w:sz="0" w:space="0" w:color="auto"/>
        <w:left w:val="none" w:sz="0" w:space="0" w:color="auto"/>
        <w:bottom w:val="none" w:sz="0" w:space="0" w:color="auto"/>
        <w:right w:val="none" w:sz="0" w:space="0" w:color="auto"/>
      </w:divBdr>
    </w:div>
    <w:div w:id="965695720">
      <w:marLeft w:val="0"/>
      <w:marRight w:val="0"/>
      <w:marTop w:val="0"/>
      <w:marBottom w:val="240"/>
      <w:divBdr>
        <w:top w:val="none" w:sz="0" w:space="0" w:color="auto"/>
        <w:left w:val="none" w:sz="0" w:space="0" w:color="auto"/>
        <w:bottom w:val="none" w:sz="0" w:space="0" w:color="auto"/>
        <w:right w:val="none" w:sz="0" w:space="0" w:color="auto"/>
      </w:divBdr>
    </w:div>
    <w:div w:id="966815417">
      <w:marLeft w:val="0"/>
      <w:marRight w:val="0"/>
      <w:marTop w:val="120"/>
      <w:marBottom w:val="180"/>
      <w:divBdr>
        <w:top w:val="none" w:sz="0" w:space="0" w:color="auto"/>
        <w:left w:val="none" w:sz="0" w:space="0" w:color="auto"/>
        <w:bottom w:val="none" w:sz="0" w:space="0" w:color="auto"/>
        <w:right w:val="none" w:sz="0" w:space="0" w:color="auto"/>
      </w:divBdr>
    </w:div>
    <w:div w:id="966929223">
      <w:marLeft w:val="0"/>
      <w:marRight w:val="0"/>
      <w:marTop w:val="0"/>
      <w:marBottom w:val="0"/>
      <w:divBdr>
        <w:top w:val="none" w:sz="0" w:space="0" w:color="auto"/>
        <w:left w:val="none" w:sz="0" w:space="0" w:color="auto"/>
        <w:bottom w:val="none" w:sz="0" w:space="0" w:color="auto"/>
        <w:right w:val="none" w:sz="0" w:space="0" w:color="auto"/>
      </w:divBdr>
      <w:divsChild>
        <w:div w:id="1011032988">
          <w:marLeft w:val="0"/>
          <w:marRight w:val="0"/>
          <w:marTop w:val="0"/>
          <w:marBottom w:val="0"/>
          <w:divBdr>
            <w:top w:val="none" w:sz="0" w:space="0" w:color="auto"/>
            <w:left w:val="none" w:sz="0" w:space="0" w:color="auto"/>
            <w:bottom w:val="none" w:sz="0" w:space="0" w:color="auto"/>
            <w:right w:val="none" w:sz="0" w:space="0" w:color="auto"/>
          </w:divBdr>
        </w:div>
      </w:divsChild>
    </w:div>
    <w:div w:id="969021399">
      <w:marLeft w:val="0"/>
      <w:marRight w:val="0"/>
      <w:marTop w:val="0"/>
      <w:marBottom w:val="180"/>
      <w:divBdr>
        <w:top w:val="none" w:sz="0" w:space="0" w:color="auto"/>
        <w:left w:val="none" w:sz="0" w:space="0" w:color="auto"/>
        <w:bottom w:val="none" w:sz="0" w:space="0" w:color="auto"/>
        <w:right w:val="none" w:sz="0" w:space="0" w:color="auto"/>
      </w:divBdr>
    </w:div>
    <w:div w:id="969213467">
      <w:marLeft w:val="0"/>
      <w:marRight w:val="0"/>
      <w:marTop w:val="180"/>
      <w:marBottom w:val="180"/>
      <w:divBdr>
        <w:top w:val="none" w:sz="0" w:space="0" w:color="auto"/>
        <w:left w:val="none" w:sz="0" w:space="0" w:color="auto"/>
        <w:bottom w:val="none" w:sz="0" w:space="0" w:color="auto"/>
        <w:right w:val="none" w:sz="0" w:space="0" w:color="auto"/>
      </w:divBdr>
    </w:div>
    <w:div w:id="969285537">
      <w:marLeft w:val="0"/>
      <w:marRight w:val="0"/>
      <w:marTop w:val="0"/>
      <w:marBottom w:val="0"/>
      <w:divBdr>
        <w:top w:val="none" w:sz="0" w:space="0" w:color="auto"/>
        <w:left w:val="none" w:sz="0" w:space="0" w:color="auto"/>
        <w:bottom w:val="none" w:sz="0" w:space="0" w:color="auto"/>
        <w:right w:val="none" w:sz="0" w:space="0" w:color="auto"/>
      </w:divBdr>
    </w:div>
    <w:div w:id="971210695">
      <w:marLeft w:val="0"/>
      <w:marRight w:val="0"/>
      <w:marTop w:val="180"/>
      <w:marBottom w:val="180"/>
      <w:divBdr>
        <w:top w:val="none" w:sz="0" w:space="0" w:color="auto"/>
        <w:left w:val="none" w:sz="0" w:space="0" w:color="auto"/>
        <w:bottom w:val="none" w:sz="0" w:space="0" w:color="auto"/>
        <w:right w:val="none" w:sz="0" w:space="0" w:color="auto"/>
      </w:divBdr>
    </w:div>
    <w:div w:id="974916863">
      <w:marLeft w:val="0"/>
      <w:marRight w:val="0"/>
      <w:marTop w:val="240"/>
      <w:marBottom w:val="240"/>
      <w:divBdr>
        <w:top w:val="none" w:sz="0" w:space="0" w:color="auto"/>
        <w:left w:val="none" w:sz="0" w:space="0" w:color="auto"/>
        <w:bottom w:val="none" w:sz="0" w:space="0" w:color="auto"/>
        <w:right w:val="none" w:sz="0" w:space="0" w:color="auto"/>
      </w:divBdr>
    </w:div>
    <w:div w:id="975374265">
      <w:marLeft w:val="0"/>
      <w:marRight w:val="0"/>
      <w:marTop w:val="0"/>
      <w:marBottom w:val="180"/>
      <w:divBdr>
        <w:top w:val="none" w:sz="0" w:space="0" w:color="auto"/>
        <w:left w:val="none" w:sz="0" w:space="0" w:color="auto"/>
        <w:bottom w:val="none" w:sz="0" w:space="0" w:color="auto"/>
        <w:right w:val="none" w:sz="0" w:space="0" w:color="auto"/>
      </w:divBdr>
    </w:div>
    <w:div w:id="975719877">
      <w:marLeft w:val="0"/>
      <w:marRight w:val="0"/>
      <w:marTop w:val="0"/>
      <w:marBottom w:val="0"/>
      <w:divBdr>
        <w:top w:val="none" w:sz="0" w:space="0" w:color="auto"/>
        <w:left w:val="none" w:sz="0" w:space="0" w:color="auto"/>
        <w:bottom w:val="none" w:sz="0" w:space="0" w:color="auto"/>
        <w:right w:val="none" w:sz="0" w:space="0" w:color="auto"/>
      </w:divBdr>
      <w:divsChild>
        <w:div w:id="1947811686">
          <w:marLeft w:val="0"/>
          <w:marRight w:val="0"/>
          <w:marTop w:val="0"/>
          <w:marBottom w:val="0"/>
          <w:divBdr>
            <w:top w:val="none" w:sz="0" w:space="0" w:color="auto"/>
            <w:left w:val="none" w:sz="0" w:space="0" w:color="auto"/>
            <w:bottom w:val="none" w:sz="0" w:space="0" w:color="auto"/>
            <w:right w:val="none" w:sz="0" w:space="0" w:color="auto"/>
          </w:divBdr>
        </w:div>
      </w:divsChild>
    </w:div>
    <w:div w:id="977685648">
      <w:marLeft w:val="0"/>
      <w:marRight w:val="0"/>
      <w:marTop w:val="0"/>
      <w:marBottom w:val="240"/>
      <w:divBdr>
        <w:top w:val="none" w:sz="0" w:space="0" w:color="auto"/>
        <w:left w:val="none" w:sz="0" w:space="0" w:color="auto"/>
        <w:bottom w:val="none" w:sz="0" w:space="0" w:color="auto"/>
        <w:right w:val="none" w:sz="0" w:space="0" w:color="auto"/>
      </w:divBdr>
    </w:div>
    <w:div w:id="983657695">
      <w:marLeft w:val="0"/>
      <w:marRight w:val="0"/>
      <w:marTop w:val="0"/>
      <w:marBottom w:val="0"/>
      <w:divBdr>
        <w:top w:val="none" w:sz="0" w:space="0" w:color="auto"/>
        <w:left w:val="none" w:sz="0" w:space="0" w:color="auto"/>
        <w:bottom w:val="none" w:sz="0" w:space="0" w:color="auto"/>
        <w:right w:val="none" w:sz="0" w:space="0" w:color="auto"/>
      </w:divBdr>
    </w:div>
    <w:div w:id="988362908">
      <w:marLeft w:val="0"/>
      <w:marRight w:val="0"/>
      <w:marTop w:val="0"/>
      <w:marBottom w:val="0"/>
      <w:divBdr>
        <w:top w:val="none" w:sz="0" w:space="0" w:color="auto"/>
        <w:left w:val="none" w:sz="0" w:space="0" w:color="auto"/>
        <w:bottom w:val="none" w:sz="0" w:space="0" w:color="auto"/>
        <w:right w:val="none" w:sz="0" w:space="0" w:color="auto"/>
      </w:divBdr>
      <w:divsChild>
        <w:div w:id="92482261">
          <w:marLeft w:val="0"/>
          <w:marRight w:val="0"/>
          <w:marTop w:val="0"/>
          <w:marBottom w:val="0"/>
          <w:divBdr>
            <w:top w:val="none" w:sz="0" w:space="0" w:color="auto"/>
            <w:left w:val="none" w:sz="0" w:space="0" w:color="auto"/>
            <w:bottom w:val="none" w:sz="0" w:space="0" w:color="auto"/>
            <w:right w:val="none" w:sz="0" w:space="0" w:color="auto"/>
          </w:divBdr>
        </w:div>
      </w:divsChild>
    </w:div>
    <w:div w:id="989481523">
      <w:marLeft w:val="0"/>
      <w:marRight w:val="0"/>
      <w:marTop w:val="0"/>
      <w:marBottom w:val="0"/>
      <w:divBdr>
        <w:top w:val="none" w:sz="0" w:space="0" w:color="auto"/>
        <w:left w:val="none" w:sz="0" w:space="0" w:color="auto"/>
        <w:bottom w:val="none" w:sz="0" w:space="0" w:color="auto"/>
        <w:right w:val="none" w:sz="0" w:space="0" w:color="auto"/>
      </w:divBdr>
      <w:divsChild>
        <w:div w:id="1196652287">
          <w:marLeft w:val="0"/>
          <w:marRight w:val="0"/>
          <w:marTop w:val="0"/>
          <w:marBottom w:val="0"/>
          <w:divBdr>
            <w:top w:val="none" w:sz="0" w:space="0" w:color="auto"/>
            <w:left w:val="none" w:sz="0" w:space="0" w:color="auto"/>
            <w:bottom w:val="none" w:sz="0" w:space="0" w:color="auto"/>
            <w:right w:val="none" w:sz="0" w:space="0" w:color="auto"/>
          </w:divBdr>
        </w:div>
      </w:divsChild>
    </w:div>
    <w:div w:id="992677364">
      <w:marLeft w:val="0"/>
      <w:marRight w:val="0"/>
      <w:marTop w:val="0"/>
      <w:marBottom w:val="180"/>
      <w:divBdr>
        <w:top w:val="none" w:sz="0" w:space="0" w:color="auto"/>
        <w:left w:val="none" w:sz="0" w:space="0" w:color="auto"/>
        <w:bottom w:val="none" w:sz="0" w:space="0" w:color="auto"/>
        <w:right w:val="none" w:sz="0" w:space="0" w:color="auto"/>
      </w:divBdr>
    </w:div>
    <w:div w:id="992836576">
      <w:marLeft w:val="0"/>
      <w:marRight w:val="0"/>
      <w:marTop w:val="180"/>
      <w:marBottom w:val="180"/>
      <w:divBdr>
        <w:top w:val="none" w:sz="0" w:space="0" w:color="auto"/>
        <w:left w:val="none" w:sz="0" w:space="0" w:color="auto"/>
        <w:bottom w:val="none" w:sz="0" w:space="0" w:color="auto"/>
        <w:right w:val="none" w:sz="0" w:space="0" w:color="auto"/>
      </w:divBdr>
    </w:div>
    <w:div w:id="999621590">
      <w:marLeft w:val="0"/>
      <w:marRight w:val="0"/>
      <w:marTop w:val="0"/>
      <w:marBottom w:val="0"/>
      <w:divBdr>
        <w:top w:val="none" w:sz="0" w:space="0" w:color="auto"/>
        <w:left w:val="none" w:sz="0" w:space="0" w:color="auto"/>
        <w:bottom w:val="none" w:sz="0" w:space="0" w:color="auto"/>
        <w:right w:val="none" w:sz="0" w:space="0" w:color="auto"/>
      </w:divBdr>
      <w:divsChild>
        <w:div w:id="176778809">
          <w:marLeft w:val="0"/>
          <w:marRight w:val="0"/>
          <w:marTop w:val="0"/>
          <w:marBottom w:val="0"/>
          <w:divBdr>
            <w:top w:val="none" w:sz="0" w:space="0" w:color="auto"/>
            <w:left w:val="none" w:sz="0" w:space="0" w:color="auto"/>
            <w:bottom w:val="none" w:sz="0" w:space="0" w:color="auto"/>
            <w:right w:val="none" w:sz="0" w:space="0" w:color="auto"/>
          </w:divBdr>
        </w:div>
      </w:divsChild>
    </w:div>
    <w:div w:id="999698060">
      <w:marLeft w:val="0"/>
      <w:marRight w:val="0"/>
      <w:marTop w:val="180"/>
      <w:marBottom w:val="240"/>
      <w:divBdr>
        <w:top w:val="none" w:sz="0" w:space="0" w:color="auto"/>
        <w:left w:val="none" w:sz="0" w:space="0" w:color="auto"/>
        <w:bottom w:val="none" w:sz="0" w:space="0" w:color="auto"/>
        <w:right w:val="none" w:sz="0" w:space="0" w:color="auto"/>
      </w:divBdr>
    </w:div>
    <w:div w:id="1002198854">
      <w:marLeft w:val="0"/>
      <w:marRight w:val="0"/>
      <w:marTop w:val="0"/>
      <w:marBottom w:val="240"/>
      <w:divBdr>
        <w:top w:val="none" w:sz="0" w:space="0" w:color="auto"/>
        <w:left w:val="none" w:sz="0" w:space="0" w:color="auto"/>
        <w:bottom w:val="none" w:sz="0" w:space="0" w:color="auto"/>
        <w:right w:val="none" w:sz="0" w:space="0" w:color="auto"/>
      </w:divBdr>
    </w:div>
    <w:div w:id="1002583250">
      <w:marLeft w:val="0"/>
      <w:marRight w:val="0"/>
      <w:marTop w:val="0"/>
      <w:marBottom w:val="0"/>
      <w:divBdr>
        <w:top w:val="none" w:sz="0" w:space="0" w:color="auto"/>
        <w:left w:val="none" w:sz="0" w:space="0" w:color="auto"/>
        <w:bottom w:val="none" w:sz="0" w:space="0" w:color="auto"/>
        <w:right w:val="none" w:sz="0" w:space="0" w:color="auto"/>
      </w:divBdr>
    </w:div>
    <w:div w:id="1002901743">
      <w:marLeft w:val="0"/>
      <w:marRight w:val="0"/>
      <w:marTop w:val="0"/>
      <w:marBottom w:val="180"/>
      <w:divBdr>
        <w:top w:val="none" w:sz="0" w:space="0" w:color="auto"/>
        <w:left w:val="none" w:sz="0" w:space="0" w:color="auto"/>
        <w:bottom w:val="none" w:sz="0" w:space="0" w:color="auto"/>
        <w:right w:val="none" w:sz="0" w:space="0" w:color="auto"/>
      </w:divBdr>
    </w:div>
    <w:div w:id="1003779418">
      <w:marLeft w:val="0"/>
      <w:marRight w:val="0"/>
      <w:marTop w:val="100"/>
      <w:marBottom w:val="100"/>
      <w:divBdr>
        <w:top w:val="none" w:sz="0" w:space="0" w:color="auto"/>
        <w:left w:val="none" w:sz="0" w:space="0" w:color="auto"/>
        <w:bottom w:val="none" w:sz="0" w:space="0" w:color="auto"/>
        <w:right w:val="none" w:sz="0" w:space="0" w:color="auto"/>
      </w:divBdr>
      <w:divsChild>
        <w:div w:id="2119524740">
          <w:marLeft w:val="0"/>
          <w:marRight w:val="0"/>
          <w:marTop w:val="0"/>
          <w:marBottom w:val="0"/>
          <w:divBdr>
            <w:top w:val="none" w:sz="0" w:space="0" w:color="auto"/>
            <w:left w:val="none" w:sz="0" w:space="0" w:color="auto"/>
            <w:bottom w:val="none" w:sz="0" w:space="0" w:color="auto"/>
            <w:right w:val="none" w:sz="0" w:space="0" w:color="auto"/>
          </w:divBdr>
        </w:div>
      </w:divsChild>
    </w:div>
    <w:div w:id="1007371414">
      <w:marLeft w:val="0"/>
      <w:marRight w:val="0"/>
      <w:marTop w:val="0"/>
      <w:marBottom w:val="180"/>
      <w:divBdr>
        <w:top w:val="none" w:sz="0" w:space="0" w:color="auto"/>
        <w:left w:val="none" w:sz="0" w:space="0" w:color="auto"/>
        <w:bottom w:val="none" w:sz="0" w:space="0" w:color="auto"/>
        <w:right w:val="none" w:sz="0" w:space="0" w:color="auto"/>
      </w:divBdr>
    </w:div>
    <w:div w:id="1009797176">
      <w:marLeft w:val="0"/>
      <w:marRight w:val="0"/>
      <w:marTop w:val="100"/>
      <w:marBottom w:val="100"/>
      <w:divBdr>
        <w:top w:val="none" w:sz="0" w:space="0" w:color="auto"/>
        <w:left w:val="none" w:sz="0" w:space="0" w:color="auto"/>
        <w:bottom w:val="none" w:sz="0" w:space="0" w:color="auto"/>
        <w:right w:val="none" w:sz="0" w:space="0" w:color="auto"/>
      </w:divBdr>
    </w:div>
    <w:div w:id="1011834673">
      <w:marLeft w:val="0"/>
      <w:marRight w:val="0"/>
      <w:marTop w:val="240"/>
      <w:marBottom w:val="180"/>
      <w:divBdr>
        <w:top w:val="none" w:sz="0" w:space="0" w:color="auto"/>
        <w:left w:val="none" w:sz="0" w:space="0" w:color="auto"/>
        <w:bottom w:val="none" w:sz="0" w:space="0" w:color="auto"/>
        <w:right w:val="none" w:sz="0" w:space="0" w:color="auto"/>
      </w:divBdr>
    </w:div>
    <w:div w:id="1012072927">
      <w:marLeft w:val="0"/>
      <w:marRight w:val="0"/>
      <w:marTop w:val="0"/>
      <w:marBottom w:val="0"/>
      <w:divBdr>
        <w:top w:val="none" w:sz="0" w:space="0" w:color="auto"/>
        <w:left w:val="none" w:sz="0" w:space="0" w:color="auto"/>
        <w:bottom w:val="none" w:sz="0" w:space="0" w:color="auto"/>
        <w:right w:val="none" w:sz="0" w:space="0" w:color="auto"/>
      </w:divBdr>
      <w:divsChild>
        <w:div w:id="780883378">
          <w:marLeft w:val="0"/>
          <w:marRight w:val="0"/>
          <w:marTop w:val="0"/>
          <w:marBottom w:val="0"/>
          <w:divBdr>
            <w:top w:val="none" w:sz="0" w:space="0" w:color="auto"/>
            <w:left w:val="none" w:sz="0" w:space="0" w:color="auto"/>
            <w:bottom w:val="none" w:sz="0" w:space="0" w:color="auto"/>
            <w:right w:val="none" w:sz="0" w:space="0" w:color="auto"/>
          </w:divBdr>
        </w:div>
      </w:divsChild>
    </w:div>
    <w:div w:id="1012563703">
      <w:marLeft w:val="0"/>
      <w:marRight w:val="0"/>
      <w:marTop w:val="0"/>
      <w:marBottom w:val="240"/>
      <w:divBdr>
        <w:top w:val="none" w:sz="0" w:space="0" w:color="auto"/>
        <w:left w:val="none" w:sz="0" w:space="0" w:color="auto"/>
        <w:bottom w:val="none" w:sz="0" w:space="0" w:color="auto"/>
        <w:right w:val="none" w:sz="0" w:space="0" w:color="auto"/>
      </w:divBdr>
    </w:div>
    <w:div w:id="1012873638">
      <w:marLeft w:val="0"/>
      <w:marRight w:val="0"/>
      <w:marTop w:val="180"/>
      <w:marBottom w:val="180"/>
      <w:divBdr>
        <w:top w:val="none" w:sz="0" w:space="0" w:color="auto"/>
        <w:left w:val="none" w:sz="0" w:space="0" w:color="auto"/>
        <w:bottom w:val="none" w:sz="0" w:space="0" w:color="auto"/>
        <w:right w:val="none" w:sz="0" w:space="0" w:color="auto"/>
      </w:divBdr>
    </w:div>
    <w:div w:id="1012955391">
      <w:marLeft w:val="0"/>
      <w:marRight w:val="0"/>
      <w:marTop w:val="0"/>
      <w:marBottom w:val="180"/>
      <w:divBdr>
        <w:top w:val="none" w:sz="0" w:space="0" w:color="auto"/>
        <w:left w:val="none" w:sz="0" w:space="0" w:color="auto"/>
        <w:bottom w:val="none" w:sz="0" w:space="0" w:color="auto"/>
        <w:right w:val="none" w:sz="0" w:space="0" w:color="auto"/>
      </w:divBdr>
    </w:div>
    <w:div w:id="1014302372">
      <w:marLeft w:val="0"/>
      <w:marRight w:val="0"/>
      <w:marTop w:val="0"/>
      <w:marBottom w:val="0"/>
      <w:divBdr>
        <w:top w:val="none" w:sz="0" w:space="0" w:color="auto"/>
        <w:left w:val="none" w:sz="0" w:space="0" w:color="auto"/>
        <w:bottom w:val="none" w:sz="0" w:space="0" w:color="auto"/>
        <w:right w:val="none" w:sz="0" w:space="0" w:color="auto"/>
      </w:divBdr>
    </w:div>
    <w:div w:id="1016230400">
      <w:marLeft w:val="0"/>
      <w:marRight w:val="0"/>
      <w:marTop w:val="180"/>
      <w:marBottom w:val="180"/>
      <w:divBdr>
        <w:top w:val="none" w:sz="0" w:space="0" w:color="auto"/>
        <w:left w:val="none" w:sz="0" w:space="0" w:color="auto"/>
        <w:bottom w:val="none" w:sz="0" w:space="0" w:color="auto"/>
        <w:right w:val="none" w:sz="0" w:space="0" w:color="auto"/>
      </w:divBdr>
    </w:div>
    <w:div w:id="1019504606">
      <w:marLeft w:val="0"/>
      <w:marRight w:val="0"/>
      <w:marTop w:val="120"/>
      <w:marBottom w:val="180"/>
      <w:divBdr>
        <w:top w:val="none" w:sz="0" w:space="0" w:color="auto"/>
        <w:left w:val="none" w:sz="0" w:space="0" w:color="auto"/>
        <w:bottom w:val="none" w:sz="0" w:space="0" w:color="auto"/>
        <w:right w:val="none" w:sz="0" w:space="0" w:color="auto"/>
      </w:divBdr>
    </w:div>
    <w:div w:id="1020664812">
      <w:marLeft w:val="0"/>
      <w:marRight w:val="0"/>
      <w:marTop w:val="180"/>
      <w:marBottom w:val="180"/>
      <w:divBdr>
        <w:top w:val="none" w:sz="0" w:space="0" w:color="auto"/>
        <w:left w:val="none" w:sz="0" w:space="0" w:color="auto"/>
        <w:bottom w:val="none" w:sz="0" w:space="0" w:color="auto"/>
        <w:right w:val="none" w:sz="0" w:space="0" w:color="auto"/>
      </w:divBdr>
    </w:div>
    <w:div w:id="1021782574">
      <w:marLeft w:val="0"/>
      <w:marRight w:val="0"/>
      <w:marTop w:val="360"/>
      <w:marBottom w:val="240"/>
      <w:divBdr>
        <w:top w:val="none" w:sz="0" w:space="0" w:color="auto"/>
        <w:left w:val="none" w:sz="0" w:space="0" w:color="auto"/>
        <w:bottom w:val="none" w:sz="0" w:space="0" w:color="auto"/>
        <w:right w:val="none" w:sz="0" w:space="0" w:color="auto"/>
      </w:divBdr>
    </w:div>
    <w:div w:id="1027368074">
      <w:marLeft w:val="0"/>
      <w:marRight w:val="0"/>
      <w:marTop w:val="120"/>
      <w:marBottom w:val="120"/>
      <w:divBdr>
        <w:top w:val="none" w:sz="0" w:space="0" w:color="auto"/>
        <w:left w:val="none" w:sz="0" w:space="0" w:color="auto"/>
        <w:bottom w:val="none" w:sz="0" w:space="0" w:color="auto"/>
        <w:right w:val="none" w:sz="0" w:space="0" w:color="auto"/>
      </w:divBdr>
    </w:div>
    <w:div w:id="1030956233">
      <w:marLeft w:val="0"/>
      <w:marRight w:val="0"/>
      <w:marTop w:val="0"/>
      <w:marBottom w:val="0"/>
      <w:divBdr>
        <w:top w:val="none" w:sz="0" w:space="0" w:color="auto"/>
        <w:left w:val="none" w:sz="0" w:space="0" w:color="auto"/>
        <w:bottom w:val="none" w:sz="0" w:space="0" w:color="auto"/>
        <w:right w:val="none" w:sz="0" w:space="0" w:color="auto"/>
      </w:divBdr>
    </w:div>
    <w:div w:id="1031952341">
      <w:marLeft w:val="0"/>
      <w:marRight w:val="0"/>
      <w:marTop w:val="0"/>
      <w:marBottom w:val="0"/>
      <w:divBdr>
        <w:top w:val="none" w:sz="0" w:space="0" w:color="auto"/>
        <w:left w:val="none" w:sz="0" w:space="0" w:color="auto"/>
        <w:bottom w:val="none" w:sz="0" w:space="0" w:color="auto"/>
        <w:right w:val="none" w:sz="0" w:space="0" w:color="auto"/>
      </w:divBdr>
      <w:divsChild>
        <w:div w:id="1694527858">
          <w:marLeft w:val="0"/>
          <w:marRight w:val="0"/>
          <w:marTop w:val="0"/>
          <w:marBottom w:val="0"/>
          <w:divBdr>
            <w:top w:val="none" w:sz="0" w:space="0" w:color="auto"/>
            <w:left w:val="none" w:sz="0" w:space="0" w:color="auto"/>
            <w:bottom w:val="none" w:sz="0" w:space="0" w:color="auto"/>
            <w:right w:val="none" w:sz="0" w:space="0" w:color="auto"/>
          </w:divBdr>
        </w:div>
      </w:divsChild>
    </w:div>
    <w:div w:id="1033502861">
      <w:marLeft w:val="0"/>
      <w:marRight w:val="0"/>
      <w:marTop w:val="0"/>
      <w:marBottom w:val="240"/>
      <w:divBdr>
        <w:top w:val="none" w:sz="0" w:space="0" w:color="auto"/>
        <w:left w:val="none" w:sz="0" w:space="0" w:color="auto"/>
        <w:bottom w:val="none" w:sz="0" w:space="0" w:color="auto"/>
        <w:right w:val="none" w:sz="0" w:space="0" w:color="auto"/>
      </w:divBdr>
    </w:div>
    <w:div w:id="1038042970">
      <w:marLeft w:val="0"/>
      <w:marRight w:val="0"/>
      <w:marTop w:val="100"/>
      <w:marBottom w:val="100"/>
      <w:divBdr>
        <w:top w:val="none" w:sz="0" w:space="0" w:color="auto"/>
        <w:left w:val="none" w:sz="0" w:space="0" w:color="auto"/>
        <w:bottom w:val="none" w:sz="0" w:space="0" w:color="auto"/>
        <w:right w:val="none" w:sz="0" w:space="0" w:color="auto"/>
      </w:divBdr>
      <w:divsChild>
        <w:div w:id="555245719">
          <w:marLeft w:val="0"/>
          <w:marRight w:val="0"/>
          <w:marTop w:val="0"/>
          <w:marBottom w:val="0"/>
          <w:divBdr>
            <w:top w:val="none" w:sz="0" w:space="0" w:color="auto"/>
            <w:left w:val="none" w:sz="0" w:space="0" w:color="auto"/>
            <w:bottom w:val="none" w:sz="0" w:space="0" w:color="auto"/>
            <w:right w:val="none" w:sz="0" w:space="0" w:color="auto"/>
          </w:divBdr>
        </w:div>
      </w:divsChild>
    </w:div>
    <w:div w:id="1039932876">
      <w:marLeft w:val="0"/>
      <w:marRight w:val="0"/>
      <w:marTop w:val="0"/>
      <w:marBottom w:val="180"/>
      <w:divBdr>
        <w:top w:val="none" w:sz="0" w:space="0" w:color="auto"/>
        <w:left w:val="none" w:sz="0" w:space="0" w:color="auto"/>
        <w:bottom w:val="none" w:sz="0" w:space="0" w:color="auto"/>
        <w:right w:val="none" w:sz="0" w:space="0" w:color="auto"/>
      </w:divBdr>
    </w:div>
    <w:div w:id="1040281576">
      <w:marLeft w:val="0"/>
      <w:marRight w:val="0"/>
      <w:marTop w:val="0"/>
      <w:marBottom w:val="0"/>
      <w:divBdr>
        <w:top w:val="none" w:sz="0" w:space="0" w:color="auto"/>
        <w:left w:val="none" w:sz="0" w:space="0" w:color="auto"/>
        <w:bottom w:val="none" w:sz="0" w:space="0" w:color="auto"/>
        <w:right w:val="none" w:sz="0" w:space="0" w:color="auto"/>
      </w:divBdr>
    </w:div>
    <w:div w:id="1041899136">
      <w:marLeft w:val="0"/>
      <w:marRight w:val="0"/>
      <w:marTop w:val="0"/>
      <w:marBottom w:val="240"/>
      <w:divBdr>
        <w:top w:val="none" w:sz="0" w:space="0" w:color="auto"/>
        <w:left w:val="none" w:sz="0" w:space="0" w:color="auto"/>
        <w:bottom w:val="none" w:sz="0" w:space="0" w:color="auto"/>
        <w:right w:val="none" w:sz="0" w:space="0" w:color="auto"/>
      </w:divBdr>
    </w:div>
    <w:div w:id="1044017035">
      <w:marLeft w:val="0"/>
      <w:marRight w:val="0"/>
      <w:marTop w:val="0"/>
      <w:marBottom w:val="0"/>
      <w:divBdr>
        <w:top w:val="none" w:sz="0" w:space="0" w:color="auto"/>
        <w:left w:val="none" w:sz="0" w:space="0" w:color="auto"/>
        <w:bottom w:val="none" w:sz="0" w:space="0" w:color="auto"/>
        <w:right w:val="none" w:sz="0" w:space="0" w:color="auto"/>
      </w:divBdr>
    </w:div>
    <w:div w:id="1044911094">
      <w:marLeft w:val="0"/>
      <w:marRight w:val="0"/>
      <w:marTop w:val="120"/>
      <w:marBottom w:val="120"/>
      <w:divBdr>
        <w:top w:val="none" w:sz="0" w:space="0" w:color="auto"/>
        <w:left w:val="none" w:sz="0" w:space="0" w:color="auto"/>
        <w:bottom w:val="none" w:sz="0" w:space="0" w:color="auto"/>
        <w:right w:val="none" w:sz="0" w:space="0" w:color="auto"/>
      </w:divBdr>
    </w:div>
    <w:div w:id="1046416962">
      <w:marLeft w:val="0"/>
      <w:marRight w:val="0"/>
      <w:marTop w:val="0"/>
      <w:marBottom w:val="0"/>
      <w:divBdr>
        <w:top w:val="none" w:sz="0" w:space="0" w:color="auto"/>
        <w:left w:val="none" w:sz="0" w:space="0" w:color="auto"/>
        <w:bottom w:val="none" w:sz="0" w:space="0" w:color="auto"/>
        <w:right w:val="none" w:sz="0" w:space="0" w:color="auto"/>
      </w:divBdr>
      <w:divsChild>
        <w:div w:id="1333724726">
          <w:marLeft w:val="0"/>
          <w:marRight w:val="0"/>
          <w:marTop w:val="0"/>
          <w:marBottom w:val="0"/>
          <w:divBdr>
            <w:top w:val="none" w:sz="0" w:space="0" w:color="auto"/>
            <w:left w:val="none" w:sz="0" w:space="0" w:color="auto"/>
            <w:bottom w:val="none" w:sz="0" w:space="0" w:color="auto"/>
            <w:right w:val="none" w:sz="0" w:space="0" w:color="auto"/>
          </w:divBdr>
        </w:div>
      </w:divsChild>
    </w:div>
    <w:div w:id="1046760039">
      <w:marLeft w:val="0"/>
      <w:marRight w:val="0"/>
      <w:marTop w:val="0"/>
      <w:marBottom w:val="180"/>
      <w:divBdr>
        <w:top w:val="none" w:sz="0" w:space="0" w:color="auto"/>
        <w:left w:val="none" w:sz="0" w:space="0" w:color="auto"/>
        <w:bottom w:val="none" w:sz="0" w:space="0" w:color="auto"/>
        <w:right w:val="none" w:sz="0" w:space="0" w:color="auto"/>
      </w:divBdr>
    </w:div>
    <w:div w:id="1048383794">
      <w:marLeft w:val="0"/>
      <w:marRight w:val="0"/>
      <w:marTop w:val="360"/>
      <w:marBottom w:val="240"/>
      <w:divBdr>
        <w:top w:val="none" w:sz="0" w:space="0" w:color="auto"/>
        <w:left w:val="none" w:sz="0" w:space="0" w:color="auto"/>
        <w:bottom w:val="none" w:sz="0" w:space="0" w:color="auto"/>
        <w:right w:val="none" w:sz="0" w:space="0" w:color="auto"/>
      </w:divBdr>
    </w:div>
    <w:div w:id="1049919255">
      <w:marLeft w:val="0"/>
      <w:marRight w:val="0"/>
      <w:marTop w:val="0"/>
      <w:marBottom w:val="180"/>
      <w:divBdr>
        <w:top w:val="none" w:sz="0" w:space="0" w:color="auto"/>
        <w:left w:val="none" w:sz="0" w:space="0" w:color="auto"/>
        <w:bottom w:val="none" w:sz="0" w:space="0" w:color="auto"/>
        <w:right w:val="none" w:sz="0" w:space="0" w:color="auto"/>
      </w:divBdr>
    </w:div>
    <w:div w:id="1050222956">
      <w:marLeft w:val="0"/>
      <w:marRight w:val="0"/>
      <w:marTop w:val="0"/>
      <w:marBottom w:val="240"/>
      <w:divBdr>
        <w:top w:val="none" w:sz="0" w:space="0" w:color="auto"/>
        <w:left w:val="none" w:sz="0" w:space="0" w:color="auto"/>
        <w:bottom w:val="none" w:sz="0" w:space="0" w:color="auto"/>
        <w:right w:val="none" w:sz="0" w:space="0" w:color="auto"/>
      </w:divBdr>
    </w:div>
    <w:div w:id="1052343570">
      <w:marLeft w:val="0"/>
      <w:marRight w:val="0"/>
      <w:marTop w:val="0"/>
      <w:marBottom w:val="240"/>
      <w:divBdr>
        <w:top w:val="none" w:sz="0" w:space="0" w:color="auto"/>
        <w:left w:val="none" w:sz="0" w:space="0" w:color="auto"/>
        <w:bottom w:val="none" w:sz="0" w:space="0" w:color="auto"/>
        <w:right w:val="none" w:sz="0" w:space="0" w:color="auto"/>
      </w:divBdr>
    </w:div>
    <w:div w:id="1052585130">
      <w:marLeft w:val="0"/>
      <w:marRight w:val="0"/>
      <w:marTop w:val="0"/>
      <w:marBottom w:val="0"/>
      <w:divBdr>
        <w:top w:val="none" w:sz="0" w:space="0" w:color="auto"/>
        <w:left w:val="none" w:sz="0" w:space="0" w:color="auto"/>
        <w:bottom w:val="none" w:sz="0" w:space="0" w:color="auto"/>
        <w:right w:val="none" w:sz="0" w:space="0" w:color="auto"/>
      </w:divBdr>
    </w:div>
    <w:div w:id="1054546948">
      <w:marLeft w:val="0"/>
      <w:marRight w:val="0"/>
      <w:marTop w:val="0"/>
      <w:marBottom w:val="240"/>
      <w:divBdr>
        <w:top w:val="none" w:sz="0" w:space="0" w:color="auto"/>
        <w:left w:val="none" w:sz="0" w:space="0" w:color="auto"/>
        <w:bottom w:val="none" w:sz="0" w:space="0" w:color="auto"/>
        <w:right w:val="none" w:sz="0" w:space="0" w:color="auto"/>
      </w:divBdr>
    </w:div>
    <w:div w:id="1057707452">
      <w:marLeft w:val="0"/>
      <w:marRight w:val="0"/>
      <w:marTop w:val="0"/>
      <w:marBottom w:val="0"/>
      <w:divBdr>
        <w:top w:val="none" w:sz="0" w:space="0" w:color="auto"/>
        <w:left w:val="none" w:sz="0" w:space="0" w:color="auto"/>
        <w:bottom w:val="none" w:sz="0" w:space="0" w:color="auto"/>
        <w:right w:val="none" w:sz="0" w:space="0" w:color="auto"/>
      </w:divBdr>
      <w:divsChild>
        <w:div w:id="1827547260">
          <w:marLeft w:val="0"/>
          <w:marRight w:val="0"/>
          <w:marTop w:val="0"/>
          <w:marBottom w:val="0"/>
          <w:divBdr>
            <w:top w:val="none" w:sz="0" w:space="0" w:color="auto"/>
            <w:left w:val="none" w:sz="0" w:space="0" w:color="auto"/>
            <w:bottom w:val="none" w:sz="0" w:space="0" w:color="auto"/>
            <w:right w:val="none" w:sz="0" w:space="0" w:color="auto"/>
          </w:divBdr>
        </w:div>
      </w:divsChild>
    </w:div>
    <w:div w:id="1058359019">
      <w:marLeft w:val="0"/>
      <w:marRight w:val="0"/>
      <w:marTop w:val="0"/>
      <w:marBottom w:val="240"/>
      <w:divBdr>
        <w:top w:val="none" w:sz="0" w:space="0" w:color="auto"/>
        <w:left w:val="none" w:sz="0" w:space="0" w:color="auto"/>
        <w:bottom w:val="none" w:sz="0" w:space="0" w:color="auto"/>
        <w:right w:val="none" w:sz="0" w:space="0" w:color="auto"/>
      </w:divBdr>
    </w:div>
    <w:div w:id="1059128220">
      <w:marLeft w:val="0"/>
      <w:marRight w:val="0"/>
      <w:marTop w:val="0"/>
      <w:marBottom w:val="0"/>
      <w:divBdr>
        <w:top w:val="none" w:sz="0" w:space="0" w:color="auto"/>
        <w:left w:val="none" w:sz="0" w:space="0" w:color="auto"/>
        <w:bottom w:val="none" w:sz="0" w:space="0" w:color="auto"/>
        <w:right w:val="none" w:sz="0" w:space="0" w:color="auto"/>
      </w:divBdr>
    </w:div>
    <w:div w:id="1065184491">
      <w:marLeft w:val="0"/>
      <w:marRight w:val="0"/>
      <w:marTop w:val="0"/>
      <w:marBottom w:val="180"/>
      <w:divBdr>
        <w:top w:val="none" w:sz="0" w:space="0" w:color="auto"/>
        <w:left w:val="none" w:sz="0" w:space="0" w:color="auto"/>
        <w:bottom w:val="none" w:sz="0" w:space="0" w:color="auto"/>
        <w:right w:val="none" w:sz="0" w:space="0" w:color="auto"/>
      </w:divBdr>
    </w:div>
    <w:div w:id="1065445817">
      <w:marLeft w:val="0"/>
      <w:marRight w:val="0"/>
      <w:marTop w:val="0"/>
      <w:marBottom w:val="0"/>
      <w:divBdr>
        <w:top w:val="none" w:sz="0" w:space="0" w:color="auto"/>
        <w:left w:val="none" w:sz="0" w:space="0" w:color="auto"/>
        <w:bottom w:val="none" w:sz="0" w:space="0" w:color="auto"/>
        <w:right w:val="none" w:sz="0" w:space="0" w:color="auto"/>
      </w:divBdr>
      <w:divsChild>
        <w:div w:id="1083450776">
          <w:marLeft w:val="0"/>
          <w:marRight w:val="0"/>
          <w:marTop w:val="0"/>
          <w:marBottom w:val="0"/>
          <w:divBdr>
            <w:top w:val="none" w:sz="0" w:space="0" w:color="auto"/>
            <w:left w:val="none" w:sz="0" w:space="0" w:color="auto"/>
            <w:bottom w:val="none" w:sz="0" w:space="0" w:color="auto"/>
            <w:right w:val="none" w:sz="0" w:space="0" w:color="auto"/>
          </w:divBdr>
        </w:div>
      </w:divsChild>
    </w:div>
    <w:div w:id="1066878559">
      <w:marLeft w:val="0"/>
      <w:marRight w:val="0"/>
      <w:marTop w:val="0"/>
      <w:marBottom w:val="0"/>
      <w:divBdr>
        <w:top w:val="none" w:sz="0" w:space="0" w:color="auto"/>
        <w:left w:val="none" w:sz="0" w:space="0" w:color="auto"/>
        <w:bottom w:val="none" w:sz="0" w:space="0" w:color="auto"/>
        <w:right w:val="none" w:sz="0" w:space="0" w:color="auto"/>
      </w:divBdr>
      <w:divsChild>
        <w:div w:id="1643609172">
          <w:marLeft w:val="0"/>
          <w:marRight w:val="0"/>
          <w:marTop w:val="0"/>
          <w:marBottom w:val="0"/>
          <w:divBdr>
            <w:top w:val="none" w:sz="0" w:space="0" w:color="auto"/>
            <w:left w:val="none" w:sz="0" w:space="0" w:color="auto"/>
            <w:bottom w:val="none" w:sz="0" w:space="0" w:color="auto"/>
            <w:right w:val="none" w:sz="0" w:space="0" w:color="auto"/>
          </w:divBdr>
        </w:div>
      </w:divsChild>
    </w:div>
    <w:div w:id="1068188274">
      <w:marLeft w:val="0"/>
      <w:marRight w:val="0"/>
      <w:marTop w:val="0"/>
      <w:marBottom w:val="180"/>
      <w:divBdr>
        <w:top w:val="none" w:sz="0" w:space="0" w:color="auto"/>
        <w:left w:val="none" w:sz="0" w:space="0" w:color="auto"/>
        <w:bottom w:val="none" w:sz="0" w:space="0" w:color="auto"/>
        <w:right w:val="none" w:sz="0" w:space="0" w:color="auto"/>
      </w:divBdr>
    </w:div>
    <w:div w:id="1068570598">
      <w:marLeft w:val="0"/>
      <w:marRight w:val="0"/>
      <w:marTop w:val="0"/>
      <w:marBottom w:val="0"/>
      <w:divBdr>
        <w:top w:val="none" w:sz="0" w:space="0" w:color="auto"/>
        <w:left w:val="none" w:sz="0" w:space="0" w:color="auto"/>
        <w:bottom w:val="none" w:sz="0" w:space="0" w:color="auto"/>
        <w:right w:val="none" w:sz="0" w:space="0" w:color="auto"/>
      </w:divBdr>
    </w:div>
    <w:div w:id="1068769361">
      <w:marLeft w:val="0"/>
      <w:marRight w:val="0"/>
      <w:marTop w:val="0"/>
      <w:marBottom w:val="0"/>
      <w:divBdr>
        <w:top w:val="none" w:sz="0" w:space="0" w:color="auto"/>
        <w:left w:val="none" w:sz="0" w:space="0" w:color="auto"/>
        <w:bottom w:val="none" w:sz="0" w:space="0" w:color="auto"/>
        <w:right w:val="none" w:sz="0" w:space="0" w:color="auto"/>
      </w:divBdr>
      <w:divsChild>
        <w:div w:id="4984237">
          <w:marLeft w:val="0"/>
          <w:marRight w:val="0"/>
          <w:marTop w:val="0"/>
          <w:marBottom w:val="0"/>
          <w:divBdr>
            <w:top w:val="none" w:sz="0" w:space="0" w:color="auto"/>
            <w:left w:val="none" w:sz="0" w:space="0" w:color="auto"/>
            <w:bottom w:val="none" w:sz="0" w:space="0" w:color="auto"/>
            <w:right w:val="none" w:sz="0" w:space="0" w:color="auto"/>
          </w:divBdr>
        </w:div>
      </w:divsChild>
    </w:div>
    <w:div w:id="1070078017">
      <w:marLeft w:val="0"/>
      <w:marRight w:val="0"/>
      <w:marTop w:val="0"/>
      <w:marBottom w:val="180"/>
      <w:divBdr>
        <w:top w:val="none" w:sz="0" w:space="0" w:color="auto"/>
        <w:left w:val="none" w:sz="0" w:space="0" w:color="auto"/>
        <w:bottom w:val="none" w:sz="0" w:space="0" w:color="auto"/>
        <w:right w:val="none" w:sz="0" w:space="0" w:color="auto"/>
      </w:divBdr>
    </w:div>
    <w:div w:id="1070423873">
      <w:marLeft w:val="0"/>
      <w:marRight w:val="0"/>
      <w:marTop w:val="0"/>
      <w:marBottom w:val="0"/>
      <w:divBdr>
        <w:top w:val="none" w:sz="0" w:space="0" w:color="auto"/>
        <w:left w:val="none" w:sz="0" w:space="0" w:color="auto"/>
        <w:bottom w:val="none" w:sz="0" w:space="0" w:color="auto"/>
        <w:right w:val="none" w:sz="0" w:space="0" w:color="auto"/>
      </w:divBdr>
      <w:divsChild>
        <w:div w:id="1869445947">
          <w:marLeft w:val="0"/>
          <w:marRight w:val="0"/>
          <w:marTop w:val="0"/>
          <w:marBottom w:val="0"/>
          <w:divBdr>
            <w:top w:val="none" w:sz="0" w:space="0" w:color="auto"/>
            <w:left w:val="none" w:sz="0" w:space="0" w:color="auto"/>
            <w:bottom w:val="none" w:sz="0" w:space="0" w:color="auto"/>
            <w:right w:val="none" w:sz="0" w:space="0" w:color="auto"/>
          </w:divBdr>
        </w:div>
      </w:divsChild>
    </w:div>
    <w:div w:id="1071083353">
      <w:marLeft w:val="0"/>
      <w:marRight w:val="0"/>
      <w:marTop w:val="0"/>
      <w:marBottom w:val="240"/>
      <w:divBdr>
        <w:top w:val="none" w:sz="0" w:space="0" w:color="auto"/>
        <w:left w:val="none" w:sz="0" w:space="0" w:color="auto"/>
        <w:bottom w:val="none" w:sz="0" w:space="0" w:color="auto"/>
        <w:right w:val="none" w:sz="0" w:space="0" w:color="auto"/>
      </w:divBdr>
    </w:div>
    <w:div w:id="1071199473">
      <w:marLeft w:val="0"/>
      <w:marRight w:val="0"/>
      <w:marTop w:val="100"/>
      <w:marBottom w:val="100"/>
      <w:divBdr>
        <w:top w:val="none" w:sz="0" w:space="0" w:color="auto"/>
        <w:left w:val="none" w:sz="0" w:space="0" w:color="auto"/>
        <w:bottom w:val="none" w:sz="0" w:space="0" w:color="auto"/>
        <w:right w:val="none" w:sz="0" w:space="0" w:color="auto"/>
      </w:divBdr>
    </w:div>
    <w:div w:id="1072118599">
      <w:marLeft w:val="0"/>
      <w:marRight w:val="0"/>
      <w:marTop w:val="0"/>
      <w:marBottom w:val="180"/>
      <w:divBdr>
        <w:top w:val="none" w:sz="0" w:space="0" w:color="auto"/>
        <w:left w:val="none" w:sz="0" w:space="0" w:color="auto"/>
        <w:bottom w:val="none" w:sz="0" w:space="0" w:color="auto"/>
        <w:right w:val="none" w:sz="0" w:space="0" w:color="auto"/>
      </w:divBdr>
    </w:div>
    <w:div w:id="1072855593">
      <w:marLeft w:val="0"/>
      <w:marRight w:val="0"/>
      <w:marTop w:val="0"/>
      <w:marBottom w:val="0"/>
      <w:divBdr>
        <w:top w:val="none" w:sz="0" w:space="0" w:color="auto"/>
        <w:left w:val="none" w:sz="0" w:space="0" w:color="auto"/>
        <w:bottom w:val="none" w:sz="0" w:space="0" w:color="auto"/>
        <w:right w:val="none" w:sz="0" w:space="0" w:color="auto"/>
      </w:divBdr>
      <w:divsChild>
        <w:div w:id="1300693287">
          <w:marLeft w:val="0"/>
          <w:marRight w:val="0"/>
          <w:marTop w:val="0"/>
          <w:marBottom w:val="0"/>
          <w:divBdr>
            <w:top w:val="none" w:sz="0" w:space="0" w:color="auto"/>
            <w:left w:val="none" w:sz="0" w:space="0" w:color="auto"/>
            <w:bottom w:val="none" w:sz="0" w:space="0" w:color="auto"/>
            <w:right w:val="none" w:sz="0" w:space="0" w:color="auto"/>
          </w:divBdr>
          <w:divsChild>
            <w:div w:id="824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9284">
      <w:marLeft w:val="0"/>
      <w:marRight w:val="0"/>
      <w:marTop w:val="0"/>
      <w:marBottom w:val="240"/>
      <w:divBdr>
        <w:top w:val="none" w:sz="0" w:space="0" w:color="auto"/>
        <w:left w:val="none" w:sz="0" w:space="0" w:color="auto"/>
        <w:bottom w:val="none" w:sz="0" w:space="0" w:color="auto"/>
        <w:right w:val="none" w:sz="0" w:space="0" w:color="auto"/>
      </w:divBdr>
    </w:div>
    <w:div w:id="1073969402">
      <w:marLeft w:val="0"/>
      <w:marRight w:val="0"/>
      <w:marTop w:val="0"/>
      <w:marBottom w:val="0"/>
      <w:divBdr>
        <w:top w:val="none" w:sz="0" w:space="0" w:color="auto"/>
        <w:left w:val="none" w:sz="0" w:space="0" w:color="auto"/>
        <w:bottom w:val="none" w:sz="0" w:space="0" w:color="auto"/>
        <w:right w:val="none" w:sz="0" w:space="0" w:color="auto"/>
      </w:divBdr>
    </w:div>
    <w:div w:id="1074009305">
      <w:marLeft w:val="0"/>
      <w:marRight w:val="0"/>
      <w:marTop w:val="0"/>
      <w:marBottom w:val="0"/>
      <w:divBdr>
        <w:top w:val="none" w:sz="0" w:space="0" w:color="auto"/>
        <w:left w:val="none" w:sz="0" w:space="0" w:color="auto"/>
        <w:bottom w:val="none" w:sz="0" w:space="0" w:color="auto"/>
        <w:right w:val="none" w:sz="0" w:space="0" w:color="auto"/>
      </w:divBdr>
      <w:divsChild>
        <w:div w:id="243955405">
          <w:marLeft w:val="0"/>
          <w:marRight w:val="0"/>
          <w:marTop w:val="0"/>
          <w:marBottom w:val="180"/>
          <w:divBdr>
            <w:top w:val="none" w:sz="0" w:space="0" w:color="auto"/>
            <w:left w:val="none" w:sz="0" w:space="0" w:color="auto"/>
            <w:bottom w:val="none" w:sz="0" w:space="0" w:color="auto"/>
            <w:right w:val="none" w:sz="0" w:space="0" w:color="auto"/>
          </w:divBdr>
        </w:div>
      </w:divsChild>
    </w:div>
    <w:div w:id="1074548596">
      <w:marLeft w:val="0"/>
      <w:marRight w:val="0"/>
      <w:marTop w:val="120"/>
      <w:marBottom w:val="120"/>
      <w:divBdr>
        <w:top w:val="none" w:sz="0" w:space="0" w:color="auto"/>
        <w:left w:val="none" w:sz="0" w:space="0" w:color="auto"/>
        <w:bottom w:val="none" w:sz="0" w:space="0" w:color="auto"/>
        <w:right w:val="none" w:sz="0" w:space="0" w:color="auto"/>
      </w:divBdr>
    </w:div>
    <w:div w:id="1086608584">
      <w:marLeft w:val="0"/>
      <w:marRight w:val="0"/>
      <w:marTop w:val="0"/>
      <w:marBottom w:val="240"/>
      <w:divBdr>
        <w:top w:val="none" w:sz="0" w:space="0" w:color="auto"/>
        <w:left w:val="none" w:sz="0" w:space="0" w:color="auto"/>
        <w:bottom w:val="none" w:sz="0" w:space="0" w:color="auto"/>
        <w:right w:val="none" w:sz="0" w:space="0" w:color="auto"/>
      </w:divBdr>
    </w:div>
    <w:div w:id="1086850097">
      <w:marLeft w:val="0"/>
      <w:marRight w:val="0"/>
      <w:marTop w:val="0"/>
      <w:marBottom w:val="240"/>
      <w:divBdr>
        <w:top w:val="none" w:sz="0" w:space="0" w:color="auto"/>
        <w:left w:val="none" w:sz="0" w:space="0" w:color="auto"/>
        <w:bottom w:val="none" w:sz="0" w:space="0" w:color="auto"/>
        <w:right w:val="none" w:sz="0" w:space="0" w:color="auto"/>
      </w:divBdr>
    </w:div>
    <w:div w:id="1088311066">
      <w:marLeft w:val="0"/>
      <w:marRight w:val="0"/>
      <w:marTop w:val="0"/>
      <w:marBottom w:val="0"/>
      <w:divBdr>
        <w:top w:val="none" w:sz="0" w:space="0" w:color="auto"/>
        <w:left w:val="none" w:sz="0" w:space="0" w:color="auto"/>
        <w:bottom w:val="none" w:sz="0" w:space="0" w:color="auto"/>
        <w:right w:val="none" w:sz="0" w:space="0" w:color="auto"/>
      </w:divBdr>
      <w:divsChild>
        <w:div w:id="1552040352">
          <w:marLeft w:val="0"/>
          <w:marRight w:val="0"/>
          <w:marTop w:val="0"/>
          <w:marBottom w:val="0"/>
          <w:divBdr>
            <w:top w:val="none" w:sz="0" w:space="0" w:color="auto"/>
            <w:left w:val="none" w:sz="0" w:space="0" w:color="auto"/>
            <w:bottom w:val="none" w:sz="0" w:space="0" w:color="auto"/>
            <w:right w:val="none" w:sz="0" w:space="0" w:color="auto"/>
          </w:divBdr>
        </w:div>
      </w:divsChild>
    </w:div>
    <w:div w:id="1088889922">
      <w:marLeft w:val="0"/>
      <w:marRight w:val="0"/>
      <w:marTop w:val="0"/>
      <w:marBottom w:val="240"/>
      <w:divBdr>
        <w:top w:val="none" w:sz="0" w:space="0" w:color="auto"/>
        <w:left w:val="none" w:sz="0" w:space="0" w:color="auto"/>
        <w:bottom w:val="none" w:sz="0" w:space="0" w:color="auto"/>
        <w:right w:val="none" w:sz="0" w:space="0" w:color="auto"/>
      </w:divBdr>
    </w:div>
    <w:div w:id="1093673253">
      <w:marLeft w:val="0"/>
      <w:marRight w:val="0"/>
      <w:marTop w:val="0"/>
      <w:marBottom w:val="240"/>
      <w:divBdr>
        <w:top w:val="none" w:sz="0" w:space="0" w:color="auto"/>
        <w:left w:val="none" w:sz="0" w:space="0" w:color="auto"/>
        <w:bottom w:val="none" w:sz="0" w:space="0" w:color="auto"/>
        <w:right w:val="none" w:sz="0" w:space="0" w:color="auto"/>
      </w:divBdr>
    </w:div>
    <w:div w:id="1098797357">
      <w:marLeft w:val="0"/>
      <w:marRight w:val="0"/>
      <w:marTop w:val="0"/>
      <w:marBottom w:val="0"/>
      <w:divBdr>
        <w:top w:val="none" w:sz="0" w:space="0" w:color="auto"/>
        <w:left w:val="none" w:sz="0" w:space="0" w:color="auto"/>
        <w:bottom w:val="none" w:sz="0" w:space="0" w:color="auto"/>
        <w:right w:val="none" w:sz="0" w:space="0" w:color="auto"/>
      </w:divBdr>
    </w:div>
    <w:div w:id="1099107261">
      <w:marLeft w:val="0"/>
      <w:marRight w:val="0"/>
      <w:marTop w:val="0"/>
      <w:marBottom w:val="0"/>
      <w:divBdr>
        <w:top w:val="none" w:sz="0" w:space="0" w:color="auto"/>
        <w:left w:val="none" w:sz="0" w:space="0" w:color="auto"/>
        <w:bottom w:val="none" w:sz="0" w:space="0" w:color="auto"/>
        <w:right w:val="none" w:sz="0" w:space="0" w:color="auto"/>
      </w:divBdr>
    </w:div>
    <w:div w:id="1099789405">
      <w:marLeft w:val="0"/>
      <w:marRight w:val="0"/>
      <w:marTop w:val="0"/>
      <w:marBottom w:val="240"/>
      <w:divBdr>
        <w:top w:val="none" w:sz="0" w:space="0" w:color="auto"/>
        <w:left w:val="none" w:sz="0" w:space="0" w:color="auto"/>
        <w:bottom w:val="none" w:sz="0" w:space="0" w:color="auto"/>
        <w:right w:val="none" w:sz="0" w:space="0" w:color="auto"/>
      </w:divBdr>
    </w:div>
    <w:div w:id="1103384080">
      <w:marLeft w:val="0"/>
      <w:marRight w:val="0"/>
      <w:marTop w:val="180"/>
      <w:marBottom w:val="180"/>
      <w:divBdr>
        <w:top w:val="none" w:sz="0" w:space="0" w:color="auto"/>
        <w:left w:val="none" w:sz="0" w:space="0" w:color="auto"/>
        <w:bottom w:val="none" w:sz="0" w:space="0" w:color="auto"/>
        <w:right w:val="none" w:sz="0" w:space="0" w:color="auto"/>
      </w:divBdr>
    </w:div>
    <w:div w:id="1104576342">
      <w:marLeft w:val="0"/>
      <w:marRight w:val="0"/>
      <w:marTop w:val="120"/>
      <w:marBottom w:val="120"/>
      <w:divBdr>
        <w:top w:val="none" w:sz="0" w:space="0" w:color="auto"/>
        <w:left w:val="none" w:sz="0" w:space="0" w:color="auto"/>
        <w:bottom w:val="none" w:sz="0" w:space="0" w:color="auto"/>
        <w:right w:val="none" w:sz="0" w:space="0" w:color="auto"/>
      </w:divBdr>
    </w:div>
    <w:div w:id="1104880669">
      <w:marLeft w:val="0"/>
      <w:marRight w:val="0"/>
      <w:marTop w:val="0"/>
      <w:marBottom w:val="240"/>
      <w:divBdr>
        <w:top w:val="none" w:sz="0" w:space="0" w:color="auto"/>
        <w:left w:val="none" w:sz="0" w:space="0" w:color="auto"/>
        <w:bottom w:val="none" w:sz="0" w:space="0" w:color="auto"/>
        <w:right w:val="none" w:sz="0" w:space="0" w:color="auto"/>
      </w:divBdr>
    </w:div>
    <w:div w:id="1105881746">
      <w:marLeft w:val="0"/>
      <w:marRight w:val="0"/>
      <w:marTop w:val="120"/>
      <w:marBottom w:val="120"/>
      <w:divBdr>
        <w:top w:val="none" w:sz="0" w:space="0" w:color="auto"/>
        <w:left w:val="none" w:sz="0" w:space="0" w:color="auto"/>
        <w:bottom w:val="none" w:sz="0" w:space="0" w:color="auto"/>
        <w:right w:val="none" w:sz="0" w:space="0" w:color="auto"/>
      </w:divBdr>
    </w:div>
    <w:div w:id="1110585874">
      <w:marLeft w:val="0"/>
      <w:marRight w:val="0"/>
      <w:marTop w:val="180"/>
      <w:marBottom w:val="180"/>
      <w:divBdr>
        <w:top w:val="none" w:sz="0" w:space="0" w:color="auto"/>
        <w:left w:val="none" w:sz="0" w:space="0" w:color="auto"/>
        <w:bottom w:val="none" w:sz="0" w:space="0" w:color="auto"/>
        <w:right w:val="none" w:sz="0" w:space="0" w:color="auto"/>
      </w:divBdr>
    </w:div>
    <w:div w:id="1112439551">
      <w:marLeft w:val="0"/>
      <w:marRight w:val="0"/>
      <w:marTop w:val="0"/>
      <w:marBottom w:val="60"/>
      <w:divBdr>
        <w:top w:val="none" w:sz="0" w:space="0" w:color="auto"/>
        <w:left w:val="none" w:sz="0" w:space="0" w:color="auto"/>
        <w:bottom w:val="none" w:sz="0" w:space="0" w:color="auto"/>
        <w:right w:val="none" w:sz="0" w:space="0" w:color="auto"/>
      </w:divBdr>
    </w:div>
    <w:div w:id="1112554841">
      <w:marLeft w:val="0"/>
      <w:marRight w:val="0"/>
      <w:marTop w:val="0"/>
      <w:marBottom w:val="0"/>
      <w:divBdr>
        <w:top w:val="none" w:sz="0" w:space="0" w:color="auto"/>
        <w:left w:val="none" w:sz="0" w:space="0" w:color="auto"/>
        <w:bottom w:val="none" w:sz="0" w:space="0" w:color="auto"/>
        <w:right w:val="none" w:sz="0" w:space="0" w:color="auto"/>
      </w:divBdr>
    </w:div>
    <w:div w:id="1112827087">
      <w:marLeft w:val="0"/>
      <w:marRight w:val="0"/>
      <w:marTop w:val="180"/>
      <w:marBottom w:val="180"/>
      <w:divBdr>
        <w:top w:val="none" w:sz="0" w:space="0" w:color="auto"/>
        <w:left w:val="none" w:sz="0" w:space="0" w:color="auto"/>
        <w:bottom w:val="none" w:sz="0" w:space="0" w:color="auto"/>
        <w:right w:val="none" w:sz="0" w:space="0" w:color="auto"/>
      </w:divBdr>
    </w:div>
    <w:div w:id="1113473949">
      <w:marLeft w:val="0"/>
      <w:marRight w:val="0"/>
      <w:marTop w:val="100"/>
      <w:marBottom w:val="100"/>
      <w:divBdr>
        <w:top w:val="none" w:sz="0" w:space="0" w:color="auto"/>
        <w:left w:val="none" w:sz="0" w:space="0" w:color="auto"/>
        <w:bottom w:val="none" w:sz="0" w:space="0" w:color="auto"/>
        <w:right w:val="none" w:sz="0" w:space="0" w:color="auto"/>
      </w:divBdr>
      <w:divsChild>
        <w:div w:id="448281409">
          <w:marLeft w:val="0"/>
          <w:marRight w:val="0"/>
          <w:marTop w:val="0"/>
          <w:marBottom w:val="0"/>
          <w:divBdr>
            <w:top w:val="none" w:sz="0" w:space="0" w:color="auto"/>
            <w:left w:val="none" w:sz="0" w:space="0" w:color="auto"/>
            <w:bottom w:val="none" w:sz="0" w:space="0" w:color="auto"/>
            <w:right w:val="none" w:sz="0" w:space="0" w:color="auto"/>
          </w:divBdr>
        </w:div>
        <w:div w:id="951546935">
          <w:marLeft w:val="0"/>
          <w:marRight w:val="0"/>
          <w:marTop w:val="0"/>
          <w:marBottom w:val="0"/>
          <w:divBdr>
            <w:top w:val="none" w:sz="0" w:space="0" w:color="auto"/>
            <w:left w:val="none" w:sz="0" w:space="0" w:color="auto"/>
            <w:bottom w:val="none" w:sz="0" w:space="0" w:color="auto"/>
            <w:right w:val="none" w:sz="0" w:space="0" w:color="auto"/>
          </w:divBdr>
        </w:div>
        <w:div w:id="153766367">
          <w:marLeft w:val="0"/>
          <w:marRight w:val="0"/>
          <w:marTop w:val="0"/>
          <w:marBottom w:val="0"/>
          <w:divBdr>
            <w:top w:val="none" w:sz="0" w:space="0" w:color="auto"/>
            <w:left w:val="none" w:sz="0" w:space="0" w:color="auto"/>
            <w:bottom w:val="none" w:sz="0" w:space="0" w:color="auto"/>
            <w:right w:val="none" w:sz="0" w:space="0" w:color="auto"/>
          </w:divBdr>
        </w:div>
        <w:div w:id="376510456">
          <w:marLeft w:val="0"/>
          <w:marRight w:val="0"/>
          <w:marTop w:val="0"/>
          <w:marBottom w:val="0"/>
          <w:divBdr>
            <w:top w:val="none" w:sz="0" w:space="0" w:color="auto"/>
            <w:left w:val="none" w:sz="0" w:space="0" w:color="auto"/>
            <w:bottom w:val="none" w:sz="0" w:space="0" w:color="auto"/>
            <w:right w:val="none" w:sz="0" w:space="0" w:color="auto"/>
          </w:divBdr>
        </w:div>
      </w:divsChild>
    </w:div>
    <w:div w:id="1114134901">
      <w:marLeft w:val="0"/>
      <w:marRight w:val="0"/>
      <w:marTop w:val="120"/>
      <w:marBottom w:val="120"/>
      <w:divBdr>
        <w:top w:val="none" w:sz="0" w:space="0" w:color="auto"/>
        <w:left w:val="none" w:sz="0" w:space="0" w:color="auto"/>
        <w:bottom w:val="none" w:sz="0" w:space="0" w:color="auto"/>
        <w:right w:val="none" w:sz="0" w:space="0" w:color="auto"/>
      </w:divBdr>
    </w:div>
    <w:div w:id="1115830686">
      <w:marLeft w:val="0"/>
      <w:marRight w:val="0"/>
      <w:marTop w:val="180"/>
      <w:marBottom w:val="180"/>
      <w:divBdr>
        <w:top w:val="none" w:sz="0" w:space="0" w:color="auto"/>
        <w:left w:val="none" w:sz="0" w:space="0" w:color="auto"/>
        <w:bottom w:val="none" w:sz="0" w:space="0" w:color="auto"/>
        <w:right w:val="none" w:sz="0" w:space="0" w:color="auto"/>
      </w:divBdr>
    </w:div>
    <w:div w:id="1116371393">
      <w:marLeft w:val="0"/>
      <w:marRight w:val="0"/>
      <w:marTop w:val="0"/>
      <w:marBottom w:val="240"/>
      <w:divBdr>
        <w:top w:val="none" w:sz="0" w:space="0" w:color="auto"/>
        <w:left w:val="none" w:sz="0" w:space="0" w:color="auto"/>
        <w:bottom w:val="none" w:sz="0" w:space="0" w:color="auto"/>
        <w:right w:val="none" w:sz="0" w:space="0" w:color="auto"/>
      </w:divBdr>
    </w:div>
    <w:div w:id="1116872069">
      <w:marLeft w:val="0"/>
      <w:marRight w:val="0"/>
      <w:marTop w:val="0"/>
      <w:marBottom w:val="0"/>
      <w:divBdr>
        <w:top w:val="none" w:sz="0" w:space="0" w:color="auto"/>
        <w:left w:val="none" w:sz="0" w:space="0" w:color="auto"/>
        <w:bottom w:val="none" w:sz="0" w:space="0" w:color="auto"/>
        <w:right w:val="none" w:sz="0" w:space="0" w:color="auto"/>
      </w:divBdr>
    </w:div>
    <w:div w:id="1119497506">
      <w:marLeft w:val="0"/>
      <w:marRight w:val="0"/>
      <w:marTop w:val="0"/>
      <w:marBottom w:val="0"/>
      <w:divBdr>
        <w:top w:val="none" w:sz="0" w:space="0" w:color="auto"/>
        <w:left w:val="none" w:sz="0" w:space="0" w:color="auto"/>
        <w:bottom w:val="none" w:sz="0" w:space="0" w:color="auto"/>
        <w:right w:val="none" w:sz="0" w:space="0" w:color="auto"/>
      </w:divBdr>
      <w:divsChild>
        <w:div w:id="1681008538">
          <w:marLeft w:val="0"/>
          <w:marRight w:val="0"/>
          <w:marTop w:val="0"/>
          <w:marBottom w:val="0"/>
          <w:divBdr>
            <w:top w:val="none" w:sz="0" w:space="0" w:color="auto"/>
            <w:left w:val="none" w:sz="0" w:space="0" w:color="auto"/>
            <w:bottom w:val="none" w:sz="0" w:space="0" w:color="auto"/>
            <w:right w:val="none" w:sz="0" w:space="0" w:color="auto"/>
          </w:divBdr>
        </w:div>
      </w:divsChild>
    </w:div>
    <w:div w:id="1120106492">
      <w:marLeft w:val="0"/>
      <w:marRight w:val="0"/>
      <w:marTop w:val="0"/>
      <w:marBottom w:val="240"/>
      <w:divBdr>
        <w:top w:val="none" w:sz="0" w:space="0" w:color="auto"/>
        <w:left w:val="none" w:sz="0" w:space="0" w:color="auto"/>
        <w:bottom w:val="none" w:sz="0" w:space="0" w:color="auto"/>
        <w:right w:val="none" w:sz="0" w:space="0" w:color="auto"/>
      </w:divBdr>
    </w:div>
    <w:div w:id="1121072564">
      <w:marLeft w:val="0"/>
      <w:marRight w:val="0"/>
      <w:marTop w:val="180"/>
      <w:marBottom w:val="180"/>
      <w:divBdr>
        <w:top w:val="none" w:sz="0" w:space="0" w:color="auto"/>
        <w:left w:val="none" w:sz="0" w:space="0" w:color="auto"/>
        <w:bottom w:val="none" w:sz="0" w:space="0" w:color="auto"/>
        <w:right w:val="none" w:sz="0" w:space="0" w:color="auto"/>
      </w:divBdr>
    </w:div>
    <w:div w:id="1121455359">
      <w:marLeft w:val="0"/>
      <w:marRight w:val="0"/>
      <w:marTop w:val="0"/>
      <w:marBottom w:val="240"/>
      <w:divBdr>
        <w:top w:val="none" w:sz="0" w:space="0" w:color="auto"/>
        <w:left w:val="none" w:sz="0" w:space="0" w:color="auto"/>
        <w:bottom w:val="none" w:sz="0" w:space="0" w:color="auto"/>
        <w:right w:val="none" w:sz="0" w:space="0" w:color="auto"/>
      </w:divBdr>
    </w:div>
    <w:div w:id="1121655154">
      <w:marLeft w:val="0"/>
      <w:marRight w:val="0"/>
      <w:marTop w:val="0"/>
      <w:marBottom w:val="240"/>
      <w:divBdr>
        <w:top w:val="none" w:sz="0" w:space="0" w:color="auto"/>
        <w:left w:val="none" w:sz="0" w:space="0" w:color="auto"/>
        <w:bottom w:val="none" w:sz="0" w:space="0" w:color="auto"/>
        <w:right w:val="none" w:sz="0" w:space="0" w:color="auto"/>
      </w:divBdr>
    </w:div>
    <w:div w:id="1121798042">
      <w:marLeft w:val="0"/>
      <w:marRight w:val="0"/>
      <w:marTop w:val="100"/>
      <w:marBottom w:val="100"/>
      <w:divBdr>
        <w:top w:val="none" w:sz="0" w:space="0" w:color="auto"/>
        <w:left w:val="none" w:sz="0" w:space="0" w:color="auto"/>
        <w:bottom w:val="none" w:sz="0" w:space="0" w:color="auto"/>
        <w:right w:val="none" w:sz="0" w:space="0" w:color="auto"/>
      </w:divBdr>
    </w:div>
    <w:div w:id="1121875297">
      <w:marLeft w:val="0"/>
      <w:marRight w:val="0"/>
      <w:marTop w:val="0"/>
      <w:marBottom w:val="240"/>
      <w:divBdr>
        <w:top w:val="none" w:sz="0" w:space="0" w:color="auto"/>
        <w:left w:val="none" w:sz="0" w:space="0" w:color="auto"/>
        <w:bottom w:val="none" w:sz="0" w:space="0" w:color="auto"/>
        <w:right w:val="none" w:sz="0" w:space="0" w:color="auto"/>
      </w:divBdr>
    </w:div>
    <w:div w:id="1123307450">
      <w:marLeft w:val="0"/>
      <w:marRight w:val="0"/>
      <w:marTop w:val="0"/>
      <w:marBottom w:val="180"/>
      <w:divBdr>
        <w:top w:val="none" w:sz="0" w:space="0" w:color="auto"/>
        <w:left w:val="none" w:sz="0" w:space="0" w:color="auto"/>
        <w:bottom w:val="none" w:sz="0" w:space="0" w:color="auto"/>
        <w:right w:val="none" w:sz="0" w:space="0" w:color="auto"/>
      </w:divBdr>
    </w:div>
    <w:div w:id="1123575329">
      <w:marLeft w:val="0"/>
      <w:marRight w:val="0"/>
      <w:marTop w:val="180"/>
      <w:marBottom w:val="180"/>
      <w:divBdr>
        <w:top w:val="none" w:sz="0" w:space="0" w:color="auto"/>
        <w:left w:val="none" w:sz="0" w:space="0" w:color="auto"/>
        <w:bottom w:val="none" w:sz="0" w:space="0" w:color="auto"/>
        <w:right w:val="none" w:sz="0" w:space="0" w:color="auto"/>
      </w:divBdr>
    </w:div>
    <w:div w:id="1124621049">
      <w:marLeft w:val="0"/>
      <w:marRight w:val="0"/>
      <w:marTop w:val="0"/>
      <w:marBottom w:val="180"/>
      <w:divBdr>
        <w:top w:val="none" w:sz="0" w:space="0" w:color="auto"/>
        <w:left w:val="none" w:sz="0" w:space="0" w:color="auto"/>
        <w:bottom w:val="none" w:sz="0" w:space="0" w:color="auto"/>
        <w:right w:val="none" w:sz="0" w:space="0" w:color="auto"/>
      </w:divBdr>
    </w:div>
    <w:div w:id="1126777184">
      <w:marLeft w:val="0"/>
      <w:marRight w:val="0"/>
      <w:marTop w:val="180"/>
      <w:marBottom w:val="180"/>
      <w:divBdr>
        <w:top w:val="none" w:sz="0" w:space="0" w:color="auto"/>
        <w:left w:val="none" w:sz="0" w:space="0" w:color="auto"/>
        <w:bottom w:val="none" w:sz="0" w:space="0" w:color="auto"/>
        <w:right w:val="none" w:sz="0" w:space="0" w:color="auto"/>
      </w:divBdr>
    </w:div>
    <w:div w:id="1127090288">
      <w:marLeft w:val="0"/>
      <w:marRight w:val="0"/>
      <w:marTop w:val="180"/>
      <w:marBottom w:val="180"/>
      <w:divBdr>
        <w:top w:val="none" w:sz="0" w:space="0" w:color="auto"/>
        <w:left w:val="none" w:sz="0" w:space="0" w:color="auto"/>
        <w:bottom w:val="none" w:sz="0" w:space="0" w:color="auto"/>
        <w:right w:val="none" w:sz="0" w:space="0" w:color="auto"/>
      </w:divBdr>
    </w:div>
    <w:div w:id="1127745542">
      <w:marLeft w:val="0"/>
      <w:marRight w:val="0"/>
      <w:marTop w:val="180"/>
      <w:marBottom w:val="180"/>
      <w:divBdr>
        <w:top w:val="none" w:sz="0" w:space="0" w:color="auto"/>
        <w:left w:val="none" w:sz="0" w:space="0" w:color="auto"/>
        <w:bottom w:val="none" w:sz="0" w:space="0" w:color="auto"/>
        <w:right w:val="none" w:sz="0" w:space="0" w:color="auto"/>
      </w:divBdr>
    </w:div>
    <w:div w:id="1127820323">
      <w:marLeft w:val="0"/>
      <w:marRight w:val="0"/>
      <w:marTop w:val="0"/>
      <w:marBottom w:val="240"/>
      <w:divBdr>
        <w:top w:val="none" w:sz="0" w:space="0" w:color="auto"/>
        <w:left w:val="none" w:sz="0" w:space="0" w:color="auto"/>
        <w:bottom w:val="none" w:sz="0" w:space="0" w:color="auto"/>
        <w:right w:val="none" w:sz="0" w:space="0" w:color="auto"/>
      </w:divBdr>
    </w:div>
    <w:div w:id="1129590432">
      <w:marLeft w:val="0"/>
      <w:marRight w:val="0"/>
      <w:marTop w:val="100"/>
      <w:marBottom w:val="100"/>
      <w:divBdr>
        <w:top w:val="none" w:sz="0" w:space="0" w:color="auto"/>
        <w:left w:val="none" w:sz="0" w:space="0" w:color="auto"/>
        <w:bottom w:val="none" w:sz="0" w:space="0" w:color="auto"/>
        <w:right w:val="none" w:sz="0" w:space="0" w:color="auto"/>
      </w:divBdr>
      <w:divsChild>
        <w:div w:id="2144155949">
          <w:marLeft w:val="0"/>
          <w:marRight w:val="0"/>
          <w:marTop w:val="0"/>
          <w:marBottom w:val="0"/>
          <w:divBdr>
            <w:top w:val="none" w:sz="0" w:space="0" w:color="auto"/>
            <w:left w:val="none" w:sz="0" w:space="0" w:color="auto"/>
            <w:bottom w:val="none" w:sz="0" w:space="0" w:color="auto"/>
            <w:right w:val="none" w:sz="0" w:space="0" w:color="auto"/>
          </w:divBdr>
        </w:div>
        <w:div w:id="389037301">
          <w:marLeft w:val="0"/>
          <w:marRight w:val="0"/>
          <w:marTop w:val="0"/>
          <w:marBottom w:val="0"/>
          <w:divBdr>
            <w:top w:val="none" w:sz="0" w:space="0" w:color="auto"/>
            <w:left w:val="none" w:sz="0" w:space="0" w:color="auto"/>
            <w:bottom w:val="none" w:sz="0" w:space="0" w:color="auto"/>
            <w:right w:val="none" w:sz="0" w:space="0" w:color="auto"/>
          </w:divBdr>
        </w:div>
        <w:div w:id="283847768">
          <w:marLeft w:val="0"/>
          <w:marRight w:val="0"/>
          <w:marTop w:val="0"/>
          <w:marBottom w:val="0"/>
          <w:divBdr>
            <w:top w:val="none" w:sz="0" w:space="0" w:color="auto"/>
            <w:left w:val="none" w:sz="0" w:space="0" w:color="auto"/>
            <w:bottom w:val="none" w:sz="0" w:space="0" w:color="auto"/>
            <w:right w:val="none" w:sz="0" w:space="0" w:color="auto"/>
          </w:divBdr>
        </w:div>
        <w:div w:id="1152058590">
          <w:marLeft w:val="0"/>
          <w:marRight w:val="0"/>
          <w:marTop w:val="0"/>
          <w:marBottom w:val="0"/>
          <w:divBdr>
            <w:top w:val="none" w:sz="0" w:space="0" w:color="auto"/>
            <w:left w:val="none" w:sz="0" w:space="0" w:color="auto"/>
            <w:bottom w:val="none" w:sz="0" w:space="0" w:color="auto"/>
            <w:right w:val="none" w:sz="0" w:space="0" w:color="auto"/>
          </w:divBdr>
        </w:div>
        <w:div w:id="1202127823">
          <w:marLeft w:val="0"/>
          <w:marRight w:val="0"/>
          <w:marTop w:val="0"/>
          <w:marBottom w:val="0"/>
          <w:divBdr>
            <w:top w:val="none" w:sz="0" w:space="0" w:color="auto"/>
            <w:left w:val="none" w:sz="0" w:space="0" w:color="auto"/>
            <w:bottom w:val="none" w:sz="0" w:space="0" w:color="auto"/>
            <w:right w:val="none" w:sz="0" w:space="0" w:color="auto"/>
          </w:divBdr>
        </w:div>
        <w:div w:id="472334278">
          <w:marLeft w:val="0"/>
          <w:marRight w:val="0"/>
          <w:marTop w:val="0"/>
          <w:marBottom w:val="0"/>
          <w:divBdr>
            <w:top w:val="none" w:sz="0" w:space="0" w:color="auto"/>
            <w:left w:val="none" w:sz="0" w:space="0" w:color="auto"/>
            <w:bottom w:val="none" w:sz="0" w:space="0" w:color="auto"/>
            <w:right w:val="none" w:sz="0" w:space="0" w:color="auto"/>
          </w:divBdr>
        </w:div>
        <w:div w:id="625620548">
          <w:marLeft w:val="0"/>
          <w:marRight w:val="0"/>
          <w:marTop w:val="0"/>
          <w:marBottom w:val="0"/>
          <w:divBdr>
            <w:top w:val="none" w:sz="0" w:space="0" w:color="auto"/>
            <w:left w:val="none" w:sz="0" w:space="0" w:color="auto"/>
            <w:bottom w:val="none" w:sz="0" w:space="0" w:color="auto"/>
            <w:right w:val="none" w:sz="0" w:space="0" w:color="auto"/>
          </w:divBdr>
        </w:div>
      </w:divsChild>
    </w:div>
    <w:div w:id="1130896859">
      <w:marLeft w:val="0"/>
      <w:marRight w:val="0"/>
      <w:marTop w:val="120"/>
      <w:marBottom w:val="120"/>
      <w:divBdr>
        <w:top w:val="none" w:sz="0" w:space="0" w:color="auto"/>
        <w:left w:val="none" w:sz="0" w:space="0" w:color="auto"/>
        <w:bottom w:val="none" w:sz="0" w:space="0" w:color="auto"/>
        <w:right w:val="none" w:sz="0" w:space="0" w:color="auto"/>
      </w:divBdr>
    </w:div>
    <w:div w:id="1132211340">
      <w:marLeft w:val="0"/>
      <w:marRight w:val="0"/>
      <w:marTop w:val="0"/>
      <w:marBottom w:val="0"/>
      <w:divBdr>
        <w:top w:val="none" w:sz="0" w:space="0" w:color="auto"/>
        <w:left w:val="none" w:sz="0" w:space="0" w:color="auto"/>
        <w:bottom w:val="none" w:sz="0" w:space="0" w:color="auto"/>
        <w:right w:val="none" w:sz="0" w:space="0" w:color="auto"/>
      </w:divBdr>
    </w:div>
    <w:div w:id="1132796518">
      <w:marLeft w:val="0"/>
      <w:marRight w:val="0"/>
      <w:marTop w:val="100"/>
      <w:marBottom w:val="100"/>
      <w:divBdr>
        <w:top w:val="none" w:sz="0" w:space="0" w:color="auto"/>
        <w:left w:val="none" w:sz="0" w:space="0" w:color="auto"/>
        <w:bottom w:val="none" w:sz="0" w:space="0" w:color="auto"/>
        <w:right w:val="none" w:sz="0" w:space="0" w:color="auto"/>
      </w:divBdr>
      <w:divsChild>
        <w:div w:id="829059014">
          <w:marLeft w:val="0"/>
          <w:marRight w:val="0"/>
          <w:marTop w:val="0"/>
          <w:marBottom w:val="0"/>
          <w:divBdr>
            <w:top w:val="none" w:sz="0" w:space="0" w:color="auto"/>
            <w:left w:val="none" w:sz="0" w:space="0" w:color="auto"/>
            <w:bottom w:val="none" w:sz="0" w:space="0" w:color="auto"/>
            <w:right w:val="none" w:sz="0" w:space="0" w:color="auto"/>
          </w:divBdr>
        </w:div>
        <w:div w:id="654605077">
          <w:marLeft w:val="0"/>
          <w:marRight w:val="0"/>
          <w:marTop w:val="0"/>
          <w:marBottom w:val="0"/>
          <w:divBdr>
            <w:top w:val="none" w:sz="0" w:space="0" w:color="auto"/>
            <w:left w:val="none" w:sz="0" w:space="0" w:color="auto"/>
            <w:bottom w:val="none" w:sz="0" w:space="0" w:color="auto"/>
            <w:right w:val="none" w:sz="0" w:space="0" w:color="auto"/>
          </w:divBdr>
        </w:div>
        <w:div w:id="112722982">
          <w:marLeft w:val="0"/>
          <w:marRight w:val="0"/>
          <w:marTop w:val="0"/>
          <w:marBottom w:val="0"/>
          <w:divBdr>
            <w:top w:val="none" w:sz="0" w:space="0" w:color="auto"/>
            <w:left w:val="none" w:sz="0" w:space="0" w:color="auto"/>
            <w:bottom w:val="none" w:sz="0" w:space="0" w:color="auto"/>
            <w:right w:val="none" w:sz="0" w:space="0" w:color="auto"/>
          </w:divBdr>
        </w:div>
        <w:div w:id="770854473">
          <w:marLeft w:val="0"/>
          <w:marRight w:val="0"/>
          <w:marTop w:val="0"/>
          <w:marBottom w:val="0"/>
          <w:divBdr>
            <w:top w:val="none" w:sz="0" w:space="0" w:color="auto"/>
            <w:left w:val="none" w:sz="0" w:space="0" w:color="auto"/>
            <w:bottom w:val="none" w:sz="0" w:space="0" w:color="auto"/>
            <w:right w:val="none" w:sz="0" w:space="0" w:color="auto"/>
          </w:divBdr>
        </w:div>
        <w:div w:id="1815172875">
          <w:marLeft w:val="0"/>
          <w:marRight w:val="0"/>
          <w:marTop w:val="0"/>
          <w:marBottom w:val="0"/>
          <w:divBdr>
            <w:top w:val="none" w:sz="0" w:space="0" w:color="auto"/>
            <w:left w:val="none" w:sz="0" w:space="0" w:color="auto"/>
            <w:bottom w:val="none" w:sz="0" w:space="0" w:color="auto"/>
            <w:right w:val="none" w:sz="0" w:space="0" w:color="auto"/>
          </w:divBdr>
        </w:div>
        <w:div w:id="1350107516">
          <w:marLeft w:val="0"/>
          <w:marRight w:val="0"/>
          <w:marTop w:val="0"/>
          <w:marBottom w:val="0"/>
          <w:divBdr>
            <w:top w:val="none" w:sz="0" w:space="0" w:color="auto"/>
            <w:left w:val="none" w:sz="0" w:space="0" w:color="auto"/>
            <w:bottom w:val="none" w:sz="0" w:space="0" w:color="auto"/>
            <w:right w:val="none" w:sz="0" w:space="0" w:color="auto"/>
          </w:divBdr>
        </w:div>
        <w:div w:id="139931741">
          <w:marLeft w:val="0"/>
          <w:marRight w:val="0"/>
          <w:marTop w:val="0"/>
          <w:marBottom w:val="0"/>
          <w:divBdr>
            <w:top w:val="none" w:sz="0" w:space="0" w:color="auto"/>
            <w:left w:val="none" w:sz="0" w:space="0" w:color="auto"/>
            <w:bottom w:val="none" w:sz="0" w:space="0" w:color="auto"/>
            <w:right w:val="none" w:sz="0" w:space="0" w:color="auto"/>
          </w:divBdr>
        </w:div>
        <w:div w:id="1751074680">
          <w:marLeft w:val="0"/>
          <w:marRight w:val="0"/>
          <w:marTop w:val="0"/>
          <w:marBottom w:val="0"/>
          <w:divBdr>
            <w:top w:val="none" w:sz="0" w:space="0" w:color="auto"/>
            <w:left w:val="none" w:sz="0" w:space="0" w:color="auto"/>
            <w:bottom w:val="none" w:sz="0" w:space="0" w:color="auto"/>
            <w:right w:val="none" w:sz="0" w:space="0" w:color="auto"/>
          </w:divBdr>
        </w:div>
        <w:div w:id="1580099201">
          <w:marLeft w:val="0"/>
          <w:marRight w:val="0"/>
          <w:marTop w:val="0"/>
          <w:marBottom w:val="0"/>
          <w:divBdr>
            <w:top w:val="none" w:sz="0" w:space="0" w:color="auto"/>
            <w:left w:val="none" w:sz="0" w:space="0" w:color="auto"/>
            <w:bottom w:val="none" w:sz="0" w:space="0" w:color="auto"/>
            <w:right w:val="none" w:sz="0" w:space="0" w:color="auto"/>
          </w:divBdr>
        </w:div>
        <w:div w:id="468789453">
          <w:marLeft w:val="0"/>
          <w:marRight w:val="0"/>
          <w:marTop w:val="0"/>
          <w:marBottom w:val="0"/>
          <w:divBdr>
            <w:top w:val="none" w:sz="0" w:space="0" w:color="auto"/>
            <w:left w:val="none" w:sz="0" w:space="0" w:color="auto"/>
            <w:bottom w:val="none" w:sz="0" w:space="0" w:color="auto"/>
            <w:right w:val="none" w:sz="0" w:space="0" w:color="auto"/>
          </w:divBdr>
        </w:div>
        <w:div w:id="1708094562">
          <w:marLeft w:val="0"/>
          <w:marRight w:val="0"/>
          <w:marTop w:val="0"/>
          <w:marBottom w:val="0"/>
          <w:divBdr>
            <w:top w:val="none" w:sz="0" w:space="0" w:color="auto"/>
            <w:left w:val="none" w:sz="0" w:space="0" w:color="auto"/>
            <w:bottom w:val="none" w:sz="0" w:space="0" w:color="auto"/>
            <w:right w:val="none" w:sz="0" w:space="0" w:color="auto"/>
          </w:divBdr>
        </w:div>
        <w:div w:id="1928152402">
          <w:marLeft w:val="0"/>
          <w:marRight w:val="0"/>
          <w:marTop w:val="0"/>
          <w:marBottom w:val="0"/>
          <w:divBdr>
            <w:top w:val="none" w:sz="0" w:space="0" w:color="auto"/>
            <w:left w:val="none" w:sz="0" w:space="0" w:color="auto"/>
            <w:bottom w:val="none" w:sz="0" w:space="0" w:color="auto"/>
            <w:right w:val="none" w:sz="0" w:space="0" w:color="auto"/>
          </w:divBdr>
        </w:div>
        <w:div w:id="2003854372">
          <w:marLeft w:val="0"/>
          <w:marRight w:val="0"/>
          <w:marTop w:val="0"/>
          <w:marBottom w:val="0"/>
          <w:divBdr>
            <w:top w:val="none" w:sz="0" w:space="0" w:color="auto"/>
            <w:left w:val="none" w:sz="0" w:space="0" w:color="auto"/>
            <w:bottom w:val="none" w:sz="0" w:space="0" w:color="auto"/>
            <w:right w:val="none" w:sz="0" w:space="0" w:color="auto"/>
          </w:divBdr>
        </w:div>
        <w:div w:id="1770661978">
          <w:marLeft w:val="0"/>
          <w:marRight w:val="0"/>
          <w:marTop w:val="0"/>
          <w:marBottom w:val="0"/>
          <w:divBdr>
            <w:top w:val="none" w:sz="0" w:space="0" w:color="auto"/>
            <w:left w:val="none" w:sz="0" w:space="0" w:color="auto"/>
            <w:bottom w:val="none" w:sz="0" w:space="0" w:color="auto"/>
            <w:right w:val="none" w:sz="0" w:space="0" w:color="auto"/>
          </w:divBdr>
        </w:div>
        <w:div w:id="92164745">
          <w:marLeft w:val="0"/>
          <w:marRight w:val="0"/>
          <w:marTop w:val="0"/>
          <w:marBottom w:val="160"/>
          <w:divBdr>
            <w:top w:val="none" w:sz="0" w:space="0" w:color="auto"/>
            <w:left w:val="none" w:sz="0" w:space="0" w:color="auto"/>
            <w:bottom w:val="none" w:sz="0" w:space="0" w:color="auto"/>
            <w:right w:val="none" w:sz="0" w:space="0" w:color="auto"/>
          </w:divBdr>
        </w:div>
        <w:div w:id="1867719731">
          <w:marLeft w:val="0"/>
          <w:marRight w:val="0"/>
          <w:marTop w:val="0"/>
          <w:marBottom w:val="0"/>
          <w:divBdr>
            <w:top w:val="none" w:sz="0" w:space="0" w:color="auto"/>
            <w:left w:val="none" w:sz="0" w:space="0" w:color="auto"/>
            <w:bottom w:val="none" w:sz="0" w:space="0" w:color="auto"/>
            <w:right w:val="none" w:sz="0" w:space="0" w:color="auto"/>
          </w:divBdr>
        </w:div>
      </w:divsChild>
    </w:div>
    <w:div w:id="1133710897">
      <w:marLeft w:val="0"/>
      <w:marRight w:val="0"/>
      <w:marTop w:val="0"/>
      <w:marBottom w:val="180"/>
      <w:divBdr>
        <w:top w:val="none" w:sz="0" w:space="0" w:color="auto"/>
        <w:left w:val="none" w:sz="0" w:space="0" w:color="auto"/>
        <w:bottom w:val="none" w:sz="0" w:space="0" w:color="auto"/>
        <w:right w:val="none" w:sz="0" w:space="0" w:color="auto"/>
      </w:divBdr>
    </w:div>
    <w:div w:id="1133870034">
      <w:marLeft w:val="0"/>
      <w:marRight w:val="0"/>
      <w:marTop w:val="0"/>
      <w:marBottom w:val="240"/>
      <w:divBdr>
        <w:top w:val="none" w:sz="0" w:space="0" w:color="auto"/>
        <w:left w:val="none" w:sz="0" w:space="0" w:color="auto"/>
        <w:bottom w:val="none" w:sz="0" w:space="0" w:color="auto"/>
        <w:right w:val="none" w:sz="0" w:space="0" w:color="auto"/>
      </w:divBdr>
    </w:div>
    <w:div w:id="1139109543">
      <w:marLeft w:val="0"/>
      <w:marRight w:val="0"/>
      <w:marTop w:val="180"/>
      <w:marBottom w:val="180"/>
      <w:divBdr>
        <w:top w:val="none" w:sz="0" w:space="0" w:color="auto"/>
        <w:left w:val="none" w:sz="0" w:space="0" w:color="auto"/>
        <w:bottom w:val="none" w:sz="0" w:space="0" w:color="auto"/>
        <w:right w:val="none" w:sz="0" w:space="0" w:color="auto"/>
      </w:divBdr>
    </w:div>
    <w:div w:id="1140416266">
      <w:marLeft w:val="0"/>
      <w:marRight w:val="0"/>
      <w:marTop w:val="180"/>
      <w:marBottom w:val="180"/>
      <w:divBdr>
        <w:top w:val="none" w:sz="0" w:space="0" w:color="auto"/>
        <w:left w:val="none" w:sz="0" w:space="0" w:color="auto"/>
        <w:bottom w:val="none" w:sz="0" w:space="0" w:color="auto"/>
        <w:right w:val="none" w:sz="0" w:space="0" w:color="auto"/>
      </w:divBdr>
    </w:div>
    <w:div w:id="1141847852">
      <w:marLeft w:val="0"/>
      <w:marRight w:val="0"/>
      <w:marTop w:val="0"/>
      <w:marBottom w:val="240"/>
      <w:divBdr>
        <w:top w:val="none" w:sz="0" w:space="0" w:color="auto"/>
        <w:left w:val="none" w:sz="0" w:space="0" w:color="auto"/>
        <w:bottom w:val="none" w:sz="0" w:space="0" w:color="auto"/>
        <w:right w:val="none" w:sz="0" w:space="0" w:color="auto"/>
      </w:divBdr>
    </w:div>
    <w:div w:id="1142387271">
      <w:marLeft w:val="0"/>
      <w:marRight w:val="0"/>
      <w:marTop w:val="0"/>
      <w:marBottom w:val="240"/>
      <w:divBdr>
        <w:top w:val="none" w:sz="0" w:space="0" w:color="auto"/>
        <w:left w:val="none" w:sz="0" w:space="0" w:color="auto"/>
        <w:bottom w:val="none" w:sz="0" w:space="0" w:color="auto"/>
        <w:right w:val="none" w:sz="0" w:space="0" w:color="auto"/>
      </w:divBdr>
    </w:div>
    <w:div w:id="1142772258">
      <w:marLeft w:val="0"/>
      <w:marRight w:val="0"/>
      <w:marTop w:val="0"/>
      <w:marBottom w:val="240"/>
      <w:divBdr>
        <w:top w:val="none" w:sz="0" w:space="0" w:color="auto"/>
        <w:left w:val="none" w:sz="0" w:space="0" w:color="auto"/>
        <w:bottom w:val="none" w:sz="0" w:space="0" w:color="auto"/>
        <w:right w:val="none" w:sz="0" w:space="0" w:color="auto"/>
      </w:divBdr>
    </w:div>
    <w:div w:id="1145194524">
      <w:marLeft w:val="0"/>
      <w:marRight w:val="0"/>
      <w:marTop w:val="0"/>
      <w:marBottom w:val="0"/>
      <w:divBdr>
        <w:top w:val="none" w:sz="0" w:space="0" w:color="auto"/>
        <w:left w:val="none" w:sz="0" w:space="0" w:color="auto"/>
        <w:bottom w:val="none" w:sz="0" w:space="0" w:color="auto"/>
        <w:right w:val="none" w:sz="0" w:space="0" w:color="auto"/>
      </w:divBdr>
    </w:div>
    <w:div w:id="1146048638">
      <w:marLeft w:val="0"/>
      <w:marRight w:val="0"/>
      <w:marTop w:val="0"/>
      <w:marBottom w:val="240"/>
      <w:divBdr>
        <w:top w:val="none" w:sz="0" w:space="0" w:color="auto"/>
        <w:left w:val="none" w:sz="0" w:space="0" w:color="auto"/>
        <w:bottom w:val="none" w:sz="0" w:space="0" w:color="auto"/>
        <w:right w:val="none" w:sz="0" w:space="0" w:color="auto"/>
      </w:divBdr>
    </w:div>
    <w:div w:id="1146896535">
      <w:marLeft w:val="0"/>
      <w:marRight w:val="0"/>
      <w:marTop w:val="0"/>
      <w:marBottom w:val="0"/>
      <w:divBdr>
        <w:top w:val="none" w:sz="0" w:space="0" w:color="auto"/>
        <w:left w:val="none" w:sz="0" w:space="0" w:color="auto"/>
        <w:bottom w:val="none" w:sz="0" w:space="0" w:color="auto"/>
        <w:right w:val="none" w:sz="0" w:space="0" w:color="auto"/>
      </w:divBdr>
    </w:div>
    <w:div w:id="1147434864">
      <w:marLeft w:val="0"/>
      <w:marRight w:val="0"/>
      <w:marTop w:val="100"/>
      <w:marBottom w:val="220"/>
      <w:divBdr>
        <w:top w:val="none" w:sz="0" w:space="0" w:color="auto"/>
        <w:left w:val="none" w:sz="0" w:space="0" w:color="auto"/>
        <w:bottom w:val="none" w:sz="0" w:space="0" w:color="auto"/>
        <w:right w:val="none" w:sz="0" w:space="0" w:color="auto"/>
      </w:divBdr>
    </w:div>
    <w:div w:id="1148285297">
      <w:marLeft w:val="0"/>
      <w:marRight w:val="0"/>
      <w:marTop w:val="0"/>
      <w:marBottom w:val="240"/>
      <w:divBdr>
        <w:top w:val="none" w:sz="0" w:space="0" w:color="auto"/>
        <w:left w:val="none" w:sz="0" w:space="0" w:color="auto"/>
        <w:bottom w:val="none" w:sz="0" w:space="0" w:color="auto"/>
        <w:right w:val="none" w:sz="0" w:space="0" w:color="auto"/>
      </w:divBdr>
    </w:div>
    <w:div w:id="1149706149">
      <w:marLeft w:val="0"/>
      <w:marRight w:val="0"/>
      <w:marTop w:val="0"/>
      <w:marBottom w:val="180"/>
      <w:divBdr>
        <w:top w:val="none" w:sz="0" w:space="0" w:color="auto"/>
        <w:left w:val="none" w:sz="0" w:space="0" w:color="auto"/>
        <w:bottom w:val="none" w:sz="0" w:space="0" w:color="auto"/>
        <w:right w:val="none" w:sz="0" w:space="0" w:color="auto"/>
      </w:divBdr>
    </w:div>
    <w:div w:id="1151285861">
      <w:marLeft w:val="0"/>
      <w:marRight w:val="0"/>
      <w:marTop w:val="0"/>
      <w:marBottom w:val="180"/>
      <w:divBdr>
        <w:top w:val="none" w:sz="0" w:space="0" w:color="auto"/>
        <w:left w:val="none" w:sz="0" w:space="0" w:color="auto"/>
        <w:bottom w:val="none" w:sz="0" w:space="0" w:color="auto"/>
        <w:right w:val="none" w:sz="0" w:space="0" w:color="auto"/>
      </w:divBdr>
    </w:div>
    <w:div w:id="1153763841">
      <w:marLeft w:val="0"/>
      <w:marRight w:val="0"/>
      <w:marTop w:val="0"/>
      <w:marBottom w:val="240"/>
      <w:divBdr>
        <w:top w:val="none" w:sz="0" w:space="0" w:color="auto"/>
        <w:left w:val="none" w:sz="0" w:space="0" w:color="auto"/>
        <w:bottom w:val="none" w:sz="0" w:space="0" w:color="auto"/>
        <w:right w:val="none" w:sz="0" w:space="0" w:color="auto"/>
      </w:divBdr>
    </w:div>
    <w:div w:id="1154444304">
      <w:marLeft w:val="0"/>
      <w:marRight w:val="0"/>
      <w:marTop w:val="0"/>
      <w:marBottom w:val="0"/>
      <w:divBdr>
        <w:top w:val="none" w:sz="0" w:space="0" w:color="auto"/>
        <w:left w:val="none" w:sz="0" w:space="0" w:color="auto"/>
        <w:bottom w:val="none" w:sz="0" w:space="0" w:color="auto"/>
        <w:right w:val="none" w:sz="0" w:space="0" w:color="auto"/>
      </w:divBdr>
    </w:div>
    <w:div w:id="1154688446">
      <w:marLeft w:val="0"/>
      <w:marRight w:val="0"/>
      <w:marTop w:val="100"/>
      <w:marBottom w:val="100"/>
      <w:divBdr>
        <w:top w:val="none" w:sz="0" w:space="0" w:color="auto"/>
        <w:left w:val="none" w:sz="0" w:space="0" w:color="auto"/>
        <w:bottom w:val="none" w:sz="0" w:space="0" w:color="auto"/>
        <w:right w:val="none" w:sz="0" w:space="0" w:color="auto"/>
      </w:divBdr>
    </w:div>
    <w:div w:id="1156916262">
      <w:marLeft w:val="0"/>
      <w:marRight w:val="0"/>
      <w:marTop w:val="180"/>
      <w:marBottom w:val="180"/>
      <w:divBdr>
        <w:top w:val="none" w:sz="0" w:space="0" w:color="auto"/>
        <w:left w:val="none" w:sz="0" w:space="0" w:color="auto"/>
        <w:bottom w:val="none" w:sz="0" w:space="0" w:color="auto"/>
        <w:right w:val="none" w:sz="0" w:space="0" w:color="auto"/>
      </w:divBdr>
    </w:div>
    <w:div w:id="1158613377">
      <w:marLeft w:val="0"/>
      <w:marRight w:val="0"/>
      <w:marTop w:val="0"/>
      <w:marBottom w:val="0"/>
      <w:divBdr>
        <w:top w:val="none" w:sz="0" w:space="0" w:color="auto"/>
        <w:left w:val="none" w:sz="0" w:space="0" w:color="auto"/>
        <w:bottom w:val="none" w:sz="0" w:space="0" w:color="auto"/>
        <w:right w:val="none" w:sz="0" w:space="0" w:color="auto"/>
      </w:divBdr>
      <w:divsChild>
        <w:div w:id="953248464">
          <w:marLeft w:val="0"/>
          <w:marRight w:val="0"/>
          <w:marTop w:val="0"/>
          <w:marBottom w:val="0"/>
          <w:divBdr>
            <w:top w:val="none" w:sz="0" w:space="0" w:color="auto"/>
            <w:left w:val="none" w:sz="0" w:space="0" w:color="auto"/>
            <w:bottom w:val="none" w:sz="0" w:space="0" w:color="auto"/>
            <w:right w:val="none" w:sz="0" w:space="0" w:color="auto"/>
          </w:divBdr>
        </w:div>
      </w:divsChild>
    </w:div>
    <w:div w:id="1158614976">
      <w:marLeft w:val="0"/>
      <w:marRight w:val="0"/>
      <w:marTop w:val="180"/>
      <w:marBottom w:val="180"/>
      <w:divBdr>
        <w:top w:val="none" w:sz="0" w:space="0" w:color="auto"/>
        <w:left w:val="none" w:sz="0" w:space="0" w:color="auto"/>
        <w:bottom w:val="none" w:sz="0" w:space="0" w:color="auto"/>
        <w:right w:val="none" w:sz="0" w:space="0" w:color="auto"/>
      </w:divBdr>
    </w:div>
    <w:div w:id="1158885850">
      <w:marLeft w:val="0"/>
      <w:marRight w:val="0"/>
      <w:marTop w:val="180"/>
      <w:marBottom w:val="180"/>
      <w:divBdr>
        <w:top w:val="none" w:sz="0" w:space="0" w:color="auto"/>
        <w:left w:val="none" w:sz="0" w:space="0" w:color="auto"/>
        <w:bottom w:val="none" w:sz="0" w:space="0" w:color="auto"/>
        <w:right w:val="none" w:sz="0" w:space="0" w:color="auto"/>
      </w:divBdr>
    </w:div>
    <w:div w:id="1162551360">
      <w:marLeft w:val="0"/>
      <w:marRight w:val="0"/>
      <w:marTop w:val="0"/>
      <w:marBottom w:val="180"/>
      <w:divBdr>
        <w:top w:val="none" w:sz="0" w:space="0" w:color="auto"/>
        <w:left w:val="none" w:sz="0" w:space="0" w:color="auto"/>
        <w:bottom w:val="none" w:sz="0" w:space="0" w:color="auto"/>
        <w:right w:val="none" w:sz="0" w:space="0" w:color="auto"/>
      </w:divBdr>
    </w:div>
    <w:div w:id="1165166197">
      <w:marLeft w:val="0"/>
      <w:marRight w:val="0"/>
      <w:marTop w:val="0"/>
      <w:marBottom w:val="180"/>
      <w:divBdr>
        <w:top w:val="none" w:sz="0" w:space="0" w:color="auto"/>
        <w:left w:val="none" w:sz="0" w:space="0" w:color="auto"/>
        <w:bottom w:val="none" w:sz="0" w:space="0" w:color="auto"/>
        <w:right w:val="none" w:sz="0" w:space="0" w:color="auto"/>
      </w:divBdr>
    </w:div>
    <w:div w:id="1165436929">
      <w:marLeft w:val="0"/>
      <w:marRight w:val="0"/>
      <w:marTop w:val="120"/>
      <w:marBottom w:val="120"/>
      <w:divBdr>
        <w:top w:val="none" w:sz="0" w:space="0" w:color="auto"/>
        <w:left w:val="none" w:sz="0" w:space="0" w:color="auto"/>
        <w:bottom w:val="none" w:sz="0" w:space="0" w:color="auto"/>
        <w:right w:val="none" w:sz="0" w:space="0" w:color="auto"/>
      </w:divBdr>
    </w:div>
    <w:div w:id="1166893903">
      <w:marLeft w:val="0"/>
      <w:marRight w:val="0"/>
      <w:marTop w:val="0"/>
      <w:marBottom w:val="0"/>
      <w:divBdr>
        <w:top w:val="none" w:sz="0" w:space="0" w:color="auto"/>
        <w:left w:val="none" w:sz="0" w:space="0" w:color="auto"/>
        <w:bottom w:val="none" w:sz="0" w:space="0" w:color="auto"/>
        <w:right w:val="none" w:sz="0" w:space="0" w:color="auto"/>
      </w:divBdr>
      <w:divsChild>
        <w:div w:id="1679234745">
          <w:marLeft w:val="0"/>
          <w:marRight w:val="0"/>
          <w:marTop w:val="0"/>
          <w:marBottom w:val="0"/>
          <w:divBdr>
            <w:top w:val="none" w:sz="0" w:space="0" w:color="auto"/>
            <w:left w:val="none" w:sz="0" w:space="0" w:color="auto"/>
            <w:bottom w:val="none" w:sz="0" w:space="0" w:color="auto"/>
            <w:right w:val="none" w:sz="0" w:space="0" w:color="auto"/>
          </w:divBdr>
        </w:div>
      </w:divsChild>
    </w:div>
    <w:div w:id="1167869133">
      <w:marLeft w:val="0"/>
      <w:marRight w:val="0"/>
      <w:marTop w:val="0"/>
      <w:marBottom w:val="180"/>
      <w:divBdr>
        <w:top w:val="none" w:sz="0" w:space="0" w:color="auto"/>
        <w:left w:val="none" w:sz="0" w:space="0" w:color="auto"/>
        <w:bottom w:val="none" w:sz="0" w:space="0" w:color="auto"/>
        <w:right w:val="none" w:sz="0" w:space="0" w:color="auto"/>
      </w:divBdr>
    </w:div>
    <w:div w:id="1168058760">
      <w:marLeft w:val="0"/>
      <w:marRight w:val="0"/>
      <w:marTop w:val="120"/>
      <w:marBottom w:val="120"/>
      <w:divBdr>
        <w:top w:val="none" w:sz="0" w:space="0" w:color="auto"/>
        <w:left w:val="none" w:sz="0" w:space="0" w:color="auto"/>
        <w:bottom w:val="none" w:sz="0" w:space="0" w:color="auto"/>
        <w:right w:val="none" w:sz="0" w:space="0" w:color="auto"/>
      </w:divBdr>
    </w:div>
    <w:div w:id="1168713159">
      <w:marLeft w:val="0"/>
      <w:marRight w:val="0"/>
      <w:marTop w:val="0"/>
      <w:marBottom w:val="0"/>
      <w:divBdr>
        <w:top w:val="none" w:sz="0" w:space="0" w:color="auto"/>
        <w:left w:val="none" w:sz="0" w:space="0" w:color="auto"/>
        <w:bottom w:val="none" w:sz="0" w:space="0" w:color="auto"/>
        <w:right w:val="none" w:sz="0" w:space="0" w:color="auto"/>
      </w:divBdr>
    </w:div>
    <w:div w:id="1171067757">
      <w:marLeft w:val="0"/>
      <w:marRight w:val="0"/>
      <w:marTop w:val="180"/>
      <w:marBottom w:val="180"/>
      <w:divBdr>
        <w:top w:val="none" w:sz="0" w:space="0" w:color="auto"/>
        <w:left w:val="none" w:sz="0" w:space="0" w:color="auto"/>
        <w:bottom w:val="none" w:sz="0" w:space="0" w:color="auto"/>
        <w:right w:val="none" w:sz="0" w:space="0" w:color="auto"/>
      </w:divBdr>
    </w:div>
    <w:div w:id="1171409866">
      <w:marLeft w:val="0"/>
      <w:marRight w:val="0"/>
      <w:marTop w:val="0"/>
      <w:marBottom w:val="0"/>
      <w:divBdr>
        <w:top w:val="none" w:sz="0" w:space="0" w:color="auto"/>
        <w:left w:val="none" w:sz="0" w:space="0" w:color="auto"/>
        <w:bottom w:val="none" w:sz="0" w:space="0" w:color="auto"/>
        <w:right w:val="none" w:sz="0" w:space="0" w:color="auto"/>
      </w:divBdr>
    </w:div>
    <w:div w:id="1173716236">
      <w:marLeft w:val="0"/>
      <w:marRight w:val="0"/>
      <w:marTop w:val="0"/>
      <w:marBottom w:val="180"/>
      <w:divBdr>
        <w:top w:val="none" w:sz="0" w:space="0" w:color="auto"/>
        <w:left w:val="none" w:sz="0" w:space="0" w:color="auto"/>
        <w:bottom w:val="none" w:sz="0" w:space="0" w:color="auto"/>
        <w:right w:val="none" w:sz="0" w:space="0" w:color="auto"/>
      </w:divBdr>
    </w:div>
    <w:div w:id="1175802679">
      <w:marLeft w:val="0"/>
      <w:marRight w:val="0"/>
      <w:marTop w:val="0"/>
      <w:marBottom w:val="180"/>
      <w:divBdr>
        <w:top w:val="none" w:sz="0" w:space="0" w:color="auto"/>
        <w:left w:val="none" w:sz="0" w:space="0" w:color="auto"/>
        <w:bottom w:val="none" w:sz="0" w:space="0" w:color="auto"/>
        <w:right w:val="none" w:sz="0" w:space="0" w:color="auto"/>
      </w:divBdr>
    </w:div>
    <w:div w:id="1176268176">
      <w:marLeft w:val="0"/>
      <w:marRight w:val="0"/>
      <w:marTop w:val="180"/>
      <w:marBottom w:val="180"/>
      <w:divBdr>
        <w:top w:val="none" w:sz="0" w:space="0" w:color="auto"/>
        <w:left w:val="none" w:sz="0" w:space="0" w:color="auto"/>
        <w:bottom w:val="none" w:sz="0" w:space="0" w:color="auto"/>
        <w:right w:val="none" w:sz="0" w:space="0" w:color="auto"/>
      </w:divBdr>
    </w:div>
    <w:div w:id="1176381699">
      <w:marLeft w:val="0"/>
      <w:marRight w:val="0"/>
      <w:marTop w:val="0"/>
      <w:marBottom w:val="240"/>
      <w:divBdr>
        <w:top w:val="none" w:sz="0" w:space="0" w:color="auto"/>
        <w:left w:val="none" w:sz="0" w:space="0" w:color="auto"/>
        <w:bottom w:val="none" w:sz="0" w:space="0" w:color="auto"/>
        <w:right w:val="none" w:sz="0" w:space="0" w:color="auto"/>
      </w:divBdr>
    </w:div>
    <w:div w:id="1177890530">
      <w:marLeft w:val="0"/>
      <w:marRight w:val="0"/>
      <w:marTop w:val="0"/>
      <w:marBottom w:val="0"/>
      <w:divBdr>
        <w:top w:val="none" w:sz="0" w:space="0" w:color="auto"/>
        <w:left w:val="none" w:sz="0" w:space="0" w:color="auto"/>
        <w:bottom w:val="none" w:sz="0" w:space="0" w:color="auto"/>
        <w:right w:val="none" w:sz="0" w:space="0" w:color="auto"/>
      </w:divBdr>
    </w:div>
    <w:div w:id="1178958977">
      <w:marLeft w:val="0"/>
      <w:marRight w:val="0"/>
      <w:marTop w:val="120"/>
      <w:marBottom w:val="120"/>
      <w:divBdr>
        <w:top w:val="none" w:sz="0" w:space="0" w:color="auto"/>
        <w:left w:val="none" w:sz="0" w:space="0" w:color="auto"/>
        <w:bottom w:val="none" w:sz="0" w:space="0" w:color="auto"/>
        <w:right w:val="none" w:sz="0" w:space="0" w:color="auto"/>
      </w:divBdr>
    </w:div>
    <w:div w:id="1180506220">
      <w:marLeft w:val="0"/>
      <w:marRight w:val="0"/>
      <w:marTop w:val="0"/>
      <w:marBottom w:val="0"/>
      <w:divBdr>
        <w:top w:val="none" w:sz="0" w:space="0" w:color="auto"/>
        <w:left w:val="none" w:sz="0" w:space="0" w:color="auto"/>
        <w:bottom w:val="none" w:sz="0" w:space="0" w:color="auto"/>
        <w:right w:val="none" w:sz="0" w:space="0" w:color="auto"/>
      </w:divBdr>
      <w:divsChild>
        <w:div w:id="1429079362">
          <w:marLeft w:val="0"/>
          <w:marRight w:val="0"/>
          <w:marTop w:val="0"/>
          <w:marBottom w:val="0"/>
          <w:divBdr>
            <w:top w:val="none" w:sz="0" w:space="0" w:color="auto"/>
            <w:left w:val="none" w:sz="0" w:space="0" w:color="auto"/>
            <w:bottom w:val="none" w:sz="0" w:space="0" w:color="auto"/>
            <w:right w:val="none" w:sz="0" w:space="0" w:color="auto"/>
          </w:divBdr>
        </w:div>
      </w:divsChild>
    </w:div>
    <w:div w:id="1180850362">
      <w:marLeft w:val="0"/>
      <w:marRight w:val="0"/>
      <w:marTop w:val="0"/>
      <w:marBottom w:val="120"/>
      <w:divBdr>
        <w:top w:val="none" w:sz="0" w:space="0" w:color="auto"/>
        <w:left w:val="none" w:sz="0" w:space="0" w:color="auto"/>
        <w:bottom w:val="none" w:sz="0" w:space="0" w:color="auto"/>
        <w:right w:val="none" w:sz="0" w:space="0" w:color="auto"/>
      </w:divBdr>
    </w:div>
    <w:div w:id="1181512272">
      <w:marLeft w:val="0"/>
      <w:marRight w:val="0"/>
      <w:marTop w:val="0"/>
      <w:marBottom w:val="240"/>
      <w:divBdr>
        <w:top w:val="none" w:sz="0" w:space="0" w:color="auto"/>
        <w:left w:val="none" w:sz="0" w:space="0" w:color="auto"/>
        <w:bottom w:val="none" w:sz="0" w:space="0" w:color="auto"/>
        <w:right w:val="none" w:sz="0" w:space="0" w:color="auto"/>
      </w:divBdr>
    </w:div>
    <w:div w:id="1183208375">
      <w:marLeft w:val="0"/>
      <w:marRight w:val="0"/>
      <w:marTop w:val="0"/>
      <w:marBottom w:val="0"/>
      <w:divBdr>
        <w:top w:val="none" w:sz="0" w:space="0" w:color="auto"/>
        <w:left w:val="none" w:sz="0" w:space="0" w:color="auto"/>
        <w:bottom w:val="none" w:sz="0" w:space="0" w:color="auto"/>
        <w:right w:val="none" w:sz="0" w:space="0" w:color="auto"/>
      </w:divBdr>
      <w:divsChild>
        <w:div w:id="322898339">
          <w:marLeft w:val="0"/>
          <w:marRight w:val="0"/>
          <w:marTop w:val="0"/>
          <w:marBottom w:val="0"/>
          <w:divBdr>
            <w:top w:val="none" w:sz="0" w:space="0" w:color="auto"/>
            <w:left w:val="none" w:sz="0" w:space="0" w:color="auto"/>
            <w:bottom w:val="none" w:sz="0" w:space="0" w:color="auto"/>
            <w:right w:val="none" w:sz="0" w:space="0" w:color="auto"/>
          </w:divBdr>
        </w:div>
      </w:divsChild>
    </w:div>
    <w:div w:id="1183781261">
      <w:marLeft w:val="0"/>
      <w:marRight w:val="0"/>
      <w:marTop w:val="100"/>
      <w:marBottom w:val="100"/>
      <w:divBdr>
        <w:top w:val="none" w:sz="0" w:space="0" w:color="auto"/>
        <w:left w:val="none" w:sz="0" w:space="0" w:color="auto"/>
        <w:bottom w:val="none" w:sz="0" w:space="0" w:color="auto"/>
        <w:right w:val="none" w:sz="0" w:space="0" w:color="auto"/>
      </w:divBdr>
    </w:div>
    <w:div w:id="1185754638">
      <w:marLeft w:val="0"/>
      <w:marRight w:val="0"/>
      <w:marTop w:val="0"/>
      <w:marBottom w:val="0"/>
      <w:divBdr>
        <w:top w:val="none" w:sz="0" w:space="0" w:color="auto"/>
        <w:left w:val="none" w:sz="0" w:space="0" w:color="auto"/>
        <w:bottom w:val="none" w:sz="0" w:space="0" w:color="auto"/>
        <w:right w:val="none" w:sz="0" w:space="0" w:color="auto"/>
      </w:divBdr>
    </w:div>
    <w:div w:id="1187330275">
      <w:marLeft w:val="0"/>
      <w:marRight w:val="0"/>
      <w:marTop w:val="0"/>
      <w:marBottom w:val="0"/>
      <w:divBdr>
        <w:top w:val="none" w:sz="0" w:space="0" w:color="auto"/>
        <w:left w:val="none" w:sz="0" w:space="0" w:color="auto"/>
        <w:bottom w:val="none" w:sz="0" w:space="0" w:color="auto"/>
        <w:right w:val="none" w:sz="0" w:space="0" w:color="auto"/>
      </w:divBdr>
    </w:div>
    <w:div w:id="1187405966">
      <w:marLeft w:val="0"/>
      <w:marRight w:val="0"/>
      <w:marTop w:val="0"/>
      <w:marBottom w:val="240"/>
      <w:divBdr>
        <w:top w:val="none" w:sz="0" w:space="0" w:color="auto"/>
        <w:left w:val="none" w:sz="0" w:space="0" w:color="auto"/>
        <w:bottom w:val="none" w:sz="0" w:space="0" w:color="auto"/>
        <w:right w:val="none" w:sz="0" w:space="0" w:color="auto"/>
      </w:divBdr>
    </w:div>
    <w:div w:id="1189834535">
      <w:marLeft w:val="0"/>
      <w:marRight w:val="0"/>
      <w:marTop w:val="0"/>
      <w:marBottom w:val="240"/>
      <w:divBdr>
        <w:top w:val="none" w:sz="0" w:space="0" w:color="auto"/>
        <w:left w:val="none" w:sz="0" w:space="0" w:color="auto"/>
        <w:bottom w:val="none" w:sz="0" w:space="0" w:color="auto"/>
        <w:right w:val="none" w:sz="0" w:space="0" w:color="auto"/>
      </w:divBdr>
    </w:div>
    <w:div w:id="1190602298">
      <w:marLeft w:val="0"/>
      <w:marRight w:val="0"/>
      <w:marTop w:val="0"/>
      <w:marBottom w:val="240"/>
      <w:divBdr>
        <w:top w:val="none" w:sz="0" w:space="0" w:color="auto"/>
        <w:left w:val="none" w:sz="0" w:space="0" w:color="auto"/>
        <w:bottom w:val="none" w:sz="0" w:space="0" w:color="auto"/>
        <w:right w:val="none" w:sz="0" w:space="0" w:color="auto"/>
      </w:divBdr>
    </w:div>
    <w:div w:id="1193033671">
      <w:marLeft w:val="0"/>
      <w:marRight w:val="0"/>
      <w:marTop w:val="0"/>
      <w:marBottom w:val="180"/>
      <w:divBdr>
        <w:top w:val="none" w:sz="0" w:space="0" w:color="auto"/>
        <w:left w:val="none" w:sz="0" w:space="0" w:color="auto"/>
        <w:bottom w:val="none" w:sz="0" w:space="0" w:color="auto"/>
        <w:right w:val="none" w:sz="0" w:space="0" w:color="auto"/>
      </w:divBdr>
    </w:div>
    <w:div w:id="1193418643">
      <w:marLeft w:val="0"/>
      <w:marRight w:val="0"/>
      <w:marTop w:val="120"/>
      <w:marBottom w:val="120"/>
      <w:divBdr>
        <w:top w:val="none" w:sz="0" w:space="0" w:color="auto"/>
        <w:left w:val="none" w:sz="0" w:space="0" w:color="auto"/>
        <w:bottom w:val="none" w:sz="0" w:space="0" w:color="auto"/>
        <w:right w:val="none" w:sz="0" w:space="0" w:color="auto"/>
      </w:divBdr>
    </w:div>
    <w:div w:id="1195997753">
      <w:marLeft w:val="0"/>
      <w:marRight w:val="0"/>
      <w:marTop w:val="120"/>
      <w:marBottom w:val="120"/>
      <w:divBdr>
        <w:top w:val="none" w:sz="0" w:space="0" w:color="auto"/>
        <w:left w:val="none" w:sz="0" w:space="0" w:color="auto"/>
        <w:bottom w:val="none" w:sz="0" w:space="0" w:color="auto"/>
        <w:right w:val="none" w:sz="0" w:space="0" w:color="auto"/>
      </w:divBdr>
    </w:div>
    <w:div w:id="1196692324">
      <w:marLeft w:val="0"/>
      <w:marRight w:val="0"/>
      <w:marTop w:val="0"/>
      <w:marBottom w:val="240"/>
      <w:divBdr>
        <w:top w:val="none" w:sz="0" w:space="0" w:color="auto"/>
        <w:left w:val="none" w:sz="0" w:space="0" w:color="auto"/>
        <w:bottom w:val="none" w:sz="0" w:space="0" w:color="auto"/>
        <w:right w:val="none" w:sz="0" w:space="0" w:color="auto"/>
      </w:divBdr>
    </w:div>
    <w:div w:id="1197235750">
      <w:marLeft w:val="0"/>
      <w:marRight w:val="0"/>
      <w:marTop w:val="180"/>
      <w:marBottom w:val="180"/>
      <w:divBdr>
        <w:top w:val="none" w:sz="0" w:space="0" w:color="auto"/>
        <w:left w:val="none" w:sz="0" w:space="0" w:color="auto"/>
        <w:bottom w:val="none" w:sz="0" w:space="0" w:color="auto"/>
        <w:right w:val="none" w:sz="0" w:space="0" w:color="auto"/>
      </w:divBdr>
    </w:div>
    <w:div w:id="1198855762">
      <w:marLeft w:val="0"/>
      <w:marRight w:val="0"/>
      <w:marTop w:val="0"/>
      <w:marBottom w:val="240"/>
      <w:divBdr>
        <w:top w:val="none" w:sz="0" w:space="0" w:color="auto"/>
        <w:left w:val="none" w:sz="0" w:space="0" w:color="auto"/>
        <w:bottom w:val="none" w:sz="0" w:space="0" w:color="auto"/>
        <w:right w:val="none" w:sz="0" w:space="0" w:color="auto"/>
      </w:divBdr>
    </w:div>
    <w:div w:id="1199048127">
      <w:marLeft w:val="0"/>
      <w:marRight w:val="0"/>
      <w:marTop w:val="0"/>
      <w:marBottom w:val="0"/>
      <w:divBdr>
        <w:top w:val="none" w:sz="0" w:space="0" w:color="auto"/>
        <w:left w:val="none" w:sz="0" w:space="0" w:color="auto"/>
        <w:bottom w:val="none" w:sz="0" w:space="0" w:color="auto"/>
        <w:right w:val="none" w:sz="0" w:space="0" w:color="auto"/>
      </w:divBdr>
    </w:div>
    <w:div w:id="1199078618">
      <w:marLeft w:val="0"/>
      <w:marRight w:val="0"/>
      <w:marTop w:val="0"/>
      <w:marBottom w:val="0"/>
      <w:divBdr>
        <w:top w:val="none" w:sz="0" w:space="0" w:color="auto"/>
        <w:left w:val="none" w:sz="0" w:space="0" w:color="auto"/>
        <w:bottom w:val="none" w:sz="0" w:space="0" w:color="auto"/>
        <w:right w:val="none" w:sz="0" w:space="0" w:color="auto"/>
      </w:divBdr>
    </w:div>
    <w:div w:id="1199703212">
      <w:marLeft w:val="0"/>
      <w:marRight w:val="0"/>
      <w:marTop w:val="0"/>
      <w:marBottom w:val="240"/>
      <w:divBdr>
        <w:top w:val="none" w:sz="0" w:space="0" w:color="auto"/>
        <w:left w:val="none" w:sz="0" w:space="0" w:color="auto"/>
        <w:bottom w:val="none" w:sz="0" w:space="0" w:color="auto"/>
        <w:right w:val="none" w:sz="0" w:space="0" w:color="auto"/>
      </w:divBdr>
    </w:div>
    <w:div w:id="1200506415">
      <w:marLeft w:val="0"/>
      <w:marRight w:val="0"/>
      <w:marTop w:val="0"/>
      <w:marBottom w:val="0"/>
      <w:divBdr>
        <w:top w:val="none" w:sz="0" w:space="0" w:color="auto"/>
        <w:left w:val="none" w:sz="0" w:space="0" w:color="auto"/>
        <w:bottom w:val="none" w:sz="0" w:space="0" w:color="auto"/>
        <w:right w:val="none" w:sz="0" w:space="0" w:color="auto"/>
      </w:divBdr>
    </w:div>
    <w:div w:id="1200510935">
      <w:marLeft w:val="0"/>
      <w:marRight w:val="0"/>
      <w:marTop w:val="0"/>
      <w:marBottom w:val="180"/>
      <w:divBdr>
        <w:top w:val="none" w:sz="0" w:space="0" w:color="auto"/>
        <w:left w:val="none" w:sz="0" w:space="0" w:color="auto"/>
        <w:bottom w:val="none" w:sz="0" w:space="0" w:color="auto"/>
        <w:right w:val="none" w:sz="0" w:space="0" w:color="auto"/>
      </w:divBdr>
    </w:div>
    <w:div w:id="1202790066">
      <w:marLeft w:val="0"/>
      <w:marRight w:val="0"/>
      <w:marTop w:val="0"/>
      <w:marBottom w:val="180"/>
      <w:divBdr>
        <w:top w:val="none" w:sz="0" w:space="0" w:color="auto"/>
        <w:left w:val="none" w:sz="0" w:space="0" w:color="auto"/>
        <w:bottom w:val="none" w:sz="0" w:space="0" w:color="auto"/>
        <w:right w:val="none" w:sz="0" w:space="0" w:color="auto"/>
      </w:divBdr>
    </w:div>
    <w:div w:id="1206219340">
      <w:marLeft w:val="0"/>
      <w:marRight w:val="0"/>
      <w:marTop w:val="0"/>
      <w:marBottom w:val="0"/>
      <w:divBdr>
        <w:top w:val="none" w:sz="0" w:space="0" w:color="auto"/>
        <w:left w:val="none" w:sz="0" w:space="0" w:color="auto"/>
        <w:bottom w:val="none" w:sz="0" w:space="0" w:color="auto"/>
        <w:right w:val="none" w:sz="0" w:space="0" w:color="auto"/>
      </w:divBdr>
      <w:divsChild>
        <w:div w:id="261960099">
          <w:marLeft w:val="0"/>
          <w:marRight w:val="0"/>
          <w:marTop w:val="0"/>
          <w:marBottom w:val="0"/>
          <w:divBdr>
            <w:top w:val="none" w:sz="0" w:space="0" w:color="auto"/>
            <w:left w:val="none" w:sz="0" w:space="0" w:color="auto"/>
            <w:bottom w:val="none" w:sz="0" w:space="0" w:color="auto"/>
            <w:right w:val="none" w:sz="0" w:space="0" w:color="auto"/>
          </w:divBdr>
        </w:div>
      </w:divsChild>
    </w:div>
    <w:div w:id="1206337462">
      <w:marLeft w:val="0"/>
      <w:marRight w:val="0"/>
      <w:marTop w:val="100"/>
      <w:marBottom w:val="100"/>
      <w:divBdr>
        <w:top w:val="none" w:sz="0" w:space="0" w:color="auto"/>
        <w:left w:val="none" w:sz="0" w:space="0" w:color="auto"/>
        <w:bottom w:val="none" w:sz="0" w:space="0" w:color="auto"/>
        <w:right w:val="none" w:sz="0" w:space="0" w:color="auto"/>
      </w:divBdr>
    </w:div>
    <w:div w:id="1206521616">
      <w:marLeft w:val="0"/>
      <w:marRight w:val="0"/>
      <w:marTop w:val="0"/>
      <w:marBottom w:val="0"/>
      <w:divBdr>
        <w:top w:val="none" w:sz="0" w:space="0" w:color="auto"/>
        <w:left w:val="none" w:sz="0" w:space="0" w:color="auto"/>
        <w:bottom w:val="none" w:sz="0" w:space="0" w:color="auto"/>
        <w:right w:val="none" w:sz="0" w:space="0" w:color="auto"/>
      </w:divBdr>
      <w:divsChild>
        <w:div w:id="1036321303">
          <w:marLeft w:val="0"/>
          <w:marRight w:val="0"/>
          <w:marTop w:val="0"/>
          <w:marBottom w:val="0"/>
          <w:divBdr>
            <w:top w:val="none" w:sz="0" w:space="0" w:color="auto"/>
            <w:left w:val="none" w:sz="0" w:space="0" w:color="auto"/>
            <w:bottom w:val="none" w:sz="0" w:space="0" w:color="auto"/>
            <w:right w:val="none" w:sz="0" w:space="0" w:color="auto"/>
          </w:divBdr>
        </w:div>
      </w:divsChild>
    </w:div>
    <w:div w:id="1206675983">
      <w:marLeft w:val="0"/>
      <w:marRight w:val="0"/>
      <w:marTop w:val="0"/>
      <w:marBottom w:val="0"/>
      <w:divBdr>
        <w:top w:val="none" w:sz="0" w:space="0" w:color="auto"/>
        <w:left w:val="none" w:sz="0" w:space="0" w:color="auto"/>
        <w:bottom w:val="none" w:sz="0" w:space="0" w:color="auto"/>
        <w:right w:val="none" w:sz="0" w:space="0" w:color="auto"/>
      </w:divBdr>
    </w:div>
    <w:div w:id="1207371545">
      <w:marLeft w:val="0"/>
      <w:marRight w:val="0"/>
      <w:marTop w:val="0"/>
      <w:marBottom w:val="180"/>
      <w:divBdr>
        <w:top w:val="none" w:sz="0" w:space="0" w:color="auto"/>
        <w:left w:val="none" w:sz="0" w:space="0" w:color="auto"/>
        <w:bottom w:val="none" w:sz="0" w:space="0" w:color="auto"/>
        <w:right w:val="none" w:sz="0" w:space="0" w:color="auto"/>
      </w:divBdr>
    </w:div>
    <w:div w:id="1208449821">
      <w:marLeft w:val="0"/>
      <w:marRight w:val="0"/>
      <w:marTop w:val="0"/>
      <w:marBottom w:val="0"/>
      <w:divBdr>
        <w:top w:val="none" w:sz="0" w:space="0" w:color="auto"/>
        <w:left w:val="none" w:sz="0" w:space="0" w:color="auto"/>
        <w:bottom w:val="none" w:sz="0" w:space="0" w:color="auto"/>
        <w:right w:val="none" w:sz="0" w:space="0" w:color="auto"/>
      </w:divBdr>
    </w:div>
    <w:div w:id="1210727437">
      <w:marLeft w:val="0"/>
      <w:marRight w:val="0"/>
      <w:marTop w:val="0"/>
      <w:marBottom w:val="180"/>
      <w:divBdr>
        <w:top w:val="none" w:sz="0" w:space="0" w:color="auto"/>
        <w:left w:val="none" w:sz="0" w:space="0" w:color="auto"/>
        <w:bottom w:val="none" w:sz="0" w:space="0" w:color="auto"/>
        <w:right w:val="none" w:sz="0" w:space="0" w:color="auto"/>
      </w:divBdr>
    </w:div>
    <w:div w:id="1211959602">
      <w:marLeft w:val="0"/>
      <w:marRight w:val="0"/>
      <w:marTop w:val="0"/>
      <w:marBottom w:val="0"/>
      <w:divBdr>
        <w:top w:val="none" w:sz="0" w:space="0" w:color="auto"/>
        <w:left w:val="none" w:sz="0" w:space="0" w:color="auto"/>
        <w:bottom w:val="none" w:sz="0" w:space="0" w:color="auto"/>
        <w:right w:val="none" w:sz="0" w:space="0" w:color="auto"/>
      </w:divBdr>
      <w:divsChild>
        <w:div w:id="1902325909">
          <w:marLeft w:val="0"/>
          <w:marRight w:val="0"/>
          <w:marTop w:val="0"/>
          <w:marBottom w:val="0"/>
          <w:divBdr>
            <w:top w:val="none" w:sz="0" w:space="0" w:color="auto"/>
            <w:left w:val="none" w:sz="0" w:space="0" w:color="auto"/>
            <w:bottom w:val="none" w:sz="0" w:space="0" w:color="auto"/>
            <w:right w:val="none" w:sz="0" w:space="0" w:color="auto"/>
          </w:divBdr>
        </w:div>
      </w:divsChild>
    </w:div>
    <w:div w:id="1213079314">
      <w:marLeft w:val="0"/>
      <w:marRight w:val="0"/>
      <w:marTop w:val="120"/>
      <w:marBottom w:val="240"/>
      <w:divBdr>
        <w:top w:val="none" w:sz="0" w:space="0" w:color="auto"/>
        <w:left w:val="none" w:sz="0" w:space="0" w:color="auto"/>
        <w:bottom w:val="none" w:sz="0" w:space="0" w:color="auto"/>
        <w:right w:val="none" w:sz="0" w:space="0" w:color="auto"/>
      </w:divBdr>
    </w:div>
    <w:div w:id="1213426285">
      <w:marLeft w:val="0"/>
      <w:marRight w:val="0"/>
      <w:marTop w:val="0"/>
      <w:marBottom w:val="240"/>
      <w:divBdr>
        <w:top w:val="none" w:sz="0" w:space="0" w:color="auto"/>
        <w:left w:val="none" w:sz="0" w:space="0" w:color="auto"/>
        <w:bottom w:val="none" w:sz="0" w:space="0" w:color="auto"/>
        <w:right w:val="none" w:sz="0" w:space="0" w:color="auto"/>
      </w:divBdr>
    </w:div>
    <w:div w:id="1213731859">
      <w:marLeft w:val="0"/>
      <w:marRight w:val="0"/>
      <w:marTop w:val="0"/>
      <w:marBottom w:val="240"/>
      <w:divBdr>
        <w:top w:val="none" w:sz="0" w:space="0" w:color="auto"/>
        <w:left w:val="none" w:sz="0" w:space="0" w:color="auto"/>
        <w:bottom w:val="none" w:sz="0" w:space="0" w:color="auto"/>
        <w:right w:val="none" w:sz="0" w:space="0" w:color="auto"/>
      </w:divBdr>
    </w:div>
    <w:div w:id="1215509268">
      <w:marLeft w:val="0"/>
      <w:marRight w:val="0"/>
      <w:marTop w:val="0"/>
      <w:marBottom w:val="180"/>
      <w:divBdr>
        <w:top w:val="none" w:sz="0" w:space="0" w:color="auto"/>
        <w:left w:val="none" w:sz="0" w:space="0" w:color="auto"/>
        <w:bottom w:val="none" w:sz="0" w:space="0" w:color="auto"/>
        <w:right w:val="none" w:sz="0" w:space="0" w:color="auto"/>
      </w:divBdr>
    </w:div>
    <w:div w:id="1215853047">
      <w:marLeft w:val="0"/>
      <w:marRight w:val="0"/>
      <w:marTop w:val="120"/>
      <w:marBottom w:val="120"/>
      <w:divBdr>
        <w:top w:val="none" w:sz="0" w:space="0" w:color="auto"/>
        <w:left w:val="none" w:sz="0" w:space="0" w:color="auto"/>
        <w:bottom w:val="none" w:sz="0" w:space="0" w:color="auto"/>
        <w:right w:val="none" w:sz="0" w:space="0" w:color="auto"/>
      </w:divBdr>
    </w:div>
    <w:div w:id="1216816759">
      <w:marLeft w:val="0"/>
      <w:marRight w:val="0"/>
      <w:marTop w:val="0"/>
      <w:marBottom w:val="180"/>
      <w:divBdr>
        <w:top w:val="none" w:sz="0" w:space="0" w:color="auto"/>
        <w:left w:val="none" w:sz="0" w:space="0" w:color="auto"/>
        <w:bottom w:val="none" w:sz="0" w:space="0" w:color="auto"/>
        <w:right w:val="none" w:sz="0" w:space="0" w:color="auto"/>
      </w:divBdr>
    </w:div>
    <w:div w:id="1217084117">
      <w:marLeft w:val="0"/>
      <w:marRight w:val="0"/>
      <w:marTop w:val="0"/>
      <w:marBottom w:val="180"/>
      <w:divBdr>
        <w:top w:val="none" w:sz="0" w:space="0" w:color="auto"/>
        <w:left w:val="none" w:sz="0" w:space="0" w:color="auto"/>
        <w:bottom w:val="none" w:sz="0" w:space="0" w:color="auto"/>
        <w:right w:val="none" w:sz="0" w:space="0" w:color="auto"/>
      </w:divBdr>
    </w:div>
    <w:div w:id="1217276272">
      <w:marLeft w:val="0"/>
      <w:marRight w:val="0"/>
      <w:marTop w:val="120"/>
      <w:marBottom w:val="120"/>
      <w:divBdr>
        <w:top w:val="none" w:sz="0" w:space="0" w:color="auto"/>
        <w:left w:val="none" w:sz="0" w:space="0" w:color="auto"/>
        <w:bottom w:val="none" w:sz="0" w:space="0" w:color="auto"/>
        <w:right w:val="none" w:sz="0" w:space="0" w:color="auto"/>
      </w:divBdr>
    </w:div>
    <w:div w:id="1218277397">
      <w:marLeft w:val="0"/>
      <w:marRight w:val="0"/>
      <w:marTop w:val="0"/>
      <w:marBottom w:val="0"/>
      <w:divBdr>
        <w:top w:val="none" w:sz="0" w:space="0" w:color="auto"/>
        <w:left w:val="none" w:sz="0" w:space="0" w:color="auto"/>
        <w:bottom w:val="none" w:sz="0" w:space="0" w:color="auto"/>
        <w:right w:val="none" w:sz="0" w:space="0" w:color="auto"/>
      </w:divBdr>
      <w:divsChild>
        <w:div w:id="1103037349">
          <w:marLeft w:val="0"/>
          <w:marRight w:val="0"/>
          <w:marTop w:val="0"/>
          <w:marBottom w:val="0"/>
          <w:divBdr>
            <w:top w:val="none" w:sz="0" w:space="0" w:color="auto"/>
            <w:left w:val="none" w:sz="0" w:space="0" w:color="auto"/>
            <w:bottom w:val="none" w:sz="0" w:space="0" w:color="auto"/>
            <w:right w:val="none" w:sz="0" w:space="0" w:color="auto"/>
          </w:divBdr>
        </w:div>
      </w:divsChild>
    </w:div>
    <w:div w:id="1220902369">
      <w:marLeft w:val="0"/>
      <w:marRight w:val="0"/>
      <w:marTop w:val="0"/>
      <w:marBottom w:val="180"/>
      <w:divBdr>
        <w:top w:val="none" w:sz="0" w:space="0" w:color="auto"/>
        <w:left w:val="none" w:sz="0" w:space="0" w:color="auto"/>
        <w:bottom w:val="none" w:sz="0" w:space="0" w:color="auto"/>
        <w:right w:val="none" w:sz="0" w:space="0" w:color="auto"/>
      </w:divBdr>
    </w:div>
    <w:div w:id="1222055933">
      <w:marLeft w:val="0"/>
      <w:marRight w:val="0"/>
      <w:marTop w:val="120"/>
      <w:marBottom w:val="120"/>
      <w:divBdr>
        <w:top w:val="none" w:sz="0" w:space="0" w:color="auto"/>
        <w:left w:val="none" w:sz="0" w:space="0" w:color="auto"/>
        <w:bottom w:val="none" w:sz="0" w:space="0" w:color="auto"/>
        <w:right w:val="none" w:sz="0" w:space="0" w:color="auto"/>
      </w:divBdr>
    </w:div>
    <w:div w:id="1222326791">
      <w:marLeft w:val="0"/>
      <w:marRight w:val="0"/>
      <w:marTop w:val="0"/>
      <w:marBottom w:val="180"/>
      <w:divBdr>
        <w:top w:val="none" w:sz="0" w:space="0" w:color="auto"/>
        <w:left w:val="none" w:sz="0" w:space="0" w:color="auto"/>
        <w:bottom w:val="none" w:sz="0" w:space="0" w:color="auto"/>
        <w:right w:val="none" w:sz="0" w:space="0" w:color="auto"/>
      </w:divBdr>
    </w:div>
    <w:div w:id="1228682428">
      <w:marLeft w:val="0"/>
      <w:marRight w:val="0"/>
      <w:marTop w:val="120"/>
      <w:marBottom w:val="120"/>
      <w:divBdr>
        <w:top w:val="none" w:sz="0" w:space="0" w:color="auto"/>
        <w:left w:val="none" w:sz="0" w:space="0" w:color="auto"/>
        <w:bottom w:val="none" w:sz="0" w:space="0" w:color="auto"/>
        <w:right w:val="none" w:sz="0" w:space="0" w:color="auto"/>
      </w:divBdr>
    </w:div>
    <w:div w:id="1229029021">
      <w:marLeft w:val="0"/>
      <w:marRight w:val="0"/>
      <w:marTop w:val="100"/>
      <w:marBottom w:val="100"/>
      <w:divBdr>
        <w:top w:val="none" w:sz="0" w:space="0" w:color="auto"/>
        <w:left w:val="none" w:sz="0" w:space="0" w:color="auto"/>
        <w:bottom w:val="none" w:sz="0" w:space="0" w:color="auto"/>
        <w:right w:val="none" w:sz="0" w:space="0" w:color="auto"/>
      </w:divBdr>
      <w:divsChild>
        <w:div w:id="392974762">
          <w:marLeft w:val="0"/>
          <w:marRight w:val="0"/>
          <w:marTop w:val="0"/>
          <w:marBottom w:val="0"/>
          <w:divBdr>
            <w:top w:val="none" w:sz="0" w:space="0" w:color="auto"/>
            <w:left w:val="none" w:sz="0" w:space="0" w:color="auto"/>
            <w:bottom w:val="none" w:sz="0" w:space="0" w:color="auto"/>
            <w:right w:val="none" w:sz="0" w:space="0" w:color="auto"/>
          </w:divBdr>
        </w:div>
        <w:div w:id="221912996">
          <w:marLeft w:val="0"/>
          <w:marRight w:val="0"/>
          <w:marTop w:val="0"/>
          <w:marBottom w:val="0"/>
          <w:divBdr>
            <w:top w:val="none" w:sz="0" w:space="0" w:color="auto"/>
            <w:left w:val="none" w:sz="0" w:space="0" w:color="auto"/>
            <w:bottom w:val="none" w:sz="0" w:space="0" w:color="auto"/>
            <w:right w:val="none" w:sz="0" w:space="0" w:color="auto"/>
          </w:divBdr>
        </w:div>
        <w:div w:id="1961297297">
          <w:marLeft w:val="0"/>
          <w:marRight w:val="0"/>
          <w:marTop w:val="0"/>
          <w:marBottom w:val="0"/>
          <w:divBdr>
            <w:top w:val="none" w:sz="0" w:space="0" w:color="auto"/>
            <w:left w:val="none" w:sz="0" w:space="0" w:color="auto"/>
            <w:bottom w:val="none" w:sz="0" w:space="0" w:color="auto"/>
            <w:right w:val="none" w:sz="0" w:space="0" w:color="auto"/>
          </w:divBdr>
        </w:div>
        <w:div w:id="586810455">
          <w:marLeft w:val="0"/>
          <w:marRight w:val="0"/>
          <w:marTop w:val="0"/>
          <w:marBottom w:val="0"/>
          <w:divBdr>
            <w:top w:val="none" w:sz="0" w:space="0" w:color="auto"/>
            <w:left w:val="none" w:sz="0" w:space="0" w:color="auto"/>
            <w:bottom w:val="none" w:sz="0" w:space="0" w:color="auto"/>
            <w:right w:val="none" w:sz="0" w:space="0" w:color="auto"/>
          </w:divBdr>
        </w:div>
        <w:div w:id="71006851">
          <w:marLeft w:val="0"/>
          <w:marRight w:val="0"/>
          <w:marTop w:val="0"/>
          <w:marBottom w:val="0"/>
          <w:divBdr>
            <w:top w:val="none" w:sz="0" w:space="0" w:color="auto"/>
            <w:left w:val="none" w:sz="0" w:space="0" w:color="auto"/>
            <w:bottom w:val="none" w:sz="0" w:space="0" w:color="auto"/>
            <w:right w:val="none" w:sz="0" w:space="0" w:color="auto"/>
          </w:divBdr>
        </w:div>
        <w:div w:id="690492991">
          <w:marLeft w:val="0"/>
          <w:marRight w:val="0"/>
          <w:marTop w:val="0"/>
          <w:marBottom w:val="0"/>
          <w:divBdr>
            <w:top w:val="none" w:sz="0" w:space="0" w:color="auto"/>
            <w:left w:val="none" w:sz="0" w:space="0" w:color="auto"/>
            <w:bottom w:val="none" w:sz="0" w:space="0" w:color="auto"/>
            <w:right w:val="none" w:sz="0" w:space="0" w:color="auto"/>
          </w:divBdr>
        </w:div>
        <w:div w:id="161745049">
          <w:marLeft w:val="0"/>
          <w:marRight w:val="0"/>
          <w:marTop w:val="0"/>
          <w:marBottom w:val="0"/>
          <w:divBdr>
            <w:top w:val="none" w:sz="0" w:space="0" w:color="auto"/>
            <w:left w:val="none" w:sz="0" w:space="0" w:color="auto"/>
            <w:bottom w:val="none" w:sz="0" w:space="0" w:color="auto"/>
            <w:right w:val="none" w:sz="0" w:space="0" w:color="auto"/>
          </w:divBdr>
        </w:div>
        <w:div w:id="1548641000">
          <w:marLeft w:val="0"/>
          <w:marRight w:val="0"/>
          <w:marTop w:val="0"/>
          <w:marBottom w:val="0"/>
          <w:divBdr>
            <w:top w:val="none" w:sz="0" w:space="0" w:color="auto"/>
            <w:left w:val="none" w:sz="0" w:space="0" w:color="auto"/>
            <w:bottom w:val="none" w:sz="0" w:space="0" w:color="auto"/>
            <w:right w:val="none" w:sz="0" w:space="0" w:color="auto"/>
          </w:divBdr>
        </w:div>
      </w:divsChild>
    </w:div>
    <w:div w:id="1230189991">
      <w:marLeft w:val="0"/>
      <w:marRight w:val="0"/>
      <w:marTop w:val="0"/>
      <w:marBottom w:val="0"/>
      <w:divBdr>
        <w:top w:val="none" w:sz="0" w:space="0" w:color="auto"/>
        <w:left w:val="none" w:sz="0" w:space="0" w:color="auto"/>
        <w:bottom w:val="none" w:sz="0" w:space="0" w:color="auto"/>
        <w:right w:val="none" w:sz="0" w:space="0" w:color="auto"/>
      </w:divBdr>
    </w:div>
    <w:div w:id="1232696781">
      <w:marLeft w:val="0"/>
      <w:marRight w:val="0"/>
      <w:marTop w:val="0"/>
      <w:marBottom w:val="240"/>
      <w:divBdr>
        <w:top w:val="none" w:sz="0" w:space="0" w:color="auto"/>
        <w:left w:val="none" w:sz="0" w:space="0" w:color="auto"/>
        <w:bottom w:val="none" w:sz="0" w:space="0" w:color="auto"/>
        <w:right w:val="none" w:sz="0" w:space="0" w:color="auto"/>
      </w:divBdr>
    </w:div>
    <w:div w:id="1233541017">
      <w:marLeft w:val="0"/>
      <w:marRight w:val="0"/>
      <w:marTop w:val="0"/>
      <w:marBottom w:val="240"/>
      <w:divBdr>
        <w:top w:val="none" w:sz="0" w:space="0" w:color="auto"/>
        <w:left w:val="none" w:sz="0" w:space="0" w:color="auto"/>
        <w:bottom w:val="none" w:sz="0" w:space="0" w:color="auto"/>
        <w:right w:val="none" w:sz="0" w:space="0" w:color="auto"/>
      </w:divBdr>
    </w:div>
    <w:div w:id="1244030768">
      <w:marLeft w:val="0"/>
      <w:marRight w:val="0"/>
      <w:marTop w:val="0"/>
      <w:marBottom w:val="180"/>
      <w:divBdr>
        <w:top w:val="none" w:sz="0" w:space="0" w:color="auto"/>
        <w:left w:val="none" w:sz="0" w:space="0" w:color="auto"/>
        <w:bottom w:val="none" w:sz="0" w:space="0" w:color="auto"/>
        <w:right w:val="none" w:sz="0" w:space="0" w:color="auto"/>
      </w:divBdr>
    </w:div>
    <w:div w:id="1247692720">
      <w:marLeft w:val="0"/>
      <w:marRight w:val="0"/>
      <w:marTop w:val="0"/>
      <w:marBottom w:val="240"/>
      <w:divBdr>
        <w:top w:val="none" w:sz="0" w:space="0" w:color="auto"/>
        <w:left w:val="none" w:sz="0" w:space="0" w:color="auto"/>
        <w:bottom w:val="none" w:sz="0" w:space="0" w:color="auto"/>
        <w:right w:val="none" w:sz="0" w:space="0" w:color="auto"/>
      </w:divBdr>
    </w:div>
    <w:div w:id="1247694703">
      <w:marLeft w:val="0"/>
      <w:marRight w:val="0"/>
      <w:marTop w:val="0"/>
      <w:marBottom w:val="0"/>
      <w:divBdr>
        <w:top w:val="none" w:sz="0" w:space="0" w:color="auto"/>
        <w:left w:val="none" w:sz="0" w:space="0" w:color="auto"/>
        <w:bottom w:val="none" w:sz="0" w:space="0" w:color="auto"/>
        <w:right w:val="none" w:sz="0" w:space="0" w:color="auto"/>
      </w:divBdr>
      <w:divsChild>
        <w:div w:id="957371550">
          <w:marLeft w:val="0"/>
          <w:marRight w:val="0"/>
          <w:marTop w:val="0"/>
          <w:marBottom w:val="0"/>
          <w:divBdr>
            <w:top w:val="none" w:sz="0" w:space="0" w:color="auto"/>
            <w:left w:val="none" w:sz="0" w:space="0" w:color="auto"/>
            <w:bottom w:val="none" w:sz="0" w:space="0" w:color="auto"/>
            <w:right w:val="none" w:sz="0" w:space="0" w:color="auto"/>
          </w:divBdr>
        </w:div>
      </w:divsChild>
    </w:div>
    <w:div w:id="1254439144">
      <w:marLeft w:val="0"/>
      <w:marRight w:val="0"/>
      <w:marTop w:val="0"/>
      <w:marBottom w:val="0"/>
      <w:divBdr>
        <w:top w:val="none" w:sz="0" w:space="0" w:color="auto"/>
        <w:left w:val="none" w:sz="0" w:space="0" w:color="auto"/>
        <w:bottom w:val="none" w:sz="0" w:space="0" w:color="auto"/>
        <w:right w:val="none" w:sz="0" w:space="0" w:color="auto"/>
      </w:divBdr>
    </w:div>
    <w:div w:id="1254778380">
      <w:marLeft w:val="0"/>
      <w:marRight w:val="0"/>
      <w:marTop w:val="0"/>
      <w:marBottom w:val="180"/>
      <w:divBdr>
        <w:top w:val="none" w:sz="0" w:space="0" w:color="auto"/>
        <w:left w:val="none" w:sz="0" w:space="0" w:color="auto"/>
        <w:bottom w:val="none" w:sz="0" w:space="0" w:color="auto"/>
        <w:right w:val="none" w:sz="0" w:space="0" w:color="auto"/>
      </w:divBdr>
    </w:div>
    <w:div w:id="1255089125">
      <w:marLeft w:val="0"/>
      <w:marRight w:val="0"/>
      <w:marTop w:val="0"/>
      <w:marBottom w:val="240"/>
      <w:divBdr>
        <w:top w:val="none" w:sz="0" w:space="0" w:color="auto"/>
        <w:left w:val="none" w:sz="0" w:space="0" w:color="auto"/>
        <w:bottom w:val="none" w:sz="0" w:space="0" w:color="auto"/>
        <w:right w:val="none" w:sz="0" w:space="0" w:color="auto"/>
      </w:divBdr>
    </w:div>
    <w:div w:id="1255825056">
      <w:marLeft w:val="0"/>
      <w:marRight w:val="0"/>
      <w:marTop w:val="0"/>
      <w:marBottom w:val="0"/>
      <w:divBdr>
        <w:top w:val="none" w:sz="0" w:space="0" w:color="auto"/>
        <w:left w:val="none" w:sz="0" w:space="0" w:color="auto"/>
        <w:bottom w:val="none" w:sz="0" w:space="0" w:color="auto"/>
        <w:right w:val="none" w:sz="0" w:space="0" w:color="auto"/>
      </w:divBdr>
      <w:divsChild>
        <w:div w:id="1948732286">
          <w:marLeft w:val="0"/>
          <w:marRight w:val="0"/>
          <w:marTop w:val="0"/>
          <w:marBottom w:val="0"/>
          <w:divBdr>
            <w:top w:val="none" w:sz="0" w:space="0" w:color="auto"/>
            <w:left w:val="none" w:sz="0" w:space="0" w:color="auto"/>
            <w:bottom w:val="none" w:sz="0" w:space="0" w:color="auto"/>
            <w:right w:val="none" w:sz="0" w:space="0" w:color="auto"/>
          </w:divBdr>
        </w:div>
      </w:divsChild>
    </w:div>
    <w:div w:id="1259410719">
      <w:marLeft w:val="0"/>
      <w:marRight w:val="0"/>
      <w:marTop w:val="180"/>
      <w:marBottom w:val="180"/>
      <w:divBdr>
        <w:top w:val="none" w:sz="0" w:space="0" w:color="auto"/>
        <w:left w:val="none" w:sz="0" w:space="0" w:color="auto"/>
        <w:bottom w:val="none" w:sz="0" w:space="0" w:color="auto"/>
        <w:right w:val="none" w:sz="0" w:space="0" w:color="auto"/>
      </w:divBdr>
    </w:div>
    <w:div w:id="1259945104">
      <w:marLeft w:val="0"/>
      <w:marRight w:val="0"/>
      <w:marTop w:val="180"/>
      <w:marBottom w:val="180"/>
      <w:divBdr>
        <w:top w:val="none" w:sz="0" w:space="0" w:color="auto"/>
        <w:left w:val="none" w:sz="0" w:space="0" w:color="auto"/>
        <w:bottom w:val="none" w:sz="0" w:space="0" w:color="auto"/>
        <w:right w:val="none" w:sz="0" w:space="0" w:color="auto"/>
      </w:divBdr>
    </w:div>
    <w:div w:id="1261446588">
      <w:marLeft w:val="0"/>
      <w:marRight w:val="0"/>
      <w:marTop w:val="0"/>
      <w:marBottom w:val="180"/>
      <w:divBdr>
        <w:top w:val="none" w:sz="0" w:space="0" w:color="auto"/>
        <w:left w:val="none" w:sz="0" w:space="0" w:color="auto"/>
        <w:bottom w:val="none" w:sz="0" w:space="0" w:color="auto"/>
        <w:right w:val="none" w:sz="0" w:space="0" w:color="auto"/>
      </w:divBdr>
    </w:div>
    <w:div w:id="1263033188">
      <w:marLeft w:val="0"/>
      <w:marRight w:val="0"/>
      <w:marTop w:val="120"/>
      <w:marBottom w:val="180"/>
      <w:divBdr>
        <w:top w:val="none" w:sz="0" w:space="0" w:color="auto"/>
        <w:left w:val="none" w:sz="0" w:space="0" w:color="auto"/>
        <w:bottom w:val="none" w:sz="0" w:space="0" w:color="auto"/>
        <w:right w:val="none" w:sz="0" w:space="0" w:color="auto"/>
      </w:divBdr>
    </w:div>
    <w:div w:id="1263689633">
      <w:marLeft w:val="0"/>
      <w:marRight w:val="0"/>
      <w:marTop w:val="0"/>
      <w:marBottom w:val="240"/>
      <w:divBdr>
        <w:top w:val="none" w:sz="0" w:space="0" w:color="auto"/>
        <w:left w:val="none" w:sz="0" w:space="0" w:color="auto"/>
        <w:bottom w:val="none" w:sz="0" w:space="0" w:color="auto"/>
        <w:right w:val="none" w:sz="0" w:space="0" w:color="auto"/>
      </w:divBdr>
    </w:div>
    <w:div w:id="1264607999">
      <w:marLeft w:val="0"/>
      <w:marRight w:val="0"/>
      <w:marTop w:val="0"/>
      <w:marBottom w:val="24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sChild>
        <w:div w:id="1433479413">
          <w:marLeft w:val="0"/>
          <w:marRight w:val="0"/>
          <w:marTop w:val="0"/>
          <w:marBottom w:val="0"/>
          <w:divBdr>
            <w:top w:val="none" w:sz="0" w:space="0" w:color="auto"/>
            <w:left w:val="none" w:sz="0" w:space="0" w:color="auto"/>
            <w:bottom w:val="none" w:sz="0" w:space="0" w:color="auto"/>
            <w:right w:val="none" w:sz="0" w:space="0" w:color="auto"/>
          </w:divBdr>
          <w:divsChild>
            <w:div w:id="18626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720">
      <w:marLeft w:val="0"/>
      <w:marRight w:val="0"/>
      <w:marTop w:val="0"/>
      <w:marBottom w:val="180"/>
      <w:divBdr>
        <w:top w:val="none" w:sz="0" w:space="0" w:color="auto"/>
        <w:left w:val="none" w:sz="0" w:space="0" w:color="auto"/>
        <w:bottom w:val="none" w:sz="0" w:space="0" w:color="auto"/>
        <w:right w:val="none" w:sz="0" w:space="0" w:color="auto"/>
      </w:divBdr>
    </w:div>
    <w:div w:id="1269661216">
      <w:marLeft w:val="0"/>
      <w:marRight w:val="0"/>
      <w:marTop w:val="0"/>
      <w:marBottom w:val="180"/>
      <w:divBdr>
        <w:top w:val="none" w:sz="0" w:space="0" w:color="auto"/>
        <w:left w:val="none" w:sz="0" w:space="0" w:color="auto"/>
        <w:bottom w:val="none" w:sz="0" w:space="0" w:color="auto"/>
        <w:right w:val="none" w:sz="0" w:space="0" w:color="auto"/>
      </w:divBdr>
    </w:div>
    <w:div w:id="1270360080">
      <w:marLeft w:val="0"/>
      <w:marRight w:val="0"/>
      <w:marTop w:val="180"/>
      <w:marBottom w:val="180"/>
      <w:divBdr>
        <w:top w:val="none" w:sz="0" w:space="0" w:color="auto"/>
        <w:left w:val="none" w:sz="0" w:space="0" w:color="auto"/>
        <w:bottom w:val="none" w:sz="0" w:space="0" w:color="auto"/>
        <w:right w:val="none" w:sz="0" w:space="0" w:color="auto"/>
      </w:divBdr>
    </w:div>
    <w:div w:id="1271743919">
      <w:marLeft w:val="0"/>
      <w:marRight w:val="0"/>
      <w:marTop w:val="180"/>
      <w:marBottom w:val="180"/>
      <w:divBdr>
        <w:top w:val="none" w:sz="0" w:space="0" w:color="auto"/>
        <w:left w:val="none" w:sz="0" w:space="0" w:color="auto"/>
        <w:bottom w:val="none" w:sz="0" w:space="0" w:color="auto"/>
        <w:right w:val="none" w:sz="0" w:space="0" w:color="auto"/>
      </w:divBdr>
    </w:div>
    <w:div w:id="1273517748">
      <w:marLeft w:val="0"/>
      <w:marRight w:val="0"/>
      <w:marTop w:val="0"/>
      <w:marBottom w:val="240"/>
      <w:divBdr>
        <w:top w:val="none" w:sz="0" w:space="0" w:color="auto"/>
        <w:left w:val="none" w:sz="0" w:space="0" w:color="auto"/>
        <w:bottom w:val="none" w:sz="0" w:space="0" w:color="auto"/>
        <w:right w:val="none" w:sz="0" w:space="0" w:color="auto"/>
      </w:divBdr>
    </w:div>
    <w:div w:id="1273777803">
      <w:marLeft w:val="0"/>
      <w:marRight w:val="0"/>
      <w:marTop w:val="0"/>
      <w:marBottom w:val="0"/>
      <w:divBdr>
        <w:top w:val="none" w:sz="0" w:space="0" w:color="auto"/>
        <w:left w:val="none" w:sz="0" w:space="0" w:color="auto"/>
        <w:bottom w:val="none" w:sz="0" w:space="0" w:color="auto"/>
        <w:right w:val="none" w:sz="0" w:space="0" w:color="auto"/>
      </w:divBdr>
      <w:divsChild>
        <w:div w:id="1134522691">
          <w:marLeft w:val="0"/>
          <w:marRight w:val="0"/>
          <w:marTop w:val="0"/>
          <w:marBottom w:val="0"/>
          <w:divBdr>
            <w:top w:val="none" w:sz="0" w:space="0" w:color="auto"/>
            <w:left w:val="none" w:sz="0" w:space="0" w:color="auto"/>
            <w:bottom w:val="none" w:sz="0" w:space="0" w:color="auto"/>
            <w:right w:val="none" w:sz="0" w:space="0" w:color="auto"/>
          </w:divBdr>
        </w:div>
      </w:divsChild>
    </w:div>
    <w:div w:id="1274050597">
      <w:marLeft w:val="0"/>
      <w:marRight w:val="0"/>
      <w:marTop w:val="0"/>
      <w:marBottom w:val="0"/>
      <w:divBdr>
        <w:top w:val="none" w:sz="0" w:space="0" w:color="auto"/>
        <w:left w:val="none" w:sz="0" w:space="0" w:color="auto"/>
        <w:bottom w:val="none" w:sz="0" w:space="0" w:color="auto"/>
        <w:right w:val="none" w:sz="0" w:space="0" w:color="auto"/>
      </w:divBdr>
    </w:div>
    <w:div w:id="1274555586">
      <w:marLeft w:val="0"/>
      <w:marRight w:val="0"/>
      <w:marTop w:val="0"/>
      <w:marBottom w:val="0"/>
      <w:divBdr>
        <w:top w:val="none" w:sz="0" w:space="0" w:color="auto"/>
        <w:left w:val="none" w:sz="0" w:space="0" w:color="auto"/>
        <w:bottom w:val="none" w:sz="0" w:space="0" w:color="auto"/>
        <w:right w:val="none" w:sz="0" w:space="0" w:color="auto"/>
      </w:divBdr>
      <w:divsChild>
        <w:div w:id="1484931275">
          <w:marLeft w:val="0"/>
          <w:marRight w:val="0"/>
          <w:marTop w:val="0"/>
          <w:marBottom w:val="0"/>
          <w:divBdr>
            <w:top w:val="none" w:sz="0" w:space="0" w:color="auto"/>
            <w:left w:val="none" w:sz="0" w:space="0" w:color="auto"/>
            <w:bottom w:val="none" w:sz="0" w:space="0" w:color="auto"/>
            <w:right w:val="none" w:sz="0" w:space="0" w:color="auto"/>
          </w:divBdr>
        </w:div>
      </w:divsChild>
    </w:div>
    <w:div w:id="1277326114">
      <w:marLeft w:val="0"/>
      <w:marRight w:val="0"/>
      <w:marTop w:val="120"/>
      <w:marBottom w:val="120"/>
      <w:divBdr>
        <w:top w:val="none" w:sz="0" w:space="0" w:color="auto"/>
        <w:left w:val="none" w:sz="0" w:space="0" w:color="auto"/>
        <w:bottom w:val="none" w:sz="0" w:space="0" w:color="auto"/>
        <w:right w:val="none" w:sz="0" w:space="0" w:color="auto"/>
      </w:divBdr>
    </w:div>
    <w:div w:id="1277450350">
      <w:marLeft w:val="0"/>
      <w:marRight w:val="0"/>
      <w:marTop w:val="0"/>
      <w:marBottom w:val="0"/>
      <w:divBdr>
        <w:top w:val="none" w:sz="0" w:space="0" w:color="auto"/>
        <w:left w:val="none" w:sz="0" w:space="0" w:color="auto"/>
        <w:bottom w:val="none" w:sz="0" w:space="0" w:color="auto"/>
        <w:right w:val="none" w:sz="0" w:space="0" w:color="auto"/>
      </w:divBdr>
    </w:div>
    <w:div w:id="1279218205">
      <w:marLeft w:val="0"/>
      <w:marRight w:val="0"/>
      <w:marTop w:val="120"/>
      <w:marBottom w:val="120"/>
      <w:divBdr>
        <w:top w:val="none" w:sz="0" w:space="0" w:color="auto"/>
        <w:left w:val="none" w:sz="0" w:space="0" w:color="auto"/>
        <w:bottom w:val="none" w:sz="0" w:space="0" w:color="auto"/>
        <w:right w:val="none" w:sz="0" w:space="0" w:color="auto"/>
      </w:divBdr>
    </w:div>
    <w:div w:id="1283421544">
      <w:marLeft w:val="0"/>
      <w:marRight w:val="0"/>
      <w:marTop w:val="120"/>
      <w:marBottom w:val="120"/>
      <w:divBdr>
        <w:top w:val="none" w:sz="0" w:space="0" w:color="auto"/>
        <w:left w:val="none" w:sz="0" w:space="0" w:color="auto"/>
        <w:bottom w:val="none" w:sz="0" w:space="0" w:color="auto"/>
        <w:right w:val="none" w:sz="0" w:space="0" w:color="auto"/>
      </w:divBdr>
    </w:div>
    <w:div w:id="1285118576">
      <w:marLeft w:val="0"/>
      <w:marRight w:val="0"/>
      <w:marTop w:val="0"/>
      <w:marBottom w:val="0"/>
      <w:divBdr>
        <w:top w:val="none" w:sz="0" w:space="0" w:color="auto"/>
        <w:left w:val="none" w:sz="0" w:space="0" w:color="auto"/>
        <w:bottom w:val="none" w:sz="0" w:space="0" w:color="auto"/>
        <w:right w:val="none" w:sz="0" w:space="0" w:color="auto"/>
      </w:divBdr>
    </w:div>
    <w:div w:id="1286548445">
      <w:marLeft w:val="0"/>
      <w:marRight w:val="0"/>
      <w:marTop w:val="0"/>
      <w:marBottom w:val="180"/>
      <w:divBdr>
        <w:top w:val="none" w:sz="0" w:space="0" w:color="auto"/>
        <w:left w:val="none" w:sz="0" w:space="0" w:color="auto"/>
        <w:bottom w:val="none" w:sz="0" w:space="0" w:color="auto"/>
        <w:right w:val="none" w:sz="0" w:space="0" w:color="auto"/>
      </w:divBdr>
    </w:div>
    <w:div w:id="1287928579">
      <w:marLeft w:val="0"/>
      <w:marRight w:val="0"/>
      <w:marTop w:val="0"/>
      <w:marBottom w:val="0"/>
      <w:divBdr>
        <w:top w:val="none" w:sz="0" w:space="0" w:color="auto"/>
        <w:left w:val="none" w:sz="0" w:space="0" w:color="auto"/>
        <w:bottom w:val="none" w:sz="0" w:space="0" w:color="auto"/>
        <w:right w:val="none" w:sz="0" w:space="0" w:color="auto"/>
      </w:divBdr>
      <w:divsChild>
        <w:div w:id="1410158700">
          <w:marLeft w:val="0"/>
          <w:marRight w:val="0"/>
          <w:marTop w:val="0"/>
          <w:marBottom w:val="0"/>
          <w:divBdr>
            <w:top w:val="none" w:sz="0" w:space="0" w:color="auto"/>
            <w:left w:val="none" w:sz="0" w:space="0" w:color="auto"/>
            <w:bottom w:val="none" w:sz="0" w:space="0" w:color="auto"/>
            <w:right w:val="none" w:sz="0" w:space="0" w:color="auto"/>
          </w:divBdr>
        </w:div>
      </w:divsChild>
    </w:div>
    <w:div w:id="1293288001">
      <w:marLeft w:val="0"/>
      <w:marRight w:val="0"/>
      <w:marTop w:val="0"/>
      <w:marBottom w:val="180"/>
      <w:divBdr>
        <w:top w:val="none" w:sz="0" w:space="0" w:color="auto"/>
        <w:left w:val="none" w:sz="0" w:space="0" w:color="auto"/>
        <w:bottom w:val="none" w:sz="0" w:space="0" w:color="auto"/>
        <w:right w:val="none" w:sz="0" w:space="0" w:color="auto"/>
      </w:divBdr>
    </w:div>
    <w:div w:id="1294991589">
      <w:marLeft w:val="0"/>
      <w:marRight w:val="0"/>
      <w:marTop w:val="180"/>
      <w:marBottom w:val="180"/>
      <w:divBdr>
        <w:top w:val="none" w:sz="0" w:space="0" w:color="auto"/>
        <w:left w:val="none" w:sz="0" w:space="0" w:color="auto"/>
        <w:bottom w:val="none" w:sz="0" w:space="0" w:color="auto"/>
        <w:right w:val="none" w:sz="0" w:space="0" w:color="auto"/>
      </w:divBdr>
    </w:div>
    <w:div w:id="1295721553">
      <w:marLeft w:val="0"/>
      <w:marRight w:val="0"/>
      <w:marTop w:val="0"/>
      <w:marBottom w:val="180"/>
      <w:divBdr>
        <w:top w:val="none" w:sz="0" w:space="0" w:color="auto"/>
        <w:left w:val="none" w:sz="0" w:space="0" w:color="auto"/>
        <w:bottom w:val="none" w:sz="0" w:space="0" w:color="auto"/>
        <w:right w:val="none" w:sz="0" w:space="0" w:color="auto"/>
      </w:divBdr>
    </w:div>
    <w:div w:id="1297031454">
      <w:marLeft w:val="0"/>
      <w:marRight w:val="0"/>
      <w:marTop w:val="120"/>
      <w:marBottom w:val="120"/>
      <w:divBdr>
        <w:top w:val="none" w:sz="0" w:space="0" w:color="auto"/>
        <w:left w:val="none" w:sz="0" w:space="0" w:color="auto"/>
        <w:bottom w:val="none" w:sz="0" w:space="0" w:color="auto"/>
        <w:right w:val="none" w:sz="0" w:space="0" w:color="auto"/>
      </w:divBdr>
    </w:div>
    <w:div w:id="1299529408">
      <w:marLeft w:val="0"/>
      <w:marRight w:val="0"/>
      <w:marTop w:val="0"/>
      <w:marBottom w:val="180"/>
      <w:divBdr>
        <w:top w:val="none" w:sz="0" w:space="0" w:color="auto"/>
        <w:left w:val="none" w:sz="0" w:space="0" w:color="auto"/>
        <w:bottom w:val="none" w:sz="0" w:space="0" w:color="auto"/>
        <w:right w:val="none" w:sz="0" w:space="0" w:color="auto"/>
      </w:divBdr>
    </w:div>
    <w:div w:id="1300496760">
      <w:marLeft w:val="0"/>
      <w:marRight w:val="0"/>
      <w:marTop w:val="180"/>
      <w:marBottom w:val="180"/>
      <w:divBdr>
        <w:top w:val="none" w:sz="0" w:space="0" w:color="auto"/>
        <w:left w:val="none" w:sz="0" w:space="0" w:color="auto"/>
        <w:bottom w:val="none" w:sz="0" w:space="0" w:color="auto"/>
        <w:right w:val="none" w:sz="0" w:space="0" w:color="auto"/>
      </w:divBdr>
    </w:div>
    <w:div w:id="1301035219">
      <w:marLeft w:val="0"/>
      <w:marRight w:val="0"/>
      <w:marTop w:val="0"/>
      <w:marBottom w:val="0"/>
      <w:divBdr>
        <w:top w:val="none" w:sz="0" w:space="0" w:color="auto"/>
        <w:left w:val="none" w:sz="0" w:space="0" w:color="auto"/>
        <w:bottom w:val="none" w:sz="0" w:space="0" w:color="auto"/>
        <w:right w:val="none" w:sz="0" w:space="0" w:color="auto"/>
      </w:divBdr>
    </w:div>
    <w:div w:id="1301611089">
      <w:marLeft w:val="0"/>
      <w:marRight w:val="0"/>
      <w:marTop w:val="240"/>
      <w:marBottom w:val="240"/>
      <w:divBdr>
        <w:top w:val="none" w:sz="0" w:space="0" w:color="auto"/>
        <w:left w:val="none" w:sz="0" w:space="0" w:color="auto"/>
        <w:bottom w:val="none" w:sz="0" w:space="0" w:color="auto"/>
        <w:right w:val="none" w:sz="0" w:space="0" w:color="auto"/>
      </w:divBdr>
    </w:div>
    <w:div w:id="1302685634">
      <w:marLeft w:val="0"/>
      <w:marRight w:val="0"/>
      <w:marTop w:val="0"/>
      <w:marBottom w:val="240"/>
      <w:divBdr>
        <w:top w:val="none" w:sz="0" w:space="0" w:color="auto"/>
        <w:left w:val="none" w:sz="0" w:space="0" w:color="auto"/>
        <w:bottom w:val="none" w:sz="0" w:space="0" w:color="auto"/>
        <w:right w:val="none" w:sz="0" w:space="0" w:color="auto"/>
      </w:divBdr>
    </w:div>
    <w:div w:id="1304387012">
      <w:marLeft w:val="0"/>
      <w:marRight w:val="0"/>
      <w:marTop w:val="0"/>
      <w:marBottom w:val="0"/>
      <w:divBdr>
        <w:top w:val="none" w:sz="0" w:space="0" w:color="auto"/>
        <w:left w:val="none" w:sz="0" w:space="0" w:color="auto"/>
        <w:bottom w:val="none" w:sz="0" w:space="0" w:color="auto"/>
        <w:right w:val="none" w:sz="0" w:space="0" w:color="auto"/>
      </w:divBdr>
    </w:div>
    <w:div w:id="1305509094">
      <w:marLeft w:val="0"/>
      <w:marRight w:val="0"/>
      <w:marTop w:val="0"/>
      <w:marBottom w:val="180"/>
      <w:divBdr>
        <w:top w:val="none" w:sz="0" w:space="0" w:color="auto"/>
        <w:left w:val="none" w:sz="0" w:space="0" w:color="auto"/>
        <w:bottom w:val="none" w:sz="0" w:space="0" w:color="auto"/>
        <w:right w:val="none" w:sz="0" w:space="0" w:color="auto"/>
      </w:divBdr>
    </w:div>
    <w:div w:id="1305544232">
      <w:marLeft w:val="0"/>
      <w:marRight w:val="0"/>
      <w:marTop w:val="0"/>
      <w:marBottom w:val="240"/>
      <w:divBdr>
        <w:top w:val="none" w:sz="0" w:space="0" w:color="auto"/>
        <w:left w:val="none" w:sz="0" w:space="0" w:color="auto"/>
        <w:bottom w:val="none" w:sz="0" w:space="0" w:color="auto"/>
        <w:right w:val="none" w:sz="0" w:space="0" w:color="auto"/>
      </w:divBdr>
    </w:div>
    <w:div w:id="1307128287">
      <w:marLeft w:val="0"/>
      <w:marRight w:val="0"/>
      <w:marTop w:val="0"/>
      <w:marBottom w:val="0"/>
      <w:divBdr>
        <w:top w:val="none" w:sz="0" w:space="0" w:color="auto"/>
        <w:left w:val="none" w:sz="0" w:space="0" w:color="auto"/>
        <w:bottom w:val="none" w:sz="0" w:space="0" w:color="auto"/>
        <w:right w:val="none" w:sz="0" w:space="0" w:color="auto"/>
      </w:divBdr>
      <w:divsChild>
        <w:div w:id="989822873">
          <w:marLeft w:val="0"/>
          <w:marRight w:val="0"/>
          <w:marTop w:val="0"/>
          <w:marBottom w:val="0"/>
          <w:divBdr>
            <w:top w:val="none" w:sz="0" w:space="0" w:color="auto"/>
            <w:left w:val="none" w:sz="0" w:space="0" w:color="auto"/>
            <w:bottom w:val="none" w:sz="0" w:space="0" w:color="auto"/>
            <w:right w:val="none" w:sz="0" w:space="0" w:color="auto"/>
          </w:divBdr>
        </w:div>
      </w:divsChild>
    </w:div>
    <w:div w:id="1307130656">
      <w:marLeft w:val="0"/>
      <w:marRight w:val="0"/>
      <w:marTop w:val="0"/>
      <w:marBottom w:val="180"/>
      <w:divBdr>
        <w:top w:val="none" w:sz="0" w:space="0" w:color="auto"/>
        <w:left w:val="none" w:sz="0" w:space="0" w:color="auto"/>
        <w:bottom w:val="none" w:sz="0" w:space="0" w:color="auto"/>
        <w:right w:val="none" w:sz="0" w:space="0" w:color="auto"/>
      </w:divBdr>
    </w:div>
    <w:div w:id="1308821420">
      <w:marLeft w:val="0"/>
      <w:marRight w:val="0"/>
      <w:marTop w:val="0"/>
      <w:marBottom w:val="240"/>
      <w:divBdr>
        <w:top w:val="none" w:sz="0" w:space="0" w:color="auto"/>
        <w:left w:val="none" w:sz="0" w:space="0" w:color="auto"/>
        <w:bottom w:val="none" w:sz="0" w:space="0" w:color="auto"/>
        <w:right w:val="none" w:sz="0" w:space="0" w:color="auto"/>
      </w:divBdr>
    </w:div>
    <w:div w:id="1309506699">
      <w:marLeft w:val="0"/>
      <w:marRight w:val="0"/>
      <w:marTop w:val="0"/>
      <w:marBottom w:val="180"/>
      <w:divBdr>
        <w:top w:val="none" w:sz="0" w:space="0" w:color="auto"/>
        <w:left w:val="none" w:sz="0" w:space="0" w:color="auto"/>
        <w:bottom w:val="none" w:sz="0" w:space="0" w:color="auto"/>
        <w:right w:val="none" w:sz="0" w:space="0" w:color="auto"/>
      </w:divBdr>
    </w:div>
    <w:div w:id="1313485804">
      <w:marLeft w:val="0"/>
      <w:marRight w:val="0"/>
      <w:marTop w:val="0"/>
      <w:marBottom w:val="240"/>
      <w:divBdr>
        <w:top w:val="none" w:sz="0" w:space="0" w:color="auto"/>
        <w:left w:val="none" w:sz="0" w:space="0" w:color="auto"/>
        <w:bottom w:val="none" w:sz="0" w:space="0" w:color="auto"/>
        <w:right w:val="none" w:sz="0" w:space="0" w:color="auto"/>
      </w:divBdr>
    </w:div>
    <w:div w:id="1313948666">
      <w:marLeft w:val="0"/>
      <w:marRight w:val="0"/>
      <w:marTop w:val="0"/>
      <w:marBottom w:val="240"/>
      <w:divBdr>
        <w:top w:val="none" w:sz="0" w:space="0" w:color="auto"/>
        <w:left w:val="none" w:sz="0" w:space="0" w:color="auto"/>
        <w:bottom w:val="none" w:sz="0" w:space="0" w:color="auto"/>
        <w:right w:val="none" w:sz="0" w:space="0" w:color="auto"/>
      </w:divBdr>
    </w:div>
    <w:div w:id="1314330437">
      <w:marLeft w:val="0"/>
      <w:marRight w:val="0"/>
      <w:marTop w:val="0"/>
      <w:marBottom w:val="0"/>
      <w:divBdr>
        <w:top w:val="none" w:sz="0" w:space="0" w:color="auto"/>
        <w:left w:val="none" w:sz="0" w:space="0" w:color="auto"/>
        <w:bottom w:val="none" w:sz="0" w:space="0" w:color="auto"/>
        <w:right w:val="none" w:sz="0" w:space="0" w:color="auto"/>
      </w:divBdr>
    </w:div>
    <w:div w:id="1315840009">
      <w:marLeft w:val="0"/>
      <w:marRight w:val="0"/>
      <w:marTop w:val="0"/>
      <w:marBottom w:val="0"/>
      <w:divBdr>
        <w:top w:val="none" w:sz="0" w:space="0" w:color="auto"/>
        <w:left w:val="none" w:sz="0" w:space="0" w:color="auto"/>
        <w:bottom w:val="none" w:sz="0" w:space="0" w:color="auto"/>
        <w:right w:val="none" w:sz="0" w:space="0" w:color="auto"/>
      </w:divBdr>
    </w:div>
    <w:div w:id="1316033180">
      <w:marLeft w:val="0"/>
      <w:marRight w:val="0"/>
      <w:marTop w:val="120"/>
      <w:marBottom w:val="120"/>
      <w:divBdr>
        <w:top w:val="none" w:sz="0" w:space="0" w:color="auto"/>
        <w:left w:val="none" w:sz="0" w:space="0" w:color="auto"/>
        <w:bottom w:val="none" w:sz="0" w:space="0" w:color="auto"/>
        <w:right w:val="none" w:sz="0" w:space="0" w:color="auto"/>
      </w:divBdr>
    </w:div>
    <w:div w:id="1318802619">
      <w:marLeft w:val="0"/>
      <w:marRight w:val="0"/>
      <w:marTop w:val="0"/>
      <w:marBottom w:val="240"/>
      <w:divBdr>
        <w:top w:val="none" w:sz="0" w:space="0" w:color="auto"/>
        <w:left w:val="none" w:sz="0" w:space="0" w:color="auto"/>
        <w:bottom w:val="none" w:sz="0" w:space="0" w:color="auto"/>
        <w:right w:val="none" w:sz="0" w:space="0" w:color="auto"/>
      </w:divBdr>
    </w:div>
    <w:div w:id="1318807820">
      <w:marLeft w:val="0"/>
      <w:marRight w:val="0"/>
      <w:marTop w:val="0"/>
      <w:marBottom w:val="0"/>
      <w:divBdr>
        <w:top w:val="none" w:sz="0" w:space="0" w:color="auto"/>
        <w:left w:val="none" w:sz="0" w:space="0" w:color="auto"/>
        <w:bottom w:val="none" w:sz="0" w:space="0" w:color="auto"/>
        <w:right w:val="none" w:sz="0" w:space="0" w:color="auto"/>
      </w:divBdr>
    </w:div>
    <w:div w:id="1319190834">
      <w:marLeft w:val="0"/>
      <w:marRight w:val="0"/>
      <w:marTop w:val="0"/>
      <w:marBottom w:val="0"/>
      <w:divBdr>
        <w:top w:val="none" w:sz="0" w:space="0" w:color="auto"/>
        <w:left w:val="none" w:sz="0" w:space="0" w:color="auto"/>
        <w:bottom w:val="none" w:sz="0" w:space="0" w:color="auto"/>
        <w:right w:val="none" w:sz="0" w:space="0" w:color="auto"/>
      </w:divBdr>
      <w:divsChild>
        <w:div w:id="1799251206">
          <w:marLeft w:val="0"/>
          <w:marRight w:val="0"/>
          <w:marTop w:val="0"/>
          <w:marBottom w:val="0"/>
          <w:divBdr>
            <w:top w:val="none" w:sz="0" w:space="0" w:color="auto"/>
            <w:left w:val="none" w:sz="0" w:space="0" w:color="auto"/>
            <w:bottom w:val="none" w:sz="0" w:space="0" w:color="auto"/>
            <w:right w:val="none" w:sz="0" w:space="0" w:color="auto"/>
          </w:divBdr>
        </w:div>
      </w:divsChild>
    </w:div>
    <w:div w:id="1321807457">
      <w:marLeft w:val="0"/>
      <w:marRight w:val="0"/>
      <w:marTop w:val="0"/>
      <w:marBottom w:val="0"/>
      <w:divBdr>
        <w:top w:val="none" w:sz="0" w:space="0" w:color="auto"/>
        <w:left w:val="none" w:sz="0" w:space="0" w:color="auto"/>
        <w:bottom w:val="none" w:sz="0" w:space="0" w:color="auto"/>
        <w:right w:val="none" w:sz="0" w:space="0" w:color="auto"/>
      </w:divBdr>
    </w:div>
    <w:div w:id="1322080693">
      <w:marLeft w:val="0"/>
      <w:marRight w:val="0"/>
      <w:marTop w:val="0"/>
      <w:marBottom w:val="0"/>
      <w:divBdr>
        <w:top w:val="none" w:sz="0" w:space="0" w:color="auto"/>
        <w:left w:val="none" w:sz="0" w:space="0" w:color="auto"/>
        <w:bottom w:val="none" w:sz="0" w:space="0" w:color="auto"/>
        <w:right w:val="none" w:sz="0" w:space="0" w:color="auto"/>
      </w:divBdr>
    </w:div>
    <w:div w:id="1325277959">
      <w:marLeft w:val="0"/>
      <w:marRight w:val="0"/>
      <w:marTop w:val="0"/>
      <w:marBottom w:val="240"/>
      <w:divBdr>
        <w:top w:val="none" w:sz="0" w:space="0" w:color="auto"/>
        <w:left w:val="none" w:sz="0" w:space="0" w:color="auto"/>
        <w:bottom w:val="none" w:sz="0" w:space="0" w:color="auto"/>
        <w:right w:val="none" w:sz="0" w:space="0" w:color="auto"/>
      </w:divBdr>
    </w:div>
    <w:div w:id="1326014796">
      <w:marLeft w:val="0"/>
      <w:marRight w:val="0"/>
      <w:marTop w:val="180"/>
      <w:marBottom w:val="180"/>
      <w:divBdr>
        <w:top w:val="none" w:sz="0" w:space="0" w:color="auto"/>
        <w:left w:val="none" w:sz="0" w:space="0" w:color="auto"/>
        <w:bottom w:val="none" w:sz="0" w:space="0" w:color="auto"/>
        <w:right w:val="none" w:sz="0" w:space="0" w:color="auto"/>
      </w:divBdr>
    </w:div>
    <w:div w:id="1326594450">
      <w:marLeft w:val="0"/>
      <w:marRight w:val="0"/>
      <w:marTop w:val="180"/>
      <w:marBottom w:val="180"/>
      <w:divBdr>
        <w:top w:val="none" w:sz="0" w:space="0" w:color="auto"/>
        <w:left w:val="none" w:sz="0" w:space="0" w:color="auto"/>
        <w:bottom w:val="none" w:sz="0" w:space="0" w:color="auto"/>
        <w:right w:val="none" w:sz="0" w:space="0" w:color="auto"/>
      </w:divBdr>
    </w:div>
    <w:div w:id="1327318903">
      <w:marLeft w:val="0"/>
      <w:marRight w:val="0"/>
      <w:marTop w:val="0"/>
      <w:marBottom w:val="240"/>
      <w:divBdr>
        <w:top w:val="none" w:sz="0" w:space="0" w:color="auto"/>
        <w:left w:val="none" w:sz="0" w:space="0" w:color="auto"/>
        <w:bottom w:val="none" w:sz="0" w:space="0" w:color="auto"/>
        <w:right w:val="none" w:sz="0" w:space="0" w:color="auto"/>
      </w:divBdr>
    </w:div>
    <w:div w:id="1329551486">
      <w:marLeft w:val="0"/>
      <w:marRight w:val="0"/>
      <w:marTop w:val="0"/>
      <w:marBottom w:val="0"/>
      <w:divBdr>
        <w:top w:val="none" w:sz="0" w:space="0" w:color="auto"/>
        <w:left w:val="none" w:sz="0" w:space="0" w:color="auto"/>
        <w:bottom w:val="none" w:sz="0" w:space="0" w:color="auto"/>
        <w:right w:val="none" w:sz="0" w:space="0" w:color="auto"/>
      </w:divBdr>
    </w:div>
    <w:div w:id="1330600555">
      <w:marLeft w:val="0"/>
      <w:marRight w:val="0"/>
      <w:marTop w:val="0"/>
      <w:marBottom w:val="0"/>
      <w:divBdr>
        <w:top w:val="none" w:sz="0" w:space="0" w:color="auto"/>
        <w:left w:val="none" w:sz="0" w:space="0" w:color="auto"/>
        <w:bottom w:val="none" w:sz="0" w:space="0" w:color="auto"/>
        <w:right w:val="none" w:sz="0" w:space="0" w:color="auto"/>
      </w:divBdr>
    </w:div>
    <w:div w:id="1332443187">
      <w:marLeft w:val="0"/>
      <w:marRight w:val="0"/>
      <w:marTop w:val="0"/>
      <w:marBottom w:val="180"/>
      <w:divBdr>
        <w:top w:val="none" w:sz="0" w:space="0" w:color="auto"/>
        <w:left w:val="none" w:sz="0" w:space="0" w:color="auto"/>
        <w:bottom w:val="none" w:sz="0" w:space="0" w:color="auto"/>
        <w:right w:val="none" w:sz="0" w:space="0" w:color="auto"/>
      </w:divBdr>
    </w:div>
    <w:div w:id="1332636958">
      <w:marLeft w:val="0"/>
      <w:marRight w:val="0"/>
      <w:marTop w:val="0"/>
      <w:marBottom w:val="0"/>
      <w:divBdr>
        <w:top w:val="none" w:sz="0" w:space="0" w:color="auto"/>
        <w:left w:val="none" w:sz="0" w:space="0" w:color="auto"/>
        <w:bottom w:val="none" w:sz="0" w:space="0" w:color="auto"/>
        <w:right w:val="none" w:sz="0" w:space="0" w:color="auto"/>
      </w:divBdr>
      <w:divsChild>
        <w:div w:id="1538620357">
          <w:marLeft w:val="0"/>
          <w:marRight w:val="0"/>
          <w:marTop w:val="0"/>
          <w:marBottom w:val="0"/>
          <w:divBdr>
            <w:top w:val="none" w:sz="0" w:space="0" w:color="auto"/>
            <w:left w:val="none" w:sz="0" w:space="0" w:color="auto"/>
            <w:bottom w:val="none" w:sz="0" w:space="0" w:color="auto"/>
            <w:right w:val="none" w:sz="0" w:space="0" w:color="auto"/>
          </w:divBdr>
        </w:div>
      </w:divsChild>
    </w:div>
    <w:div w:id="1332676911">
      <w:marLeft w:val="0"/>
      <w:marRight w:val="0"/>
      <w:marTop w:val="120"/>
      <w:marBottom w:val="120"/>
      <w:divBdr>
        <w:top w:val="none" w:sz="0" w:space="0" w:color="auto"/>
        <w:left w:val="none" w:sz="0" w:space="0" w:color="auto"/>
        <w:bottom w:val="none" w:sz="0" w:space="0" w:color="auto"/>
        <w:right w:val="none" w:sz="0" w:space="0" w:color="auto"/>
      </w:divBdr>
    </w:div>
    <w:div w:id="1336419625">
      <w:marLeft w:val="0"/>
      <w:marRight w:val="0"/>
      <w:marTop w:val="100"/>
      <w:marBottom w:val="100"/>
      <w:divBdr>
        <w:top w:val="none" w:sz="0" w:space="0" w:color="auto"/>
        <w:left w:val="none" w:sz="0" w:space="0" w:color="auto"/>
        <w:bottom w:val="none" w:sz="0" w:space="0" w:color="auto"/>
        <w:right w:val="none" w:sz="0" w:space="0" w:color="auto"/>
      </w:divBdr>
    </w:div>
    <w:div w:id="1337228901">
      <w:marLeft w:val="0"/>
      <w:marRight w:val="0"/>
      <w:marTop w:val="0"/>
      <w:marBottom w:val="180"/>
      <w:divBdr>
        <w:top w:val="none" w:sz="0" w:space="0" w:color="auto"/>
        <w:left w:val="none" w:sz="0" w:space="0" w:color="auto"/>
        <w:bottom w:val="none" w:sz="0" w:space="0" w:color="auto"/>
        <w:right w:val="none" w:sz="0" w:space="0" w:color="auto"/>
      </w:divBdr>
    </w:div>
    <w:div w:id="1339697811">
      <w:marLeft w:val="0"/>
      <w:marRight w:val="0"/>
      <w:marTop w:val="0"/>
      <w:marBottom w:val="240"/>
      <w:divBdr>
        <w:top w:val="none" w:sz="0" w:space="0" w:color="auto"/>
        <w:left w:val="none" w:sz="0" w:space="0" w:color="auto"/>
        <w:bottom w:val="none" w:sz="0" w:space="0" w:color="auto"/>
        <w:right w:val="none" w:sz="0" w:space="0" w:color="auto"/>
      </w:divBdr>
    </w:div>
    <w:div w:id="1340279818">
      <w:marLeft w:val="0"/>
      <w:marRight w:val="0"/>
      <w:marTop w:val="0"/>
      <w:marBottom w:val="0"/>
      <w:divBdr>
        <w:top w:val="none" w:sz="0" w:space="0" w:color="auto"/>
        <w:left w:val="none" w:sz="0" w:space="0" w:color="auto"/>
        <w:bottom w:val="none" w:sz="0" w:space="0" w:color="auto"/>
        <w:right w:val="none" w:sz="0" w:space="0" w:color="auto"/>
      </w:divBdr>
      <w:divsChild>
        <w:div w:id="705837726">
          <w:marLeft w:val="0"/>
          <w:marRight w:val="0"/>
          <w:marTop w:val="0"/>
          <w:marBottom w:val="0"/>
          <w:divBdr>
            <w:top w:val="none" w:sz="0" w:space="0" w:color="auto"/>
            <w:left w:val="none" w:sz="0" w:space="0" w:color="auto"/>
            <w:bottom w:val="none" w:sz="0" w:space="0" w:color="auto"/>
            <w:right w:val="none" w:sz="0" w:space="0" w:color="auto"/>
          </w:divBdr>
        </w:div>
      </w:divsChild>
    </w:div>
    <w:div w:id="1341279152">
      <w:marLeft w:val="0"/>
      <w:marRight w:val="0"/>
      <w:marTop w:val="60"/>
      <w:marBottom w:val="0"/>
      <w:divBdr>
        <w:top w:val="none" w:sz="0" w:space="0" w:color="auto"/>
        <w:left w:val="none" w:sz="0" w:space="0" w:color="auto"/>
        <w:bottom w:val="none" w:sz="0" w:space="0" w:color="auto"/>
        <w:right w:val="none" w:sz="0" w:space="0" w:color="auto"/>
      </w:divBdr>
    </w:div>
    <w:div w:id="1341935245">
      <w:marLeft w:val="0"/>
      <w:marRight w:val="0"/>
      <w:marTop w:val="100"/>
      <w:marBottom w:val="100"/>
      <w:divBdr>
        <w:top w:val="none" w:sz="0" w:space="0" w:color="auto"/>
        <w:left w:val="none" w:sz="0" w:space="0" w:color="auto"/>
        <w:bottom w:val="none" w:sz="0" w:space="0" w:color="auto"/>
        <w:right w:val="none" w:sz="0" w:space="0" w:color="auto"/>
      </w:divBdr>
    </w:div>
    <w:div w:id="1342661293">
      <w:marLeft w:val="0"/>
      <w:marRight w:val="0"/>
      <w:marTop w:val="180"/>
      <w:marBottom w:val="180"/>
      <w:divBdr>
        <w:top w:val="none" w:sz="0" w:space="0" w:color="auto"/>
        <w:left w:val="none" w:sz="0" w:space="0" w:color="auto"/>
        <w:bottom w:val="none" w:sz="0" w:space="0" w:color="auto"/>
        <w:right w:val="none" w:sz="0" w:space="0" w:color="auto"/>
      </w:divBdr>
    </w:div>
    <w:div w:id="1347290133">
      <w:marLeft w:val="0"/>
      <w:marRight w:val="0"/>
      <w:marTop w:val="0"/>
      <w:marBottom w:val="180"/>
      <w:divBdr>
        <w:top w:val="none" w:sz="0" w:space="0" w:color="auto"/>
        <w:left w:val="none" w:sz="0" w:space="0" w:color="auto"/>
        <w:bottom w:val="none" w:sz="0" w:space="0" w:color="auto"/>
        <w:right w:val="none" w:sz="0" w:space="0" w:color="auto"/>
      </w:divBdr>
    </w:div>
    <w:div w:id="1349715612">
      <w:marLeft w:val="0"/>
      <w:marRight w:val="0"/>
      <w:marTop w:val="0"/>
      <w:marBottom w:val="0"/>
      <w:divBdr>
        <w:top w:val="none" w:sz="0" w:space="0" w:color="auto"/>
        <w:left w:val="none" w:sz="0" w:space="0" w:color="auto"/>
        <w:bottom w:val="none" w:sz="0" w:space="0" w:color="auto"/>
        <w:right w:val="none" w:sz="0" w:space="0" w:color="auto"/>
      </w:divBdr>
      <w:divsChild>
        <w:div w:id="1809319968">
          <w:marLeft w:val="0"/>
          <w:marRight w:val="0"/>
          <w:marTop w:val="0"/>
          <w:marBottom w:val="0"/>
          <w:divBdr>
            <w:top w:val="none" w:sz="0" w:space="0" w:color="auto"/>
            <w:left w:val="none" w:sz="0" w:space="0" w:color="auto"/>
            <w:bottom w:val="none" w:sz="0" w:space="0" w:color="auto"/>
            <w:right w:val="none" w:sz="0" w:space="0" w:color="auto"/>
          </w:divBdr>
        </w:div>
      </w:divsChild>
    </w:div>
    <w:div w:id="1350063000">
      <w:marLeft w:val="0"/>
      <w:marRight w:val="0"/>
      <w:marTop w:val="0"/>
      <w:marBottom w:val="0"/>
      <w:divBdr>
        <w:top w:val="none" w:sz="0" w:space="0" w:color="auto"/>
        <w:left w:val="none" w:sz="0" w:space="0" w:color="auto"/>
        <w:bottom w:val="none" w:sz="0" w:space="0" w:color="auto"/>
        <w:right w:val="none" w:sz="0" w:space="0" w:color="auto"/>
      </w:divBdr>
    </w:div>
    <w:div w:id="1353217080">
      <w:marLeft w:val="0"/>
      <w:marRight w:val="0"/>
      <w:marTop w:val="0"/>
      <w:marBottom w:val="240"/>
      <w:divBdr>
        <w:top w:val="none" w:sz="0" w:space="0" w:color="auto"/>
        <w:left w:val="none" w:sz="0" w:space="0" w:color="auto"/>
        <w:bottom w:val="none" w:sz="0" w:space="0" w:color="auto"/>
        <w:right w:val="none" w:sz="0" w:space="0" w:color="auto"/>
      </w:divBdr>
    </w:div>
    <w:div w:id="1354920379">
      <w:marLeft w:val="0"/>
      <w:marRight w:val="0"/>
      <w:marTop w:val="0"/>
      <w:marBottom w:val="60"/>
      <w:divBdr>
        <w:top w:val="none" w:sz="0" w:space="0" w:color="auto"/>
        <w:left w:val="none" w:sz="0" w:space="0" w:color="auto"/>
        <w:bottom w:val="none" w:sz="0" w:space="0" w:color="auto"/>
        <w:right w:val="none" w:sz="0" w:space="0" w:color="auto"/>
      </w:divBdr>
    </w:div>
    <w:div w:id="1355112346">
      <w:marLeft w:val="0"/>
      <w:marRight w:val="0"/>
      <w:marTop w:val="120"/>
      <w:marBottom w:val="120"/>
      <w:divBdr>
        <w:top w:val="none" w:sz="0" w:space="0" w:color="auto"/>
        <w:left w:val="none" w:sz="0" w:space="0" w:color="auto"/>
        <w:bottom w:val="none" w:sz="0" w:space="0" w:color="auto"/>
        <w:right w:val="none" w:sz="0" w:space="0" w:color="auto"/>
      </w:divBdr>
    </w:div>
    <w:div w:id="1355958516">
      <w:marLeft w:val="0"/>
      <w:marRight w:val="0"/>
      <w:marTop w:val="0"/>
      <w:marBottom w:val="180"/>
      <w:divBdr>
        <w:top w:val="none" w:sz="0" w:space="0" w:color="auto"/>
        <w:left w:val="none" w:sz="0" w:space="0" w:color="auto"/>
        <w:bottom w:val="none" w:sz="0" w:space="0" w:color="auto"/>
        <w:right w:val="none" w:sz="0" w:space="0" w:color="auto"/>
      </w:divBdr>
    </w:div>
    <w:div w:id="1356691462">
      <w:marLeft w:val="0"/>
      <w:marRight w:val="0"/>
      <w:marTop w:val="0"/>
      <w:marBottom w:val="0"/>
      <w:divBdr>
        <w:top w:val="none" w:sz="0" w:space="0" w:color="auto"/>
        <w:left w:val="none" w:sz="0" w:space="0" w:color="auto"/>
        <w:bottom w:val="none" w:sz="0" w:space="0" w:color="auto"/>
        <w:right w:val="none" w:sz="0" w:space="0" w:color="auto"/>
      </w:divBdr>
    </w:div>
    <w:div w:id="1357317254">
      <w:marLeft w:val="0"/>
      <w:marRight w:val="0"/>
      <w:marTop w:val="0"/>
      <w:marBottom w:val="180"/>
      <w:divBdr>
        <w:top w:val="none" w:sz="0" w:space="0" w:color="auto"/>
        <w:left w:val="none" w:sz="0" w:space="0" w:color="auto"/>
        <w:bottom w:val="none" w:sz="0" w:space="0" w:color="auto"/>
        <w:right w:val="none" w:sz="0" w:space="0" w:color="auto"/>
      </w:divBdr>
    </w:div>
    <w:div w:id="1358894954">
      <w:marLeft w:val="0"/>
      <w:marRight w:val="0"/>
      <w:marTop w:val="0"/>
      <w:marBottom w:val="240"/>
      <w:divBdr>
        <w:top w:val="none" w:sz="0" w:space="0" w:color="auto"/>
        <w:left w:val="none" w:sz="0" w:space="0" w:color="auto"/>
        <w:bottom w:val="none" w:sz="0" w:space="0" w:color="auto"/>
        <w:right w:val="none" w:sz="0" w:space="0" w:color="auto"/>
      </w:divBdr>
    </w:div>
    <w:div w:id="1359086477">
      <w:marLeft w:val="0"/>
      <w:marRight w:val="0"/>
      <w:marTop w:val="0"/>
      <w:marBottom w:val="0"/>
      <w:divBdr>
        <w:top w:val="none" w:sz="0" w:space="0" w:color="auto"/>
        <w:left w:val="none" w:sz="0" w:space="0" w:color="auto"/>
        <w:bottom w:val="none" w:sz="0" w:space="0" w:color="auto"/>
        <w:right w:val="none" w:sz="0" w:space="0" w:color="auto"/>
      </w:divBdr>
    </w:div>
    <w:div w:id="1359310884">
      <w:marLeft w:val="0"/>
      <w:marRight w:val="0"/>
      <w:marTop w:val="0"/>
      <w:marBottom w:val="0"/>
      <w:divBdr>
        <w:top w:val="none" w:sz="0" w:space="0" w:color="auto"/>
        <w:left w:val="none" w:sz="0" w:space="0" w:color="auto"/>
        <w:bottom w:val="none" w:sz="0" w:space="0" w:color="auto"/>
        <w:right w:val="none" w:sz="0" w:space="0" w:color="auto"/>
      </w:divBdr>
      <w:divsChild>
        <w:div w:id="1640450068">
          <w:marLeft w:val="0"/>
          <w:marRight w:val="0"/>
          <w:marTop w:val="0"/>
          <w:marBottom w:val="0"/>
          <w:divBdr>
            <w:top w:val="none" w:sz="0" w:space="0" w:color="auto"/>
            <w:left w:val="none" w:sz="0" w:space="0" w:color="auto"/>
            <w:bottom w:val="none" w:sz="0" w:space="0" w:color="auto"/>
            <w:right w:val="none" w:sz="0" w:space="0" w:color="auto"/>
          </w:divBdr>
        </w:div>
      </w:divsChild>
    </w:div>
    <w:div w:id="1362589611">
      <w:marLeft w:val="0"/>
      <w:marRight w:val="0"/>
      <w:marTop w:val="0"/>
      <w:marBottom w:val="180"/>
      <w:divBdr>
        <w:top w:val="none" w:sz="0" w:space="0" w:color="auto"/>
        <w:left w:val="none" w:sz="0" w:space="0" w:color="auto"/>
        <w:bottom w:val="none" w:sz="0" w:space="0" w:color="auto"/>
        <w:right w:val="none" w:sz="0" w:space="0" w:color="auto"/>
      </w:divBdr>
    </w:div>
    <w:div w:id="1364089328">
      <w:marLeft w:val="0"/>
      <w:marRight w:val="0"/>
      <w:marTop w:val="180"/>
      <w:marBottom w:val="180"/>
      <w:divBdr>
        <w:top w:val="none" w:sz="0" w:space="0" w:color="auto"/>
        <w:left w:val="none" w:sz="0" w:space="0" w:color="auto"/>
        <w:bottom w:val="none" w:sz="0" w:space="0" w:color="auto"/>
        <w:right w:val="none" w:sz="0" w:space="0" w:color="auto"/>
      </w:divBdr>
    </w:div>
    <w:div w:id="1365138385">
      <w:marLeft w:val="0"/>
      <w:marRight w:val="0"/>
      <w:marTop w:val="0"/>
      <w:marBottom w:val="0"/>
      <w:divBdr>
        <w:top w:val="none" w:sz="0" w:space="0" w:color="auto"/>
        <w:left w:val="none" w:sz="0" w:space="0" w:color="auto"/>
        <w:bottom w:val="none" w:sz="0" w:space="0" w:color="auto"/>
        <w:right w:val="none" w:sz="0" w:space="0" w:color="auto"/>
      </w:divBdr>
      <w:divsChild>
        <w:div w:id="936867143">
          <w:marLeft w:val="0"/>
          <w:marRight w:val="0"/>
          <w:marTop w:val="0"/>
          <w:marBottom w:val="0"/>
          <w:divBdr>
            <w:top w:val="none" w:sz="0" w:space="0" w:color="auto"/>
            <w:left w:val="none" w:sz="0" w:space="0" w:color="auto"/>
            <w:bottom w:val="none" w:sz="0" w:space="0" w:color="auto"/>
            <w:right w:val="none" w:sz="0" w:space="0" w:color="auto"/>
          </w:divBdr>
        </w:div>
      </w:divsChild>
    </w:div>
    <w:div w:id="1366830015">
      <w:marLeft w:val="0"/>
      <w:marRight w:val="0"/>
      <w:marTop w:val="180"/>
      <w:marBottom w:val="180"/>
      <w:divBdr>
        <w:top w:val="none" w:sz="0" w:space="0" w:color="auto"/>
        <w:left w:val="none" w:sz="0" w:space="0" w:color="auto"/>
        <w:bottom w:val="none" w:sz="0" w:space="0" w:color="auto"/>
        <w:right w:val="none" w:sz="0" w:space="0" w:color="auto"/>
      </w:divBdr>
    </w:div>
    <w:div w:id="1368530809">
      <w:marLeft w:val="0"/>
      <w:marRight w:val="0"/>
      <w:marTop w:val="120"/>
      <w:marBottom w:val="120"/>
      <w:divBdr>
        <w:top w:val="none" w:sz="0" w:space="0" w:color="auto"/>
        <w:left w:val="none" w:sz="0" w:space="0" w:color="auto"/>
        <w:bottom w:val="none" w:sz="0" w:space="0" w:color="auto"/>
        <w:right w:val="none" w:sz="0" w:space="0" w:color="auto"/>
      </w:divBdr>
    </w:div>
    <w:div w:id="1373771617">
      <w:marLeft w:val="0"/>
      <w:marRight w:val="0"/>
      <w:marTop w:val="0"/>
      <w:marBottom w:val="200"/>
      <w:divBdr>
        <w:top w:val="none" w:sz="0" w:space="0" w:color="auto"/>
        <w:left w:val="none" w:sz="0" w:space="0" w:color="auto"/>
        <w:bottom w:val="none" w:sz="0" w:space="0" w:color="auto"/>
        <w:right w:val="none" w:sz="0" w:space="0" w:color="auto"/>
      </w:divBdr>
    </w:div>
    <w:div w:id="1374965513">
      <w:marLeft w:val="0"/>
      <w:marRight w:val="0"/>
      <w:marTop w:val="0"/>
      <w:marBottom w:val="0"/>
      <w:divBdr>
        <w:top w:val="none" w:sz="0" w:space="0" w:color="auto"/>
        <w:left w:val="none" w:sz="0" w:space="0" w:color="auto"/>
        <w:bottom w:val="none" w:sz="0" w:space="0" w:color="auto"/>
        <w:right w:val="none" w:sz="0" w:space="0" w:color="auto"/>
      </w:divBdr>
    </w:div>
    <w:div w:id="1376387731">
      <w:marLeft w:val="0"/>
      <w:marRight w:val="0"/>
      <w:marTop w:val="180"/>
      <w:marBottom w:val="180"/>
      <w:divBdr>
        <w:top w:val="none" w:sz="0" w:space="0" w:color="auto"/>
        <w:left w:val="none" w:sz="0" w:space="0" w:color="auto"/>
        <w:bottom w:val="none" w:sz="0" w:space="0" w:color="auto"/>
        <w:right w:val="none" w:sz="0" w:space="0" w:color="auto"/>
      </w:divBdr>
    </w:div>
    <w:div w:id="1378243441">
      <w:marLeft w:val="0"/>
      <w:marRight w:val="0"/>
      <w:marTop w:val="180"/>
      <w:marBottom w:val="180"/>
      <w:divBdr>
        <w:top w:val="none" w:sz="0" w:space="0" w:color="auto"/>
        <w:left w:val="none" w:sz="0" w:space="0" w:color="auto"/>
        <w:bottom w:val="none" w:sz="0" w:space="0" w:color="auto"/>
        <w:right w:val="none" w:sz="0" w:space="0" w:color="auto"/>
      </w:divBdr>
    </w:div>
    <w:div w:id="1379434048">
      <w:marLeft w:val="0"/>
      <w:marRight w:val="0"/>
      <w:marTop w:val="120"/>
      <w:marBottom w:val="120"/>
      <w:divBdr>
        <w:top w:val="none" w:sz="0" w:space="0" w:color="auto"/>
        <w:left w:val="none" w:sz="0" w:space="0" w:color="auto"/>
        <w:bottom w:val="none" w:sz="0" w:space="0" w:color="auto"/>
        <w:right w:val="none" w:sz="0" w:space="0" w:color="auto"/>
      </w:divBdr>
    </w:div>
    <w:div w:id="1379821725">
      <w:marLeft w:val="0"/>
      <w:marRight w:val="0"/>
      <w:marTop w:val="0"/>
      <w:marBottom w:val="0"/>
      <w:divBdr>
        <w:top w:val="none" w:sz="0" w:space="0" w:color="auto"/>
        <w:left w:val="none" w:sz="0" w:space="0" w:color="auto"/>
        <w:bottom w:val="none" w:sz="0" w:space="0" w:color="auto"/>
        <w:right w:val="none" w:sz="0" w:space="0" w:color="auto"/>
      </w:divBdr>
    </w:div>
    <w:div w:id="1382048081">
      <w:marLeft w:val="0"/>
      <w:marRight w:val="0"/>
      <w:marTop w:val="120"/>
      <w:marBottom w:val="180"/>
      <w:divBdr>
        <w:top w:val="none" w:sz="0" w:space="0" w:color="auto"/>
        <w:left w:val="none" w:sz="0" w:space="0" w:color="auto"/>
        <w:bottom w:val="none" w:sz="0" w:space="0" w:color="auto"/>
        <w:right w:val="none" w:sz="0" w:space="0" w:color="auto"/>
      </w:divBdr>
    </w:div>
    <w:div w:id="1382554199">
      <w:marLeft w:val="0"/>
      <w:marRight w:val="0"/>
      <w:marTop w:val="0"/>
      <w:marBottom w:val="240"/>
      <w:divBdr>
        <w:top w:val="none" w:sz="0" w:space="0" w:color="auto"/>
        <w:left w:val="none" w:sz="0" w:space="0" w:color="auto"/>
        <w:bottom w:val="none" w:sz="0" w:space="0" w:color="auto"/>
        <w:right w:val="none" w:sz="0" w:space="0" w:color="auto"/>
      </w:divBdr>
    </w:div>
    <w:div w:id="1385176635">
      <w:marLeft w:val="0"/>
      <w:marRight w:val="0"/>
      <w:marTop w:val="0"/>
      <w:marBottom w:val="0"/>
      <w:divBdr>
        <w:top w:val="none" w:sz="0" w:space="0" w:color="auto"/>
        <w:left w:val="none" w:sz="0" w:space="0" w:color="auto"/>
        <w:bottom w:val="none" w:sz="0" w:space="0" w:color="auto"/>
        <w:right w:val="none" w:sz="0" w:space="0" w:color="auto"/>
      </w:divBdr>
    </w:div>
    <w:div w:id="1386761638">
      <w:marLeft w:val="0"/>
      <w:marRight w:val="0"/>
      <w:marTop w:val="0"/>
      <w:marBottom w:val="240"/>
      <w:divBdr>
        <w:top w:val="none" w:sz="0" w:space="0" w:color="auto"/>
        <w:left w:val="none" w:sz="0" w:space="0" w:color="auto"/>
        <w:bottom w:val="none" w:sz="0" w:space="0" w:color="auto"/>
        <w:right w:val="none" w:sz="0" w:space="0" w:color="auto"/>
      </w:divBdr>
    </w:div>
    <w:div w:id="1391080538">
      <w:marLeft w:val="0"/>
      <w:marRight w:val="0"/>
      <w:marTop w:val="0"/>
      <w:marBottom w:val="240"/>
      <w:divBdr>
        <w:top w:val="none" w:sz="0" w:space="0" w:color="auto"/>
        <w:left w:val="none" w:sz="0" w:space="0" w:color="auto"/>
        <w:bottom w:val="none" w:sz="0" w:space="0" w:color="auto"/>
        <w:right w:val="none" w:sz="0" w:space="0" w:color="auto"/>
      </w:divBdr>
    </w:div>
    <w:div w:id="1391537210">
      <w:marLeft w:val="0"/>
      <w:marRight w:val="0"/>
      <w:marTop w:val="120"/>
      <w:marBottom w:val="120"/>
      <w:divBdr>
        <w:top w:val="none" w:sz="0" w:space="0" w:color="auto"/>
        <w:left w:val="none" w:sz="0" w:space="0" w:color="auto"/>
        <w:bottom w:val="none" w:sz="0" w:space="0" w:color="auto"/>
        <w:right w:val="none" w:sz="0" w:space="0" w:color="auto"/>
      </w:divBdr>
    </w:div>
    <w:div w:id="1393579462">
      <w:marLeft w:val="0"/>
      <w:marRight w:val="0"/>
      <w:marTop w:val="0"/>
      <w:marBottom w:val="0"/>
      <w:divBdr>
        <w:top w:val="none" w:sz="0" w:space="0" w:color="auto"/>
        <w:left w:val="none" w:sz="0" w:space="0" w:color="auto"/>
        <w:bottom w:val="none" w:sz="0" w:space="0" w:color="auto"/>
        <w:right w:val="none" w:sz="0" w:space="0" w:color="auto"/>
      </w:divBdr>
    </w:div>
    <w:div w:id="1396002201">
      <w:marLeft w:val="0"/>
      <w:marRight w:val="0"/>
      <w:marTop w:val="100"/>
      <w:marBottom w:val="100"/>
      <w:divBdr>
        <w:top w:val="none" w:sz="0" w:space="0" w:color="auto"/>
        <w:left w:val="none" w:sz="0" w:space="0" w:color="auto"/>
        <w:bottom w:val="none" w:sz="0" w:space="0" w:color="auto"/>
        <w:right w:val="none" w:sz="0" w:space="0" w:color="auto"/>
      </w:divBdr>
    </w:div>
    <w:div w:id="1396510207">
      <w:marLeft w:val="0"/>
      <w:marRight w:val="0"/>
      <w:marTop w:val="0"/>
      <w:marBottom w:val="0"/>
      <w:divBdr>
        <w:top w:val="none" w:sz="0" w:space="0" w:color="auto"/>
        <w:left w:val="none" w:sz="0" w:space="0" w:color="auto"/>
        <w:bottom w:val="none" w:sz="0" w:space="0" w:color="auto"/>
        <w:right w:val="none" w:sz="0" w:space="0" w:color="auto"/>
      </w:divBdr>
    </w:div>
    <w:div w:id="1396778700">
      <w:marLeft w:val="0"/>
      <w:marRight w:val="0"/>
      <w:marTop w:val="0"/>
      <w:marBottom w:val="0"/>
      <w:divBdr>
        <w:top w:val="none" w:sz="0" w:space="0" w:color="auto"/>
        <w:left w:val="none" w:sz="0" w:space="0" w:color="auto"/>
        <w:bottom w:val="none" w:sz="0" w:space="0" w:color="auto"/>
        <w:right w:val="none" w:sz="0" w:space="0" w:color="auto"/>
      </w:divBdr>
      <w:divsChild>
        <w:div w:id="303245667">
          <w:marLeft w:val="0"/>
          <w:marRight w:val="0"/>
          <w:marTop w:val="0"/>
          <w:marBottom w:val="0"/>
          <w:divBdr>
            <w:top w:val="none" w:sz="0" w:space="0" w:color="auto"/>
            <w:left w:val="none" w:sz="0" w:space="0" w:color="auto"/>
            <w:bottom w:val="none" w:sz="0" w:space="0" w:color="auto"/>
            <w:right w:val="none" w:sz="0" w:space="0" w:color="auto"/>
          </w:divBdr>
        </w:div>
      </w:divsChild>
    </w:div>
    <w:div w:id="1397822210">
      <w:marLeft w:val="0"/>
      <w:marRight w:val="0"/>
      <w:marTop w:val="60"/>
      <w:marBottom w:val="0"/>
      <w:divBdr>
        <w:top w:val="none" w:sz="0" w:space="0" w:color="auto"/>
        <w:left w:val="none" w:sz="0" w:space="0" w:color="auto"/>
        <w:bottom w:val="none" w:sz="0" w:space="0" w:color="auto"/>
        <w:right w:val="none" w:sz="0" w:space="0" w:color="auto"/>
      </w:divBdr>
    </w:div>
    <w:div w:id="1397968427">
      <w:marLeft w:val="0"/>
      <w:marRight w:val="0"/>
      <w:marTop w:val="0"/>
      <w:marBottom w:val="0"/>
      <w:divBdr>
        <w:top w:val="none" w:sz="0" w:space="0" w:color="auto"/>
        <w:left w:val="none" w:sz="0" w:space="0" w:color="auto"/>
        <w:bottom w:val="none" w:sz="0" w:space="0" w:color="auto"/>
        <w:right w:val="none" w:sz="0" w:space="0" w:color="auto"/>
      </w:divBdr>
      <w:divsChild>
        <w:div w:id="1239100321">
          <w:marLeft w:val="0"/>
          <w:marRight w:val="0"/>
          <w:marTop w:val="0"/>
          <w:marBottom w:val="0"/>
          <w:divBdr>
            <w:top w:val="none" w:sz="0" w:space="0" w:color="auto"/>
            <w:left w:val="none" w:sz="0" w:space="0" w:color="auto"/>
            <w:bottom w:val="none" w:sz="0" w:space="0" w:color="auto"/>
            <w:right w:val="none" w:sz="0" w:space="0" w:color="auto"/>
          </w:divBdr>
        </w:div>
      </w:divsChild>
    </w:div>
    <w:div w:id="1400445519">
      <w:marLeft w:val="0"/>
      <w:marRight w:val="0"/>
      <w:marTop w:val="0"/>
      <w:marBottom w:val="240"/>
      <w:divBdr>
        <w:top w:val="none" w:sz="0" w:space="0" w:color="auto"/>
        <w:left w:val="none" w:sz="0" w:space="0" w:color="auto"/>
        <w:bottom w:val="none" w:sz="0" w:space="0" w:color="auto"/>
        <w:right w:val="none" w:sz="0" w:space="0" w:color="auto"/>
      </w:divBdr>
    </w:div>
    <w:div w:id="1401368052">
      <w:marLeft w:val="0"/>
      <w:marRight w:val="0"/>
      <w:marTop w:val="180"/>
      <w:marBottom w:val="180"/>
      <w:divBdr>
        <w:top w:val="none" w:sz="0" w:space="0" w:color="auto"/>
        <w:left w:val="none" w:sz="0" w:space="0" w:color="auto"/>
        <w:bottom w:val="none" w:sz="0" w:space="0" w:color="auto"/>
        <w:right w:val="none" w:sz="0" w:space="0" w:color="auto"/>
      </w:divBdr>
    </w:div>
    <w:div w:id="1402559330">
      <w:marLeft w:val="0"/>
      <w:marRight w:val="0"/>
      <w:marTop w:val="0"/>
      <w:marBottom w:val="0"/>
      <w:divBdr>
        <w:top w:val="none" w:sz="0" w:space="0" w:color="auto"/>
        <w:left w:val="none" w:sz="0" w:space="0" w:color="auto"/>
        <w:bottom w:val="none" w:sz="0" w:space="0" w:color="auto"/>
        <w:right w:val="none" w:sz="0" w:space="0" w:color="auto"/>
      </w:divBdr>
    </w:div>
    <w:div w:id="1403327923">
      <w:marLeft w:val="0"/>
      <w:marRight w:val="0"/>
      <w:marTop w:val="180"/>
      <w:marBottom w:val="180"/>
      <w:divBdr>
        <w:top w:val="none" w:sz="0" w:space="0" w:color="auto"/>
        <w:left w:val="none" w:sz="0" w:space="0" w:color="auto"/>
        <w:bottom w:val="none" w:sz="0" w:space="0" w:color="auto"/>
        <w:right w:val="none" w:sz="0" w:space="0" w:color="auto"/>
      </w:divBdr>
    </w:div>
    <w:div w:id="1408529751">
      <w:marLeft w:val="0"/>
      <w:marRight w:val="0"/>
      <w:marTop w:val="120"/>
      <w:marBottom w:val="120"/>
      <w:divBdr>
        <w:top w:val="none" w:sz="0" w:space="0" w:color="auto"/>
        <w:left w:val="none" w:sz="0" w:space="0" w:color="auto"/>
        <w:bottom w:val="none" w:sz="0" w:space="0" w:color="auto"/>
        <w:right w:val="none" w:sz="0" w:space="0" w:color="auto"/>
      </w:divBdr>
    </w:div>
    <w:div w:id="1408917977">
      <w:marLeft w:val="0"/>
      <w:marRight w:val="0"/>
      <w:marTop w:val="180"/>
      <w:marBottom w:val="180"/>
      <w:divBdr>
        <w:top w:val="none" w:sz="0" w:space="0" w:color="auto"/>
        <w:left w:val="none" w:sz="0" w:space="0" w:color="auto"/>
        <w:bottom w:val="none" w:sz="0" w:space="0" w:color="auto"/>
        <w:right w:val="none" w:sz="0" w:space="0" w:color="auto"/>
      </w:divBdr>
    </w:div>
    <w:div w:id="1408962541">
      <w:marLeft w:val="0"/>
      <w:marRight w:val="0"/>
      <w:marTop w:val="0"/>
      <w:marBottom w:val="180"/>
      <w:divBdr>
        <w:top w:val="none" w:sz="0" w:space="0" w:color="auto"/>
        <w:left w:val="none" w:sz="0" w:space="0" w:color="auto"/>
        <w:bottom w:val="none" w:sz="0" w:space="0" w:color="auto"/>
        <w:right w:val="none" w:sz="0" w:space="0" w:color="auto"/>
      </w:divBdr>
    </w:div>
    <w:div w:id="1410466467">
      <w:marLeft w:val="0"/>
      <w:marRight w:val="0"/>
      <w:marTop w:val="0"/>
      <w:marBottom w:val="240"/>
      <w:divBdr>
        <w:top w:val="none" w:sz="0" w:space="0" w:color="auto"/>
        <w:left w:val="none" w:sz="0" w:space="0" w:color="auto"/>
        <w:bottom w:val="none" w:sz="0" w:space="0" w:color="auto"/>
        <w:right w:val="none" w:sz="0" w:space="0" w:color="auto"/>
      </w:divBdr>
    </w:div>
    <w:div w:id="1411582330">
      <w:marLeft w:val="0"/>
      <w:marRight w:val="0"/>
      <w:marTop w:val="0"/>
      <w:marBottom w:val="240"/>
      <w:divBdr>
        <w:top w:val="none" w:sz="0" w:space="0" w:color="auto"/>
        <w:left w:val="none" w:sz="0" w:space="0" w:color="auto"/>
        <w:bottom w:val="none" w:sz="0" w:space="0" w:color="auto"/>
        <w:right w:val="none" w:sz="0" w:space="0" w:color="auto"/>
      </w:divBdr>
    </w:div>
    <w:div w:id="1411738070">
      <w:marLeft w:val="0"/>
      <w:marRight w:val="0"/>
      <w:marTop w:val="0"/>
      <w:marBottom w:val="0"/>
      <w:divBdr>
        <w:top w:val="none" w:sz="0" w:space="0" w:color="auto"/>
        <w:left w:val="none" w:sz="0" w:space="0" w:color="auto"/>
        <w:bottom w:val="none" w:sz="0" w:space="0" w:color="auto"/>
        <w:right w:val="none" w:sz="0" w:space="0" w:color="auto"/>
      </w:divBdr>
      <w:divsChild>
        <w:div w:id="492332315">
          <w:marLeft w:val="0"/>
          <w:marRight w:val="0"/>
          <w:marTop w:val="0"/>
          <w:marBottom w:val="0"/>
          <w:divBdr>
            <w:top w:val="none" w:sz="0" w:space="0" w:color="auto"/>
            <w:left w:val="none" w:sz="0" w:space="0" w:color="auto"/>
            <w:bottom w:val="none" w:sz="0" w:space="0" w:color="auto"/>
            <w:right w:val="none" w:sz="0" w:space="0" w:color="auto"/>
          </w:divBdr>
        </w:div>
      </w:divsChild>
    </w:div>
    <w:div w:id="1411847267">
      <w:marLeft w:val="0"/>
      <w:marRight w:val="0"/>
      <w:marTop w:val="0"/>
      <w:marBottom w:val="60"/>
      <w:divBdr>
        <w:top w:val="none" w:sz="0" w:space="0" w:color="auto"/>
        <w:left w:val="none" w:sz="0" w:space="0" w:color="auto"/>
        <w:bottom w:val="none" w:sz="0" w:space="0" w:color="auto"/>
        <w:right w:val="none" w:sz="0" w:space="0" w:color="auto"/>
      </w:divBdr>
    </w:div>
    <w:div w:id="1411928879">
      <w:marLeft w:val="0"/>
      <w:marRight w:val="0"/>
      <w:marTop w:val="0"/>
      <w:marBottom w:val="0"/>
      <w:divBdr>
        <w:top w:val="none" w:sz="0" w:space="0" w:color="auto"/>
        <w:left w:val="none" w:sz="0" w:space="0" w:color="auto"/>
        <w:bottom w:val="none" w:sz="0" w:space="0" w:color="auto"/>
        <w:right w:val="none" w:sz="0" w:space="0" w:color="auto"/>
      </w:divBdr>
    </w:div>
    <w:div w:id="1412121170">
      <w:marLeft w:val="0"/>
      <w:marRight w:val="0"/>
      <w:marTop w:val="0"/>
      <w:marBottom w:val="180"/>
      <w:divBdr>
        <w:top w:val="none" w:sz="0" w:space="0" w:color="auto"/>
        <w:left w:val="none" w:sz="0" w:space="0" w:color="auto"/>
        <w:bottom w:val="none" w:sz="0" w:space="0" w:color="auto"/>
        <w:right w:val="none" w:sz="0" w:space="0" w:color="auto"/>
      </w:divBdr>
    </w:div>
    <w:div w:id="1412921844">
      <w:marLeft w:val="0"/>
      <w:marRight w:val="0"/>
      <w:marTop w:val="0"/>
      <w:marBottom w:val="0"/>
      <w:divBdr>
        <w:top w:val="none" w:sz="0" w:space="0" w:color="auto"/>
        <w:left w:val="none" w:sz="0" w:space="0" w:color="auto"/>
        <w:bottom w:val="none" w:sz="0" w:space="0" w:color="auto"/>
        <w:right w:val="none" w:sz="0" w:space="0" w:color="auto"/>
      </w:divBdr>
      <w:divsChild>
        <w:div w:id="1107853180">
          <w:marLeft w:val="0"/>
          <w:marRight w:val="0"/>
          <w:marTop w:val="0"/>
          <w:marBottom w:val="0"/>
          <w:divBdr>
            <w:top w:val="none" w:sz="0" w:space="0" w:color="auto"/>
            <w:left w:val="none" w:sz="0" w:space="0" w:color="auto"/>
            <w:bottom w:val="none" w:sz="0" w:space="0" w:color="auto"/>
            <w:right w:val="none" w:sz="0" w:space="0" w:color="auto"/>
          </w:divBdr>
        </w:div>
      </w:divsChild>
    </w:div>
    <w:div w:id="1415396656">
      <w:marLeft w:val="0"/>
      <w:marRight w:val="0"/>
      <w:marTop w:val="0"/>
      <w:marBottom w:val="240"/>
      <w:divBdr>
        <w:top w:val="none" w:sz="0" w:space="0" w:color="auto"/>
        <w:left w:val="none" w:sz="0" w:space="0" w:color="auto"/>
        <w:bottom w:val="none" w:sz="0" w:space="0" w:color="auto"/>
        <w:right w:val="none" w:sz="0" w:space="0" w:color="auto"/>
      </w:divBdr>
    </w:div>
    <w:div w:id="1417361724">
      <w:marLeft w:val="0"/>
      <w:marRight w:val="0"/>
      <w:marTop w:val="0"/>
      <w:marBottom w:val="240"/>
      <w:divBdr>
        <w:top w:val="none" w:sz="0" w:space="0" w:color="auto"/>
        <w:left w:val="none" w:sz="0" w:space="0" w:color="auto"/>
        <w:bottom w:val="none" w:sz="0" w:space="0" w:color="auto"/>
        <w:right w:val="none" w:sz="0" w:space="0" w:color="auto"/>
      </w:divBdr>
    </w:div>
    <w:div w:id="1417902211">
      <w:marLeft w:val="0"/>
      <w:marRight w:val="0"/>
      <w:marTop w:val="0"/>
      <w:marBottom w:val="240"/>
      <w:divBdr>
        <w:top w:val="none" w:sz="0" w:space="0" w:color="auto"/>
        <w:left w:val="none" w:sz="0" w:space="0" w:color="auto"/>
        <w:bottom w:val="none" w:sz="0" w:space="0" w:color="auto"/>
        <w:right w:val="none" w:sz="0" w:space="0" w:color="auto"/>
      </w:divBdr>
    </w:div>
    <w:div w:id="1418357265">
      <w:marLeft w:val="0"/>
      <w:marRight w:val="0"/>
      <w:marTop w:val="0"/>
      <w:marBottom w:val="240"/>
      <w:divBdr>
        <w:top w:val="none" w:sz="0" w:space="0" w:color="auto"/>
        <w:left w:val="none" w:sz="0" w:space="0" w:color="auto"/>
        <w:bottom w:val="none" w:sz="0" w:space="0" w:color="auto"/>
        <w:right w:val="none" w:sz="0" w:space="0" w:color="auto"/>
      </w:divBdr>
    </w:div>
    <w:div w:id="1421950108">
      <w:marLeft w:val="0"/>
      <w:marRight w:val="0"/>
      <w:marTop w:val="180"/>
      <w:marBottom w:val="180"/>
      <w:divBdr>
        <w:top w:val="none" w:sz="0" w:space="0" w:color="auto"/>
        <w:left w:val="none" w:sz="0" w:space="0" w:color="auto"/>
        <w:bottom w:val="none" w:sz="0" w:space="0" w:color="auto"/>
        <w:right w:val="none" w:sz="0" w:space="0" w:color="auto"/>
      </w:divBdr>
    </w:div>
    <w:div w:id="1422526547">
      <w:marLeft w:val="0"/>
      <w:marRight w:val="0"/>
      <w:marTop w:val="0"/>
      <w:marBottom w:val="240"/>
      <w:divBdr>
        <w:top w:val="none" w:sz="0" w:space="0" w:color="auto"/>
        <w:left w:val="none" w:sz="0" w:space="0" w:color="auto"/>
        <w:bottom w:val="none" w:sz="0" w:space="0" w:color="auto"/>
        <w:right w:val="none" w:sz="0" w:space="0" w:color="auto"/>
      </w:divBdr>
    </w:div>
    <w:div w:id="1422986694">
      <w:marLeft w:val="0"/>
      <w:marRight w:val="0"/>
      <w:marTop w:val="0"/>
      <w:marBottom w:val="0"/>
      <w:divBdr>
        <w:top w:val="none" w:sz="0" w:space="0" w:color="auto"/>
        <w:left w:val="none" w:sz="0" w:space="0" w:color="auto"/>
        <w:bottom w:val="none" w:sz="0" w:space="0" w:color="auto"/>
        <w:right w:val="none" w:sz="0" w:space="0" w:color="auto"/>
      </w:divBdr>
    </w:div>
    <w:div w:id="1423146301">
      <w:marLeft w:val="0"/>
      <w:marRight w:val="0"/>
      <w:marTop w:val="0"/>
      <w:marBottom w:val="240"/>
      <w:divBdr>
        <w:top w:val="none" w:sz="0" w:space="0" w:color="auto"/>
        <w:left w:val="none" w:sz="0" w:space="0" w:color="auto"/>
        <w:bottom w:val="none" w:sz="0" w:space="0" w:color="auto"/>
        <w:right w:val="none" w:sz="0" w:space="0" w:color="auto"/>
      </w:divBdr>
    </w:div>
    <w:div w:id="1424447837">
      <w:marLeft w:val="0"/>
      <w:marRight w:val="0"/>
      <w:marTop w:val="0"/>
      <w:marBottom w:val="240"/>
      <w:divBdr>
        <w:top w:val="none" w:sz="0" w:space="0" w:color="auto"/>
        <w:left w:val="none" w:sz="0" w:space="0" w:color="auto"/>
        <w:bottom w:val="none" w:sz="0" w:space="0" w:color="auto"/>
        <w:right w:val="none" w:sz="0" w:space="0" w:color="auto"/>
      </w:divBdr>
    </w:div>
    <w:div w:id="1426270557">
      <w:marLeft w:val="0"/>
      <w:marRight w:val="0"/>
      <w:marTop w:val="180"/>
      <w:marBottom w:val="180"/>
      <w:divBdr>
        <w:top w:val="none" w:sz="0" w:space="0" w:color="auto"/>
        <w:left w:val="none" w:sz="0" w:space="0" w:color="auto"/>
        <w:bottom w:val="none" w:sz="0" w:space="0" w:color="auto"/>
        <w:right w:val="none" w:sz="0" w:space="0" w:color="auto"/>
      </w:divBdr>
    </w:div>
    <w:div w:id="1427076862">
      <w:marLeft w:val="0"/>
      <w:marRight w:val="0"/>
      <w:marTop w:val="100"/>
      <w:marBottom w:val="100"/>
      <w:divBdr>
        <w:top w:val="none" w:sz="0" w:space="0" w:color="auto"/>
        <w:left w:val="none" w:sz="0" w:space="0" w:color="auto"/>
        <w:bottom w:val="none" w:sz="0" w:space="0" w:color="auto"/>
        <w:right w:val="none" w:sz="0" w:space="0" w:color="auto"/>
      </w:divBdr>
    </w:div>
    <w:div w:id="1430345507">
      <w:marLeft w:val="0"/>
      <w:marRight w:val="0"/>
      <w:marTop w:val="0"/>
      <w:marBottom w:val="0"/>
      <w:divBdr>
        <w:top w:val="none" w:sz="0" w:space="0" w:color="auto"/>
        <w:left w:val="none" w:sz="0" w:space="0" w:color="auto"/>
        <w:bottom w:val="none" w:sz="0" w:space="0" w:color="auto"/>
        <w:right w:val="none" w:sz="0" w:space="0" w:color="auto"/>
      </w:divBdr>
    </w:div>
    <w:div w:id="1431586308">
      <w:marLeft w:val="0"/>
      <w:marRight w:val="0"/>
      <w:marTop w:val="120"/>
      <w:marBottom w:val="120"/>
      <w:divBdr>
        <w:top w:val="none" w:sz="0" w:space="0" w:color="auto"/>
        <w:left w:val="none" w:sz="0" w:space="0" w:color="auto"/>
        <w:bottom w:val="none" w:sz="0" w:space="0" w:color="auto"/>
        <w:right w:val="none" w:sz="0" w:space="0" w:color="auto"/>
      </w:divBdr>
    </w:div>
    <w:div w:id="1435899561">
      <w:marLeft w:val="0"/>
      <w:marRight w:val="0"/>
      <w:marTop w:val="0"/>
      <w:marBottom w:val="240"/>
      <w:divBdr>
        <w:top w:val="none" w:sz="0" w:space="0" w:color="auto"/>
        <w:left w:val="none" w:sz="0" w:space="0" w:color="auto"/>
        <w:bottom w:val="none" w:sz="0" w:space="0" w:color="auto"/>
        <w:right w:val="none" w:sz="0" w:space="0" w:color="auto"/>
      </w:divBdr>
    </w:div>
    <w:div w:id="1436167599">
      <w:marLeft w:val="0"/>
      <w:marRight w:val="0"/>
      <w:marTop w:val="0"/>
      <w:marBottom w:val="0"/>
      <w:divBdr>
        <w:top w:val="none" w:sz="0" w:space="0" w:color="auto"/>
        <w:left w:val="none" w:sz="0" w:space="0" w:color="auto"/>
        <w:bottom w:val="none" w:sz="0" w:space="0" w:color="auto"/>
        <w:right w:val="none" w:sz="0" w:space="0" w:color="auto"/>
      </w:divBdr>
    </w:div>
    <w:div w:id="1438986691">
      <w:marLeft w:val="0"/>
      <w:marRight w:val="0"/>
      <w:marTop w:val="100"/>
      <w:marBottom w:val="100"/>
      <w:divBdr>
        <w:top w:val="none" w:sz="0" w:space="0" w:color="auto"/>
        <w:left w:val="none" w:sz="0" w:space="0" w:color="auto"/>
        <w:bottom w:val="none" w:sz="0" w:space="0" w:color="auto"/>
        <w:right w:val="none" w:sz="0" w:space="0" w:color="auto"/>
      </w:divBdr>
    </w:div>
    <w:div w:id="1440294132">
      <w:marLeft w:val="0"/>
      <w:marRight w:val="0"/>
      <w:marTop w:val="100"/>
      <w:marBottom w:val="100"/>
      <w:divBdr>
        <w:top w:val="none" w:sz="0" w:space="0" w:color="auto"/>
        <w:left w:val="none" w:sz="0" w:space="0" w:color="auto"/>
        <w:bottom w:val="none" w:sz="0" w:space="0" w:color="auto"/>
        <w:right w:val="none" w:sz="0" w:space="0" w:color="auto"/>
      </w:divBdr>
    </w:div>
    <w:div w:id="1444572158">
      <w:marLeft w:val="0"/>
      <w:marRight w:val="0"/>
      <w:marTop w:val="0"/>
      <w:marBottom w:val="240"/>
      <w:divBdr>
        <w:top w:val="none" w:sz="0" w:space="0" w:color="auto"/>
        <w:left w:val="none" w:sz="0" w:space="0" w:color="auto"/>
        <w:bottom w:val="none" w:sz="0" w:space="0" w:color="auto"/>
        <w:right w:val="none" w:sz="0" w:space="0" w:color="auto"/>
      </w:divBdr>
    </w:div>
    <w:div w:id="1444764673">
      <w:marLeft w:val="0"/>
      <w:marRight w:val="0"/>
      <w:marTop w:val="100"/>
      <w:marBottom w:val="100"/>
      <w:divBdr>
        <w:top w:val="none" w:sz="0" w:space="0" w:color="auto"/>
        <w:left w:val="none" w:sz="0" w:space="0" w:color="auto"/>
        <w:bottom w:val="none" w:sz="0" w:space="0" w:color="auto"/>
        <w:right w:val="none" w:sz="0" w:space="0" w:color="auto"/>
      </w:divBdr>
    </w:div>
    <w:div w:id="1445004563">
      <w:marLeft w:val="0"/>
      <w:marRight w:val="0"/>
      <w:marTop w:val="120"/>
      <w:marBottom w:val="180"/>
      <w:divBdr>
        <w:top w:val="none" w:sz="0" w:space="0" w:color="auto"/>
        <w:left w:val="none" w:sz="0" w:space="0" w:color="auto"/>
        <w:bottom w:val="none" w:sz="0" w:space="0" w:color="auto"/>
        <w:right w:val="none" w:sz="0" w:space="0" w:color="auto"/>
      </w:divBdr>
    </w:div>
    <w:div w:id="1446845104">
      <w:marLeft w:val="0"/>
      <w:marRight w:val="0"/>
      <w:marTop w:val="180"/>
      <w:marBottom w:val="180"/>
      <w:divBdr>
        <w:top w:val="none" w:sz="0" w:space="0" w:color="auto"/>
        <w:left w:val="none" w:sz="0" w:space="0" w:color="auto"/>
        <w:bottom w:val="none" w:sz="0" w:space="0" w:color="auto"/>
        <w:right w:val="none" w:sz="0" w:space="0" w:color="auto"/>
      </w:divBdr>
    </w:div>
    <w:div w:id="1447231683">
      <w:marLeft w:val="0"/>
      <w:marRight w:val="0"/>
      <w:marTop w:val="0"/>
      <w:marBottom w:val="240"/>
      <w:divBdr>
        <w:top w:val="none" w:sz="0" w:space="0" w:color="auto"/>
        <w:left w:val="none" w:sz="0" w:space="0" w:color="auto"/>
        <w:bottom w:val="none" w:sz="0" w:space="0" w:color="auto"/>
        <w:right w:val="none" w:sz="0" w:space="0" w:color="auto"/>
      </w:divBdr>
    </w:div>
    <w:div w:id="1449275261">
      <w:marLeft w:val="0"/>
      <w:marRight w:val="0"/>
      <w:marTop w:val="120"/>
      <w:marBottom w:val="240"/>
      <w:divBdr>
        <w:top w:val="none" w:sz="0" w:space="0" w:color="auto"/>
        <w:left w:val="none" w:sz="0" w:space="0" w:color="auto"/>
        <w:bottom w:val="none" w:sz="0" w:space="0" w:color="auto"/>
        <w:right w:val="none" w:sz="0" w:space="0" w:color="auto"/>
      </w:divBdr>
    </w:div>
    <w:div w:id="1450515189">
      <w:marLeft w:val="0"/>
      <w:marRight w:val="0"/>
      <w:marTop w:val="120"/>
      <w:marBottom w:val="120"/>
      <w:divBdr>
        <w:top w:val="none" w:sz="0" w:space="0" w:color="auto"/>
        <w:left w:val="none" w:sz="0" w:space="0" w:color="auto"/>
        <w:bottom w:val="none" w:sz="0" w:space="0" w:color="auto"/>
        <w:right w:val="none" w:sz="0" w:space="0" w:color="auto"/>
      </w:divBdr>
    </w:div>
    <w:div w:id="1454058273">
      <w:marLeft w:val="0"/>
      <w:marRight w:val="0"/>
      <w:marTop w:val="0"/>
      <w:marBottom w:val="240"/>
      <w:divBdr>
        <w:top w:val="none" w:sz="0" w:space="0" w:color="auto"/>
        <w:left w:val="none" w:sz="0" w:space="0" w:color="auto"/>
        <w:bottom w:val="none" w:sz="0" w:space="0" w:color="auto"/>
        <w:right w:val="none" w:sz="0" w:space="0" w:color="auto"/>
      </w:divBdr>
    </w:div>
    <w:div w:id="1455251843">
      <w:marLeft w:val="0"/>
      <w:marRight w:val="0"/>
      <w:marTop w:val="0"/>
      <w:marBottom w:val="240"/>
      <w:divBdr>
        <w:top w:val="none" w:sz="0" w:space="0" w:color="auto"/>
        <w:left w:val="none" w:sz="0" w:space="0" w:color="auto"/>
        <w:bottom w:val="none" w:sz="0" w:space="0" w:color="auto"/>
        <w:right w:val="none" w:sz="0" w:space="0" w:color="auto"/>
      </w:divBdr>
    </w:div>
    <w:div w:id="1458914531">
      <w:marLeft w:val="0"/>
      <w:marRight w:val="0"/>
      <w:marTop w:val="0"/>
      <w:marBottom w:val="240"/>
      <w:divBdr>
        <w:top w:val="none" w:sz="0" w:space="0" w:color="auto"/>
        <w:left w:val="none" w:sz="0" w:space="0" w:color="auto"/>
        <w:bottom w:val="none" w:sz="0" w:space="0" w:color="auto"/>
        <w:right w:val="none" w:sz="0" w:space="0" w:color="auto"/>
      </w:divBdr>
    </w:div>
    <w:div w:id="1459377701">
      <w:marLeft w:val="0"/>
      <w:marRight w:val="0"/>
      <w:marTop w:val="0"/>
      <w:marBottom w:val="0"/>
      <w:divBdr>
        <w:top w:val="none" w:sz="0" w:space="0" w:color="auto"/>
        <w:left w:val="none" w:sz="0" w:space="0" w:color="auto"/>
        <w:bottom w:val="none" w:sz="0" w:space="0" w:color="auto"/>
        <w:right w:val="none" w:sz="0" w:space="0" w:color="auto"/>
      </w:divBdr>
      <w:divsChild>
        <w:div w:id="1663654006">
          <w:marLeft w:val="0"/>
          <w:marRight w:val="0"/>
          <w:marTop w:val="0"/>
          <w:marBottom w:val="0"/>
          <w:divBdr>
            <w:top w:val="none" w:sz="0" w:space="0" w:color="auto"/>
            <w:left w:val="none" w:sz="0" w:space="0" w:color="auto"/>
            <w:bottom w:val="none" w:sz="0" w:space="0" w:color="auto"/>
            <w:right w:val="none" w:sz="0" w:space="0" w:color="auto"/>
          </w:divBdr>
        </w:div>
      </w:divsChild>
    </w:div>
    <w:div w:id="1459912348">
      <w:marLeft w:val="0"/>
      <w:marRight w:val="0"/>
      <w:marTop w:val="0"/>
      <w:marBottom w:val="240"/>
      <w:divBdr>
        <w:top w:val="none" w:sz="0" w:space="0" w:color="auto"/>
        <w:left w:val="none" w:sz="0" w:space="0" w:color="auto"/>
        <w:bottom w:val="none" w:sz="0" w:space="0" w:color="auto"/>
        <w:right w:val="none" w:sz="0" w:space="0" w:color="auto"/>
      </w:divBdr>
    </w:div>
    <w:div w:id="1460764460">
      <w:marLeft w:val="0"/>
      <w:marRight w:val="0"/>
      <w:marTop w:val="180"/>
      <w:marBottom w:val="180"/>
      <w:divBdr>
        <w:top w:val="none" w:sz="0" w:space="0" w:color="auto"/>
        <w:left w:val="none" w:sz="0" w:space="0" w:color="auto"/>
        <w:bottom w:val="none" w:sz="0" w:space="0" w:color="auto"/>
        <w:right w:val="none" w:sz="0" w:space="0" w:color="auto"/>
      </w:divBdr>
    </w:div>
    <w:div w:id="1462458212">
      <w:marLeft w:val="0"/>
      <w:marRight w:val="0"/>
      <w:marTop w:val="0"/>
      <w:marBottom w:val="0"/>
      <w:divBdr>
        <w:top w:val="none" w:sz="0" w:space="0" w:color="auto"/>
        <w:left w:val="none" w:sz="0" w:space="0" w:color="auto"/>
        <w:bottom w:val="none" w:sz="0" w:space="0" w:color="auto"/>
        <w:right w:val="none" w:sz="0" w:space="0" w:color="auto"/>
      </w:divBdr>
      <w:divsChild>
        <w:div w:id="2030908101">
          <w:marLeft w:val="0"/>
          <w:marRight w:val="0"/>
          <w:marTop w:val="0"/>
          <w:marBottom w:val="0"/>
          <w:divBdr>
            <w:top w:val="none" w:sz="0" w:space="0" w:color="auto"/>
            <w:left w:val="none" w:sz="0" w:space="0" w:color="auto"/>
            <w:bottom w:val="none" w:sz="0" w:space="0" w:color="auto"/>
            <w:right w:val="none" w:sz="0" w:space="0" w:color="auto"/>
          </w:divBdr>
        </w:div>
      </w:divsChild>
    </w:div>
    <w:div w:id="1465659432">
      <w:marLeft w:val="0"/>
      <w:marRight w:val="0"/>
      <w:marTop w:val="180"/>
      <w:marBottom w:val="180"/>
      <w:divBdr>
        <w:top w:val="none" w:sz="0" w:space="0" w:color="auto"/>
        <w:left w:val="none" w:sz="0" w:space="0" w:color="auto"/>
        <w:bottom w:val="none" w:sz="0" w:space="0" w:color="auto"/>
        <w:right w:val="none" w:sz="0" w:space="0" w:color="auto"/>
      </w:divBdr>
    </w:div>
    <w:div w:id="1466774745">
      <w:marLeft w:val="0"/>
      <w:marRight w:val="0"/>
      <w:marTop w:val="120"/>
      <w:marBottom w:val="120"/>
      <w:divBdr>
        <w:top w:val="none" w:sz="0" w:space="0" w:color="auto"/>
        <w:left w:val="none" w:sz="0" w:space="0" w:color="auto"/>
        <w:bottom w:val="none" w:sz="0" w:space="0" w:color="auto"/>
        <w:right w:val="none" w:sz="0" w:space="0" w:color="auto"/>
      </w:divBdr>
    </w:div>
    <w:div w:id="1467429930">
      <w:marLeft w:val="0"/>
      <w:marRight w:val="0"/>
      <w:marTop w:val="180"/>
      <w:marBottom w:val="180"/>
      <w:divBdr>
        <w:top w:val="none" w:sz="0" w:space="0" w:color="auto"/>
        <w:left w:val="none" w:sz="0" w:space="0" w:color="auto"/>
        <w:bottom w:val="none" w:sz="0" w:space="0" w:color="auto"/>
        <w:right w:val="none" w:sz="0" w:space="0" w:color="auto"/>
      </w:divBdr>
    </w:div>
    <w:div w:id="1468401940">
      <w:marLeft w:val="0"/>
      <w:marRight w:val="0"/>
      <w:marTop w:val="0"/>
      <w:marBottom w:val="180"/>
      <w:divBdr>
        <w:top w:val="none" w:sz="0" w:space="0" w:color="auto"/>
        <w:left w:val="none" w:sz="0" w:space="0" w:color="auto"/>
        <w:bottom w:val="none" w:sz="0" w:space="0" w:color="auto"/>
        <w:right w:val="none" w:sz="0" w:space="0" w:color="auto"/>
      </w:divBdr>
    </w:div>
    <w:div w:id="1471247395">
      <w:marLeft w:val="0"/>
      <w:marRight w:val="0"/>
      <w:marTop w:val="0"/>
      <w:marBottom w:val="0"/>
      <w:divBdr>
        <w:top w:val="none" w:sz="0" w:space="0" w:color="auto"/>
        <w:left w:val="none" w:sz="0" w:space="0" w:color="auto"/>
        <w:bottom w:val="none" w:sz="0" w:space="0" w:color="auto"/>
        <w:right w:val="none" w:sz="0" w:space="0" w:color="auto"/>
      </w:divBdr>
    </w:div>
    <w:div w:id="1473716502">
      <w:marLeft w:val="0"/>
      <w:marRight w:val="0"/>
      <w:marTop w:val="120"/>
      <w:marBottom w:val="240"/>
      <w:divBdr>
        <w:top w:val="none" w:sz="0" w:space="0" w:color="auto"/>
        <w:left w:val="none" w:sz="0" w:space="0" w:color="auto"/>
        <w:bottom w:val="none" w:sz="0" w:space="0" w:color="auto"/>
        <w:right w:val="none" w:sz="0" w:space="0" w:color="auto"/>
      </w:divBdr>
    </w:div>
    <w:div w:id="1476069461">
      <w:marLeft w:val="0"/>
      <w:marRight w:val="0"/>
      <w:marTop w:val="180"/>
      <w:marBottom w:val="180"/>
      <w:divBdr>
        <w:top w:val="none" w:sz="0" w:space="0" w:color="auto"/>
        <w:left w:val="none" w:sz="0" w:space="0" w:color="auto"/>
        <w:bottom w:val="none" w:sz="0" w:space="0" w:color="auto"/>
        <w:right w:val="none" w:sz="0" w:space="0" w:color="auto"/>
      </w:divBdr>
    </w:div>
    <w:div w:id="1476289493">
      <w:marLeft w:val="0"/>
      <w:marRight w:val="0"/>
      <w:marTop w:val="0"/>
      <w:marBottom w:val="180"/>
      <w:divBdr>
        <w:top w:val="none" w:sz="0" w:space="0" w:color="auto"/>
        <w:left w:val="none" w:sz="0" w:space="0" w:color="auto"/>
        <w:bottom w:val="none" w:sz="0" w:space="0" w:color="auto"/>
        <w:right w:val="none" w:sz="0" w:space="0" w:color="auto"/>
      </w:divBdr>
    </w:div>
    <w:div w:id="1481383513">
      <w:marLeft w:val="0"/>
      <w:marRight w:val="0"/>
      <w:marTop w:val="60"/>
      <w:marBottom w:val="0"/>
      <w:divBdr>
        <w:top w:val="none" w:sz="0" w:space="0" w:color="auto"/>
        <w:left w:val="none" w:sz="0" w:space="0" w:color="auto"/>
        <w:bottom w:val="none" w:sz="0" w:space="0" w:color="auto"/>
        <w:right w:val="none" w:sz="0" w:space="0" w:color="auto"/>
      </w:divBdr>
    </w:div>
    <w:div w:id="1481775262">
      <w:marLeft w:val="0"/>
      <w:marRight w:val="0"/>
      <w:marTop w:val="180"/>
      <w:marBottom w:val="180"/>
      <w:divBdr>
        <w:top w:val="none" w:sz="0" w:space="0" w:color="auto"/>
        <w:left w:val="none" w:sz="0" w:space="0" w:color="auto"/>
        <w:bottom w:val="none" w:sz="0" w:space="0" w:color="auto"/>
        <w:right w:val="none" w:sz="0" w:space="0" w:color="auto"/>
      </w:divBdr>
    </w:div>
    <w:div w:id="1482384680">
      <w:marLeft w:val="0"/>
      <w:marRight w:val="0"/>
      <w:marTop w:val="120"/>
      <w:marBottom w:val="180"/>
      <w:divBdr>
        <w:top w:val="none" w:sz="0" w:space="0" w:color="auto"/>
        <w:left w:val="none" w:sz="0" w:space="0" w:color="auto"/>
        <w:bottom w:val="none" w:sz="0" w:space="0" w:color="auto"/>
        <w:right w:val="none" w:sz="0" w:space="0" w:color="auto"/>
      </w:divBdr>
    </w:div>
    <w:div w:id="1483890829">
      <w:marLeft w:val="0"/>
      <w:marRight w:val="0"/>
      <w:marTop w:val="0"/>
      <w:marBottom w:val="0"/>
      <w:divBdr>
        <w:top w:val="none" w:sz="0" w:space="0" w:color="auto"/>
        <w:left w:val="none" w:sz="0" w:space="0" w:color="auto"/>
        <w:bottom w:val="none" w:sz="0" w:space="0" w:color="auto"/>
        <w:right w:val="none" w:sz="0" w:space="0" w:color="auto"/>
      </w:divBdr>
    </w:div>
    <w:div w:id="1484348390">
      <w:marLeft w:val="0"/>
      <w:marRight w:val="0"/>
      <w:marTop w:val="120"/>
      <w:marBottom w:val="120"/>
      <w:divBdr>
        <w:top w:val="none" w:sz="0" w:space="0" w:color="auto"/>
        <w:left w:val="none" w:sz="0" w:space="0" w:color="auto"/>
        <w:bottom w:val="none" w:sz="0" w:space="0" w:color="auto"/>
        <w:right w:val="none" w:sz="0" w:space="0" w:color="auto"/>
      </w:divBdr>
    </w:div>
    <w:div w:id="1485926506">
      <w:marLeft w:val="0"/>
      <w:marRight w:val="0"/>
      <w:marTop w:val="240"/>
      <w:marBottom w:val="240"/>
      <w:divBdr>
        <w:top w:val="none" w:sz="0" w:space="0" w:color="auto"/>
        <w:left w:val="none" w:sz="0" w:space="0" w:color="auto"/>
        <w:bottom w:val="none" w:sz="0" w:space="0" w:color="auto"/>
        <w:right w:val="none" w:sz="0" w:space="0" w:color="auto"/>
      </w:divBdr>
    </w:div>
    <w:div w:id="1486050839">
      <w:marLeft w:val="0"/>
      <w:marRight w:val="0"/>
      <w:marTop w:val="0"/>
      <w:marBottom w:val="180"/>
      <w:divBdr>
        <w:top w:val="none" w:sz="0" w:space="0" w:color="auto"/>
        <w:left w:val="none" w:sz="0" w:space="0" w:color="auto"/>
        <w:bottom w:val="none" w:sz="0" w:space="0" w:color="auto"/>
        <w:right w:val="none" w:sz="0" w:space="0" w:color="auto"/>
      </w:divBdr>
    </w:div>
    <w:div w:id="1486244358">
      <w:marLeft w:val="0"/>
      <w:marRight w:val="0"/>
      <w:marTop w:val="0"/>
      <w:marBottom w:val="240"/>
      <w:divBdr>
        <w:top w:val="none" w:sz="0" w:space="0" w:color="auto"/>
        <w:left w:val="none" w:sz="0" w:space="0" w:color="auto"/>
        <w:bottom w:val="none" w:sz="0" w:space="0" w:color="auto"/>
        <w:right w:val="none" w:sz="0" w:space="0" w:color="auto"/>
      </w:divBdr>
    </w:div>
    <w:div w:id="1486244550">
      <w:marLeft w:val="0"/>
      <w:marRight w:val="0"/>
      <w:marTop w:val="180"/>
      <w:marBottom w:val="180"/>
      <w:divBdr>
        <w:top w:val="none" w:sz="0" w:space="0" w:color="auto"/>
        <w:left w:val="none" w:sz="0" w:space="0" w:color="auto"/>
        <w:bottom w:val="none" w:sz="0" w:space="0" w:color="auto"/>
        <w:right w:val="none" w:sz="0" w:space="0" w:color="auto"/>
      </w:divBdr>
    </w:div>
    <w:div w:id="1486553498">
      <w:marLeft w:val="0"/>
      <w:marRight w:val="0"/>
      <w:marTop w:val="0"/>
      <w:marBottom w:val="0"/>
      <w:divBdr>
        <w:top w:val="none" w:sz="0" w:space="0" w:color="auto"/>
        <w:left w:val="none" w:sz="0" w:space="0" w:color="auto"/>
        <w:bottom w:val="none" w:sz="0" w:space="0" w:color="auto"/>
        <w:right w:val="none" w:sz="0" w:space="0" w:color="auto"/>
      </w:divBdr>
    </w:div>
    <w:div w:id="1487547218">
      <w:marLeft w:val="0"/>
      <w:marRight w:val="0"/>
      <w:marTop w:val="0"/>
      <w:marBottom w:val="180"/>
      <w:divBdr>
        <w:top w:val="none" w:sz="0" w:space="0" w:color="auto"/>
        <w:left w:val="none" w:sz="0" w:space="0" w:color="auto"/>
        <w:bottom w:val="none" w:sz="0" w:space="0" w:color="auto"/>
        <w:right w:val="none" w:sz="0" w:space="0" w:color="auto"/>
      </w:divBdr>
    </w:div>
    <w:div w:id="1488015715">
      <w:marLeft w:val="0"/>
      <w:marRight w:val="0"/>
      <w:marTop w:val="0"/>
      <w:marBottom w:val="240"/>
      <w:divBdr>
        <w:top w:val="none" w:sz="0" w:space="0" w:color="auto"/>
        <w:left w:val="none" w:sz="0" w:space="0" w:color="auto"/>
        <w:bottom w:val="none" w:sz="0" w:space="0" w:color="auto"/>
        <w:right w:val="none" w:sz="0" w:space="0" w:color="auto"/>
      </w:divBdr>
    </w:div>
    <w:div w:id="1488327285">
      <w:marLeft w:val="0"/>
      <w:marRight w:val="0"/>
      <w:marTop w:val="0"/>
      <w:marBottom w:val="240"/>
      <w:divBdr>
        <w:top w:val="none" w:sz="0" w:space="0" w:color="auto"/>
        <w:left w:val="none" w:sz="0" w:space="0" w:color="auto"/>
        <w:bottom w:val="none" w:sz="0" w:space="0" w:color="auto"/>
        <w:right w:val="none" w:sz="0" w:space="0" w:color="auto"/>
      </w:divBdr>
    </w:div>
    <w:div w:id="1489245715">
      <w:marLeft w:val="0"/>
      <w:marRight w:val="0"/>
      <w:marTop w:val="0"/>
      <w:marBottom w:val="0"/>
      <w:divBdr>
        <w:top w:val="none" w:sz="0" w:space="0" w:color="auto"/>
        <w:left w:val="none" w:sz="0" w:space="0" w:color="auto"/>
        <w:bottom w:val="none" w:sz="0" w:space="0" w:color="auto"/>
        <w:right w:val="none" w:sz="0" w:space="0" w:color="auto"/>
      </w:divBdr>
    </w:div>
    <w:div w:id="1490099004">
      <w:marLeft w:val="0"/>
      <w:marRight w:val="0"/>
      <w:marTop w:val="0"/>
      <w:marBottom w:val="0"/>
      <w:divBdr>
        <w:top w:val="none" w:sz="0" w:space="0" w:color="auto"/>
        <w:left w:val="none" w:sz="0" w:space="0" w:color="auto"/>
        <w:bottom w:val="none" w:sz="0" w:space="0" w:color="auto"/>
        <w:right w:val="none" w:sz="0" w:space="0" w:color="auto"/>
      </w:divBdr>
      <w:divsChild>
        <w:div w:id="107897478">
          <w:marLeft w:val="0"/>
          <w:marRight w:val="0"/>
          <w:marTop w:val="0"/>
          <w:marBottom w:val="0"/>
          <w:divBdr>
            <w:top w:val="none" w:sz="0" w:space="0" w:color="auto"/>
            <w:left w:val="none" w:sz="0" w:space="0" w:color="auto"/>
            <w:bottom w:val="none" w:sz="0" w:space="0" w:color="auto"/>
            <w:right w:val="none" w:sz="0" w:space="0" w:color="auto"/>
          </w:divBdr>
        </w:div>
      </w:divsChild>
    </w:div>
    <w:div w:id="1492332127">
      <w:marLeft w:val="0"/>
      <w:marRight w:val="0"/>
      <w:marTop w:val="0"/>
      <w:marBottom w:val="240"/>
      <w:divBdr>
        <w:top w:val="none" w:sz="0" w:space="0" w:color="auto"/>
        <w:left w:val="none" w:sz="0" w:space="0" w:color="auto"/>
        <w:bottom w:val="none" w:sz="0" w:space="0" w:color="auto"/>
        <w:right w:val="none" w:sz="0" w:space="0" w:color="auto"/>
      </w:divBdr>
    </w:div>
    <w:div w:id="1494755939">
      <w:marLeft w:val="0"/>
      <w:marRight w:val="0"/>
      <w:marTop w:val="120"/>
      <w:marBottom w:val="180"/>
      <w:divBdr>
        <w:top w:val="none" w:sz="0" w:space="0" w:color="auto"/>
        <w:left w:val="none" w:sz="0" w:space="0" w:color="auto"/>
        <w:bottom w:val="none" w:sz="0" w:space="0" w:color="auto"/>
        <w:right w:val="none" w:sz="0" w:space="0" w:color="auto"/>
      </w:divBdr>
    </w:div>
    <w:div w:id="1501506229">
      <w:marLeft w:val="0"/>
      <w:marRight w:val="0"/>
      <w:marTop w:val="120"/>
      <w:marBottom w:val="120"/>
      <w:divBdr>
        <w:top w:val="none" w:sz="0" w:space="0" w:color="auto"/>
        <w:left w:val="none" w:sz="0" w:space="0" w:color="auto"/>
        <w:bottom w:val="none" w:sz="0" w:space="0" w:color="auto"/>
        <w:right w:val="none" w:sz="0" w:space="0" w:color="auto"/>
      </w:divBdr>
    </w:div>
    <w:div w:id="1502349919">
      <w:marLeft w:val="0"/>
      <w:marRight w:val="0"/>
      <w:marTop w:val="100"/>
      <w:marBottom w:val="100"/>
      <w:divBdr>
        <w:top w:val="none" w:sz="0" w:space="0" w:color="auto"/>
        <w:left w:val="none" w:sz="0" w:space="0" w:color="auto"/>
        <w:bottom w:val="none" w:sz="0" w:space="0" w:color="auto"/>
        <w:right w:val="none" w:sz="0" w:space="0" w:color="auto"/>
      </w:divBdr>
      <w:divsChild>
        <w:div w:id="2086487852">
          <w:marLeft w:val="0"/>
          <w:marRight w:val="0"/>
          <w:marTop w:val="0"/>
          <w:marBottom w:val="0"/>
          <w:divBdr>
            <w:top w:val="none" w:sz="0" w:space="0" w:color="auto"/>
            <w:left w:val="none" w:sz="0" w:space="0" w:color="auto"/>
            <w:bottom w:val="none" w:sz="0" w:space="0" w:color="auto"/>
            <w:right w:val="none" w:sz="0" w:space="0" w:color="auto"/>
          </w:divBdr>
        </w:div>
      </w:divsChild>
    </w:div>
    <w:div w:id="1502502797">
      <w:marLeft w:val="0"/>
      <w:marRight w:val="0"/>
      <w:marTop w:val="120"/>
      <w:marBottom w:val="120"/>
      <w:divBdr>
        <w:top w:val="none" w:sz="0" w:space="0" w:color="auto"/>
        <w:left w:val="none" w:sz="0" w:space="0" w:color="auto"/>
        <w:bottom w:val="none" w:sz="0" w:space="0" w:color="auto"/>
        <w:right w:val="none" w:sz="0" w:space="0" w:color="auto"/>
      </w:divBdr>
    </w:div>
    <w:div w:id="1502819068">
      <w:marLeft w:val="0"/>
      <w:marRight w:val="0"/>
      <w:marTop w:val="0"/>
      <w:marBottom w:val="180"/>
      <w:divBdr>
        <w:top w:val="none" w:sz="0" w:space="0" w:color="auto"/>
        <w:left w:val="none" w:sz="0" w:space="0" w:color="auto"/>
        <w:bottom w:val="none" w:sz="0" w:space="0" w:color="auto"/>
        <w:right w:val="none" w:sz="0" w:space="0" w:color="auto"/>
      </w:divBdr>
    </w:div>
    <w:div w:id="1502894158">
      <w:marLeft w:val="0"/>
      <w:marRight w:val="0"/>
      <w:marTop w:val="120"/>
      <w:marBottom w:val="120"/>
      <w:divBdr>
        <w:top w:val="none" w:sz="0" w:space="0" w:color="auto"/>
        <w:left w:val="none" w:sz="0" w:space="0" w:color="auto"/>
        <w:bottom w:val="none" w:sz="0" w:space="0" w:color="auto"/>
        <w:right w:val="none" w:sz="0" w:space="0" w:color="auto"/>
      </w:divBdr>
    </w:div>
    <w:div w:id="1503084292">
      <w:marLeft w:val="0"/>
      <w:marRight w:val="0"/>
      <w:marTop w:val="120"/>
      <w:marBottom w:val="240"/>
      <w:divBdr>
        <w:top w:val="none" w:sz="0" w:space="0" w:color="auto"/>
        <w:left w:val="none" w:sz="0" w:space="0" w:color="auto"/>
        <w:bottom w:val="none" w:sz="0" w:space="0" w:color="auto"/>
        <w:right w:val="none" w:sz="0" w:space="0" w:color="auto"/>
      </w:divBdr>
    </w:div>
    <w:div w:id="1504932058">
      <w:marLeft w:val="0"/>
      <w:marRight w:val="0"/>
      <w:marTop w:val="0"/>
      <w:marBottom w:val="240"/>
      <w:divBdr>
        <w:top w:val="none" w:sz="0" w:space="0" w:color="auto"/>
        <w:left w:val="none" w:sz="0" w:space="0" w:color="auto"/>
        <w:bottom w:val="none" w:sz="0" w:space="0" w:color="auto"/>
        <w:right w:val="none" w:sz="0" w:space="0" w:color="auto"/>
      </w:divBdr>
    </w:div>
    <w:div w:id="1505170059">
      <w:marLeft w:val="0"/>
      <w:marRight w:val="0"/>
      <w:marTop w:val="180"/>
      <w:marBottom w:val="180"/>
      <w:divBdr>
        <w:top w:val="none" w:sz="0" w:space="0" w:color="auto"/>
        <w:left w:val="none" w:sz="0" w:space="0" w:color="auto"/>
        <w:bottom w:val="none" w:sz="0" w:space="0" w:color="auto"/>
        <w:right w:val="none" w:sz="0" w:space="0" w:color="auto"/>
      </w:divBdr>
    </w:div>
    <w:div w:id="1507211894">
      <w:marLeft w:val="0"/>
      <w:marRight w:val="0"/>
      <w:marTop w:val="120"/>
      <w:marBottom w:val="180"/>
      <w:divBdr>
        <w:top w:val="none" w:sz="0" w:space="0" w:color="auto"/>
        <w:left w:val="none" w:sz="0" w:space="0" w:color="auto"/>
        <w:bottom w:val="none" w:sz="0" w:space="0" w:color="auto"/>
        <w:right w:val="none" w:sz="0" w:space="0" w:color="auto"/>
      </w:divBdr>
    </w:div>
    <w:div w:id="1508053695">
      <w:marLeft w:val="0"/>
      <w:marRight w:val="0"/>
      <w:marTop w:val="120"/>
      <w:marBottom w:val="120"/>
      <w:divBdr>
        <w:top w:val="none" w:sz="0" w:space="0" w:color="auto"/>
        <w:left w:val="none" w:sz="0" w:space="0" w:color="auto"/>
        <w:bottom w:val="none" w:sz="0" w:space="0" w:color="auto"/>
        <w:right w:val="none" w:sz="0" w:space="0" w:color="auto"/>
      </w:divBdr>
    </w:div>
    <w:div w:id="1508443513">
      <w:marLeft w:val="0"/>
      <w:marRight w:val="0"/>
      <w:marTop w:val="0"/>
      <w:marBottom w:val="0"/>
      <w:divBdr>
        <w:top w:val="none" w:sz="0" w:space="0" w:color="auto"/>
        <w:left w:val="none" w:sz="0" w:space="0" w:color="auto"/>
        <w:bottom w:val="none" w:sz="0" w:space="0" w:color="auto"/>
        <w:right w:val="none" w:sz="0" w:space="0" w:color="auto"/>
      </w:divBdr>
      <w:divsChild>
        <w:div w:id="1781534616">
          <w:marLeft w:val="0"/>
          <w:marRight w:val="0"/>
          <w:marTop w:val="0"/>
          <w:marBottom w:val="0"/>
          <w:divBdr>
            <w:top w:val="none" w:sz="0" w:space="0" w:color="auto"/>
            <w:left w:val="none" w:sz="0" w:space="0" w:color="auto"/>
            <w:bottom w:val="none" w:sz="0" w:space="0" w:color="auto"/>
            <w:right w:val="none" w:sz="0" w:space="0" w:color="auto"/>
          </w:divBdr>
        </w:div>
      </w:divsChild>
    </w:div>
    <w:div w:id="1509320890">
      <w:marLeft w:val="0"/>
      <w:marRight w:val="0"/>
      <w:marTop w:val="120"/>
      <w:marBottom w:val="180"/>
      <w:divBdr>
        <w:top w:val="none" w:sz="0" w:space="0" w:color="auto"/>
        <w:left w:val="none" w:sz="0" w:space="0" w:color="auto"/>
        <w:bottom w:val="none" w:sz="0" w:space="0" w:color="auto"/>
        <w:right w:val="none" w:sz="0" w:space="0" w:color="auto"/>
      </w:divBdr>
    </w:div>
    <w:div w:id="1510411749">
      <w:marLeft w:val="0"/>
      <w:marRight w:val="0"/>
      <w:marTop w:val="0"/>
      <w:marBottom w:val="0"/>
      <w:divBdr>
        <w:top w:val="none" w:sz="0" w:space="0" w:color="auto"/>
        <w:left w:val="none" w:sz="0" w:space="0" w:color="auto"/>
        <w:bottom w:val="none" w:sz="0" w:space="0" w:color="auto"/>
        <w:right w:val="none" w:sz="0" w:space="0" w:color="auto"/>
      </w:divBdr>
      <w:divsChild>
        <w:div w:id="1440678424">
          <w:marLeft w:val="0"/>
          <w:marRight w:val="0"/>
          <w:marTop w:val="0"/>
          <w:marBottom w:val="0"/>
          <w:divBdr>
            <w:top w:val="none" w:sz="0" w:space="0" w:color="auto"/>
            <w:left w:val="none" w:sz="0" w:space="0" w:color="auto"/>
            <w:bottom w:val="none" w:sz="0" w:space="0" w:color="auto"/>
            <w:right w:val="none" w:sz="0" w:space="0" w:color="auto"/>
          </w:divBdr>
        </w:div>
      </w:divsChild>
    </w:div>
    <w:div w:id="1512523229">
      <w:marLeft w:val="0"/>
      <w:marRight w:val="0"/>
      <w:marTop w:val="0"/>
      <w:marBottom w:val="240"/>
      <w:divBdr>
        <w:top w:val="none" w:sz="0" w:space="0" w:color="auto"/>
        <w:left w:val="none" w:sz="0" w:space="0" w:color="auto"/>
        <w:bottom w:val="none" w:sz="0" w:space="0" w:color="auto"/>
        <w:right w:val="none" w:sz="0" w:space="0" w:color="auto"/>
      </w:divBdr>
    </w:div>
    <w:div w:id="1512839271">
      <w:marLeft w:val="0"/>
      <w:marRight w:val="0"/>
      <w:marTop w:val="0"/>
      <w:marBottom w:val="240"/>
      <w:divBdr>
        <w:top w:val="none" w:sz="0" w:space="0" w:color="auto"/>
        <w:left w:val="none" w:sz="0" w:space="0" w:color="auto"/>
        <w:bottom w:val="none" w:sz="0" w:space="0" w:color="auto"/>
        <w:right w:val="none" w:sz="0" w:space="0" w:color="auto"/>
      </w:divBdr>
    </w:div>
    <w:div w:id="1513034909">
      <w:marLeft w:val="0"/>
      <w:marRight w:val="0"/>
      <w:marTop w:val="0"/>
      <w:marBottom w:val="180"/>
      <w:divBdr>
        <w:top w:val="none" w:sz="0" w:space="0" w:color="auto"/>
        <w:left w:val="none" w:sz="0" w:space="0" w:color="auto"/>
        <w:bottom w:val="none" w:sz="0" w:space="0" w:color="auto"/>
        <w:right w:val="none" w:sz="0" w:space="0" w:color="auto"/>
      </w:divBdr>
    </w:div>
    <w:div w:id="1516575437">
      <w:marLeft w:val="0"/>
      <w:marRight w:val="0"/>
      <w:marTop w:val="180"/>
      <w:marBottom w:val="180"/>
      <w:divBdr>
        <w:top w:val="none" w:sz="0" w:space="0" w:color="auto"/>
        <w:left w:val="none" w:sz="0" w:space="0" w:color="auto"/>
        <w:bottom w:val="none" w:sz="0" w:space="0" w:color="auto"/>
        <w:right w:val="none" w:sz="0" w:space="0" w:color="auto"/>
      </w:divBdr>
    </w:div>
    <w:div w:id="1519811982">
      <w:marLeft w:val="0"/>
      <w:marRight w:val="0"/>
      <w:marTop w:val="0"/>
      <w:marBottom w:val="180"/>
      <w:divBdr>
        <w:top w:val="none" w:sz="0" w:space="0" w:color="auto"/>
        <w:left w:val="none" w:sz="0" w:space="0" w:color="auto"/>
        <w:bottom w:val="none" w:sz="0" w:space="0" w:color="auto"/>
        <w:right w:val="none" w:sz="0" w:space="0" w:color="auto"/>
      </w:divBdr>
    </w:div>
    <w:div w:id="1525630645">
      <w:marLeft w:val="0"/>
      <w:marRight w:val="0"/>
      <w:marTop w:val="0"/>
      <w:marBottom w:val="180"/>
      <w:divBdr>
        <w:top w:val="none" w:sz="0" w:space="0" w:color="auto"/>
        <w:left w:val="none" w:sz="0" w:space="0" w:color="auto"/>
        <w:bottom w:val="none" w:sz="0" w:space="0" w:color="auto"/>
        <w:right w:val="none" w:sz="0" w:space="0" w:color="auto"/>
      </w:divBdr>
    </w:div>
    <w:div w:id="1528441875">
      <w:marLeft w:val="0"/>
      <w:marRight w:val="0"/>
      <w:marTop w:val="0"/>
      <w:marBottom w:val="0"/>
      <w:divBdr>
        <w:top w:val="none" w:sz="0" w:space="0" w:color="auto"/>
        <w:left w:val="none" w:sz="0" w:space="0" w:color="auto"/>
        <w:bottom w:val="none" w:sz="0" w:space="0" w:color="auto"/>
        <w:right w:val="none" w:sz="0" w:space="0" w:color="auto"/>
      </w:divBdr>
    </w:div>
    <w:div w:id="1532036752">
      <w:marLeft w:val="0"/>
      <w:marRight w:val="0"/>
      <w:marTop w:val="120"/>
      <w:marBottom w:val="120"/>
      <w:divBdr>
        <w:top w:val="none" w:sz="0" w:space="0" w:color="auto"/>
        <w:left w:val="none" w:sz="0" w:space="0" w:color="auto"/>
        <w:bottom w:val="none" w:sz="0" w:space="0" w:color="auto"/>
        <w:right w:val="none" w:sz="0" w:space="0" w:color="auto"/>
      </w:divBdr>
    </w:div>
    <w:div w:id="1532108891">
      <w:marLeft w:val="0"/>
      <w:marRight w:val="0"/>
      <w:marTop w:val="0"/>
      <w:marBottom w:val="0"/>
      <w:divBdr>
        <w:top w:val="none" w:sz="0" w:space="0" w:color="auto"/>
        <w:left w:val="none" w:sz="0" w:space="0" w:color="auto"/>
        <w:bottom w:val="none" w:sz="0" w:space="0" w:color="auto"/>
        <w:right w:val="none" w:sz="0" w:space="0" w:color="auto"/>
      </w:divBdr>
      <w:divsChild>
        <w:div w:id="2063669095">
          <w:marLeft w:val="0"/>
          <w:marRight w:val="0"/>
          <w:marTop w:val="0"/>
          <w:marBottom w:val="0"/>
          <w:divBdr>
            <w:top w:val="none" w:sz="0" w:space="0" w:color="auto"/>
            <w:left w:val="none" w:sz="0" w:space="0" w:color="auto"/>
            <w:bottom w:val="none" w:sz="0" w:space="0" w:color="auto"/>
            <w:right w:val="none" w:sz="0" w:space="0" w:color="auto"/>
          </w:divBdr>
        </w:div>
      </w:divsChild>
    </w:div>
    <w:div w:id="1533374405">
      <w:marLeft w:val="0"/>
      <w:marRight w:val="0"/>
      <w:marTop w:val="120"/>
      <w:marBottom w:val="120"/>
      <w:divBdr>
        <w:top w:val="none" w:sz="0" w:space="0" w:color="auto"/>
        <w:left w:val="none" w:sz="0" w:space="0" w:color="auto"/>
        <w:bottom w:val="none" w:sz="0" w:space="0" w:color="auto"/>
        <w:right w:val="none" w:sz="0" w:space="0" w:color="auto"/>
      </w:divBdr>
    </w:div>
    <w:div w:id="1533686828">
      <w:marLeft w:val="0"/>
      <w:marRight w:val="0"/>
      <w:marTop w:val="0"/>
      <w:marBottom w:val="0"/>
      <w:divBdr>
        <w:top w:val="none" w:sz="0" w:space="0" w:color="auto"/>
        <w:left w:val="none" w:sz="0" w:space="0" w:color="auto"/>
        <w:bottom w:val="none" w:sz="0" w:space="0" w:color="auto"/>
        <w:right w:val="none" w:sz="0" w:space="0" w:color="auto"/>
      </w:divBdr>
      <w:divsChild>
        <w:div w:id="2042969902">
          <w:marLeft w:val="0"/>
          <w:marRight w:val="0"/>
          <w:marTop w:val="0"/>
          <w:marBottom w:val="0"/>
          <w:divBdr>
            <w:top w:val="none" w:sz="0" w:space="0" w:color="auto"/>
            <w:left w:val="none" w:sz="0" w:space="0" w:color="auto"/>
            <w:bottom w:val="none" w:sz="0" w:space="0" w:color="auto"/>
            <w:right w:val="none" w:sz="0" w:space="0" w:color="auto"/>
          </w:divBdr>
        </w:div>
      </w:divsChild>
    </w:div>
    <w:div w:id="1533954810">
      <w:marLeft w:val="0"/>
      <w:marRight w:val="0"/>
      <w:marTop w:val="0"/>
      <w:marBottom w:val="0"/>
      <w:divBdr>
        <w:top w:val="none" w:sz="0" w:space="0" w:color="auto"/>
        <w:left w:val="none" w:sz="0" w:space="0" w:color="auto"/>
        <w:bottom w:val="none" w:sz="0" w:space="0" w:color="auto"/>
        <w:right w:val="none" w:sz="0" w:space="0" w:color="auto"/>
      </w:divBdr>
    </w:div>
    <w:div w:id="1536038541">
      <w:marLeft w:val="0"/>
      <w:marRight w:val="0"/>
      <w:marTop w:val="100"/>
      <w:marBottom w:val="100"/>
      <w:divBdr>
        <w:top w:val="none" w:sz="0" w:space="0" w:color="auto"/>
        <w:left w:val="none" w:sz="0" w:space="0" w:color="auto"/>
        <w:bottom w:val="none" w:sz="0" w:space="0" w:color="auto"/>
        <w:right w:val="none" w:sz="0" w:space="0" w:color="auto"/>
      </w:divBdr>
    </w:div>
    <w:div w:id="1538659827">
      <w:marLeft w:val="0"/>
      <w:marRight w:val="0"/>
      <w:marTop w:val="100"/>
      <w:marBottom w:val="100"/>
      <w:divBdr>
        <w:top w:val="none" w:sz="0" w:space="0" w:color="auto"/>
        <w:left w:val="none" w:sz="0" w:space="0" w:color="auto"/>
        <w:bottom w:val="none" w:sz="0" w:space="0" w:color="auto"/>
        <w:right w:val="none" w:sz="0" w:space="0" w:color="auto"/>
      </w:divBdr>
    </w:div>
    <w:div w:id="1540624212">
      <w:marLeft w:val="0"/>
      <w:marRight w:val="0"/>
      <w:marTop w:val="0"/>
      <w:marBottom w:val="240"/>
      <w:divBdr>
        <w:top w:val="none" w:sz="0" w:space="0" w:color="auto"/>
        <w:left w:val="none" w:sz="0" w:space="0" w:color="auto"/>
        <w:bottom w:val="none" w:sz="0" w:space="0" w:color="auto"/>
        <w:right w:val="none" w:sz="0" w:space="0" w:color="auto"/>
      </w:divBdr>
    </w:div>
    <w:div w:id="1542935553">
      <w:marLeft w:val="0"/>
      <w:marRight w:val="0"/>
      <w:marTop w:val="0"/>
      <w:marBottom w:val="0"/>
      <w:divBdr>
        <w:top w:val="none" w:sz="0" w:space="0" w:color="auto"/>
        <w:left w:val="none" w:sz="0" w:space="0" w:color="auto"/>
        <w:bottom w:val="none" w:sz="0" w:space="0" w:color="auto"/>
        <w:right w:val="none" w:sz="0" w:space="0" w:color="auto"/>
      </w:divBdr>
    </w:div>
    <w:div w:id="1543588187">
      <w:marLeft w:val="0"/>
      <w:marRight w:val="0"/>
      <w:marTop w:val="120"/>
      <w:marBottom w:val="120"/>
      <w:divBdr>
        <w:top w:val="none" w:sz="0" w:space="0" w:color="auto"/>
        <w:left w:val="none" w:sz="0" w:space="0" w:color="auto"/>
        <w:bottom w:val="none" w:sz="0" w:space="0" w:color="auto"/>
        <w:right w:val="none" w:sz="0" w:space="0" w:color="auto"/>
      </w:divBdr>
    </w:div>
    <w:div w:id="1544098859">
      <w:marLeft w:val="0"/>
      <w:marRight w:val="0"/>
      <w:marTop w:val="0"/>
      <w:marBottom w:val="0"/>
      <w:divBdr>
        <w:top w:val="none" w:sz="0" w:space="0" w:color="auto"/>
        <w:left w:val="none" w:sz="0" w:space="0" w:color="auto"/>
        <w:bottom w:val="none" w:sz="0" w:space="0" w:color="auto"/>
        <w:right w:val="none" w:sz="0" w:space="0" w:color="auto"/>
      </w:divBdr>
    </w:div>
    <w:div w:id="1546334226">
      <w:marLeft w:val="0"/>
      <w:marRight w:val="0"/>
      <w:marTop w:val="0"/>
      <w:marBottom w:val="0"/>
      <w:divBdr>
        <w:top w:val="none" w:sz="0" w:space="0" w:color="auto"/>
        <w:left w:val="none" w:sz="0" w:space="0" w:color="auto"/>
        <w:bottom w:val="none" w:sz="0" w:space="0" w:color="auto"/>
        <w:right w:val="none" w:sz="0" w:space="0" w:color="auto"/>
      </w:divBdr>
    </w:div>
    <w:div w:id="1547184559">
      <w:marLeft w:val="0"/>
      <w:marRight w:val="0"/>
      <w:marTop w:val="0"/>
      <w:marBottom w:val="0"/>
      <w:divBdr>
        <w:top w:val="none" w:sz="0" w:space="0" w:color="auto"/>
        <w:left w:val="none" w:sz="0" w:space="0" w:color="auto"/>
        <w:bottom w:val="none" w:sz="0" w:space="0" w:color="auto"/>
        <w:right w:val="none" w:sz="0" w:space="0" w:color="auto"/>
      </w:divBdr>
    </w:div>
    <w:div w:id="1547373838">
      <w:marLeft w:val="0"/>
      <w:marRight w:val="0"/>
      <w:marTop w:val="0"/>
      <w:marBottom w:val="240"/>
      <w:divBdr>
        <w:top w:val="none" w:sz="0" w:space="0" w:color="auto"/>
        <w:left w:val="none" w:sz="0" w:space="0" w:color="auto"/>
        <w:bottom w:val="none" w:sz="0" w:space="0" w:color="auto"/>
        <w:right w:val="none" w:sz="0" w:space="0" w:color="auto"/>
      </w:divBdr>
    </w:div>
    <w:div w:id="1547792406">
      <w:marLeft w:val="0"/>
      <w:marRight w:val="0"/>
      <w:marTop w:val="0"/>
      <w:marBottom w:val="240"/>
      <w:divBdr>
        <w:top w:val="none" w:sz="0" w:space="0" w:color="auto"/>
        <w:left w:val="none" w:sz="0" w:space="0" w:color="auto"/>
        <w:bottom w:val="none" w:sz="0" w:space="0" w:color="auto"/>
        <w:right w:val="none" w:sz="0" w:space="0" w:color="auto"/>
      </w:divBdr>
    </w:div>
    <w:div w:id="1555508167">
      <w:marLeft w:val="0"/>
      <w:marRight w:val="0"/>
      <w:marTop w:val="0"/>
      <w:marBottom w:val="180"/>
      <w:divBdr>
        <w:top w:val="none" w:sz="0" w:space="0" w:color="auto"/>
        <w:left w:val="none" w:sz="0" w:space="0" w:color="auto"/>
        <w:bottom w:val="none" w:sz="0" w:space="0" w:color="auto"/>
        <w:right w:val="none" w:sz="0" w:space="0" w:color="auto"/>
      </w:divBdr>
    </w:div>
    <w:div w:id="1556820685">
      <w:marLeft w:val="0"/>
      <w:marRight w:val="0"/>
      <w:marTop w:val="0"/>
      <w:marBottom w:val="0"/>
      <w:divBdr>
        <w:top w:val="none" w:sz="0" w:space="0" w:color="auto"/>
        <w:left w:val="none" w:sz="0" w:space="0" w:color="auto"/>
        <w:bottom w:val="none" w:sz="0" w:space="0" w:color="auto"/>
        <w:right w:val="none" w:sz="0" w:space="0" w:color="auto"/>
      </w:divBdr>
    </w:div>
    <w:div w:id="1557201396">
      <w:marLeft w:val="0"/>
      <w:marRight w:val="0"/>
      <w:marTop w:val="0"/>
      <w:marBottom w:val="240"/>
      <w:divBdr>
        <w:top w:val="none" w:sz="0" w:space="0" w:color="auto"/>
        <w:left w:val="none" w:sz="0" w:space="0" w:color="auto"/>
        <w:bottom w:val="none" w:sz="0" w:space="0" w:color="auto"/>
        <w:right w:val="none" w:sz="0" w:space="0" w:color="auto"/>
      </w:divBdr>
    </w:div>
    <w:div w:id="1557203284">
      <w:marLeft w:val="0"/>
      <w:marRight w:val="0"/>
      <w:marTop w:val="0"/>
      <w:marBottom w:val="0"/>
      <w:divBdr>
        <w:top w:val="none" w:sz="0" w:space="0" w:color="auto"/>
        <w:left w:val="none" w:sz="0" w:space="0" w:color="auto"/>
        <w:bottom w:val="none" w:sz="0" w:space="0" w:color="auto"/>
        <w:right w:val="none" w:sz="0" w:space="0" w:color="auto"/>
      </w:divBdr>
    </w:div>
    <w:div w:id="1558322104">
      <w:marLeft w:val="0"/>
      <w:marRight w:val="0"/>
      <w:marTop w:val="180"/>
      <w:marBottom w:val="180"/>
      <w:divBdr>
        <w:top w:val="none" w:sz="0" w:space="0" w:color="auto"/>
        <w:left w:val="none" w:sz="0" w:space="0" w:color="auto"/>
        <w:bottom w:val="none" w:sz="0" w:space="0" w:color="auto"/>
        <w:right w:val="none" w:sz="0" w:space="0" w:color="auto"/>
      </w:divBdr>
    </w:div>
    <w:div w:id="1559318218">
      <w:marLeft w:val="0"/>
      <w:marRight w:val="0"/>
      <w:marTop w:val="0"/>
      <w:marBottom w:val="240"/>
      <w:divBdr>
        <w:top w:val="none" w:sz="0" w:space="0" w:color="auto"/>
        <w:left w:val="none" w:sz="0" w:space="0" w:color="auto"/>
        <w:bottom w:val="none" w:sz="0" w:space="0" w:color="auto"/>
        <w:right w:val="none" w:sz="0" w:space="0" w:color="auto"/>
      </w:divBdr>
    </w:div>
    <w:div w:id="1559513031">
      <w:marLeft w:val="0"/>
      <w:marRight w:val="0"/>
      <w:marTop w:val="0"/>
      <w:marBottom w:val="0"/>
      <w:divBdr>
        <w:top w:val="none" w:sz="0" w:space="0" w:color="auto"/>
        <w:left w:val="none" w:sz="0" w:space="0" w:color="auto"/>
        <w:bottom w:val="none" w:sz="0" w:space="0" w:color="auto"/>
        <w:right w:val="none" w:sz="0" w:space="0" w:color="auto"/>
      </w:divBdr>
      <w:divsChild>
        <w:div w:id="681055429">
          <w:marLeft w:val="0"/>
          <w:marRight w:val="0"/>
          <w:marTop w:val="0"/>
          <w:marBottom w:val="0"/>
          <w:divBdr>
            <w:top w:val="none" w:sz="0" w:space="0" w:color="auto"/>
            <w:left w:val="none" w:sz="0" w:space="0" w:color="auto"/>
            <w:bottom w:val="none" w:sz="0" w:space="0" w:color="auto"/>
            <w:right w:val="none" w:sz="0" w:space="0" w:color="auto"/>
          </w:divBdr>
        </w:div>
      </w:divsChild>
    </w:div>
    <w:div w:id="1561093842">
      <w:marLeft w:val="0"/>
      <w:marRight w:val="0"/>
      <w:marTop w:val="240"/>
      <w:marBottom w:val="240"/>
      <w:divBdr>
        <w:top w:val="none" w:sz="0" w:space="0" w:color="auto"/>
        <w:left w:val="none" w:sz="0" w:space="0" w:color="auto"/>
        <w:bottom w:val="none" w:sz="0" w:space="0" w:color="auto"/>
        <w:right w:val="none" w:sz="0" w:space="0" w:color="auto"/>
      </w:divBdr>
    </w:div>
    <w:div w:id="1567765659">
      <w:marLeft w:val="0"/>
      <w:marRight w:val="0"/>
      <w:marTop w:val="0"/>
      <w:marBottom w:val="0"/>
      <w:divBdr>
        <w:top w:val="none" w:sz="0" w:space="0" w:color="auto"/>
        <w:left w:val="none" w:sz="0" w:space="0" w:color="auto"/>
        <w:bottom w:val="none" w:sz="0" w:space="0" w:color="auto"/>
        <w:right w:val="none" w:sz="0" w:space="0" w:color="auto"/>
      </w:divBdr>
    </w:div>
    <w:div w:id="1567954114">
      <w:marLeft w:val="0"/>
      <w:marRight w:val="0"/>
      <w:marTop w:val="100"/>
      <w:marBottom w:val="100"/>
      <w:divBdr>
        <w:top w:val="none" w:sz="0" w:space="0" w:color="auto"/>
        <w:left w:val="none" w:sz="0" w:space="0" w:color="auto"/>
        <w:bottom w:val="none" w:sz="0" w:space="0" w:color="auto"/>
        <w:right w:val="none" w:sz="0" w:space="0" w:color="auto"/>
      </w:divBdr>
    </w:div>
    <w:div w:id="1568034559">
      <w:marLeft w:val="0"/>
      <w:marRight w:val="0"/>
      <w:marTop w:val="0"/>
      <w:marBottom w:val="0"/>
      <w:divBdr>
        <w:top w:val="none" w:sz="0" w:space="0" w:color="auto"/>
        <w:left w:val="none" w:sz="0" w:space="0" w:color="auto"/>
        <w:bottom w:val="none" w:sz="0" w:space="0" w:color="auto"/>
        <w:right w:val="none" w:sz="0" w:space="0" w:color="auto"/>
      </w:divBdr>
      <w:divsChild>
        <w:div w:id="1384210308">
          <w:marLeft w:val="0"/>
          <w:marRight w:val="0"/>
          <w:marTop w:val="0"/>
          <w:marBottom w:val="0"/>
          <w:divBdr>
            <w:top w:val="none" w:sz="0" w:space="0" w:color="auto"/>
            <w:left w:val="none" w:sz="0" w:space="0" w:color="auto"/>
            <w:bottom w:val="none" w:sz="0" w:space="0" w:color="auto"/>
            <w:right w:val="none" w:sz="0" w:space="0" w:color="auto"/>
          </w:divBdr>
        </w:div>
      </w:divsChild>
    </w:div>
    <w:div w:id="1568760178">
      <w:marLeft w:val="0"/>
      <w:marRight w:val="0"/>
      <w:marTop w:val="0"/>
      <w:marBottom w:val="240"/>
      <w:divBdr>
        <w:top w:val="none" w:sz="0" w:space="0" w:color="auto"/>
        <w:left w:val="none" w:sz="0" w:space="0" w:color="auto"/>
        <w:bottom w:val="none" w:sz="0" w:space="0" w:color="auto"/>
        <w:right w:val="none" w:sz="0" w:space="0" w:color="auto"/>
      </w:divBdr>
    </w:div>
    <w:div w:id="1569994159">
      <w:marLeft w:val="0"/>
      <w:marRight w:val="0"/>
      <w:marTop w:val="0"/>
      <w:marBottom w:val="0"/>
      <w:divBdr>
        <w:top w:val="none" w:sz="0" w:space="0" w:color="auto"/>
        <w:left w:val="none" w:sz="0" w:space="0" w:color="auto"/>
        <w:bottom w:val="none" w:sz="0" w:space="0" w:color="auto"/>
        <w:right w:val="none" w:sz="0" w:space="0" w:color="auto"/>
      </w:divBdr>
    </w:div>
    <w:div w:id="1571423710">
      <w:marLeft w:val="0"/>
      <w:marRight w:val="0"/>
      <w:marTop w:val="120"/>
      <w:marBottom w:val="120"/>
      <w:divBdr>
        <w:top w:val="none" w:sz="0" w:space="0" w:color="auto"/>
        <w:left w:val="none" w:sz="0" w:space="0" w:color="auto"/>
        <w:bottom w:val="none" w:sz="0" w:space="0" w:color="auto"/>
        <w:right w:val="none" w:sz="0" w:space="0" w:color="auto"/>
      </w:divBdr>
    </w:div>
    <w:div w:id="1571695318">
      <w:marLeft w:val="0"/>
      <w:marRight w:val="0"/>
      <w:marTop w:val="0"/>
      <w:marBottom w:val="240"/>
      <w:divBdr>
        <w:top w:val="none" w:sz="0" w:space="0" w:color="auto"/>
        <w:left w:val="none" w:sz="0" w:space="0" w:color="auto"/>
        <w:bottom w:val="none" w:sz="0" w:space="0" w:color="auto"/>
        <w:right w:val="none" w:sz="0" w:space="0" w:color="auto"/>
      </w:divBdr>
    </w:div>
    <w:div w:id="1571769112">
      <w:marLeft w:val="0"/>
      <w:marRight w:val="0"/>
      <w:marTop w:val="120"/>
      <w:marBottom w:val="240"/>
      <w:divBdr>
        <w:top w:val="none" w:sz="0" w:space="0" w:color="auto"/>
        <w:left w:val="none" w:sz="0" w:space="0" w:color="auto"/>
        <w:bottom w:val="none" w:sz="0" w:space="0" w:color="auto"/>
        <w:right w:val="none" w:sz="0" w:space="0" w:color="auto"/>
      </w:divBdr>
    </w:div>
    <w:div w:id="1572499193">
      <w:marLeft w:val="0"/>
      <w:marRight w:val="0"/>
      <w:marTop w:val="0"/>
      <w:marBottom w:val="0"/>
      <w:divBdr>
        <w:top w:val="none" w:sz="0" w:space="0" w:color="auto"/>
        <w:left w:val="none" w:sz="0" w:space="0" w:color="auto"/>
        <w:bottom w:val="none" w:sz="0" w:space="0" w:color="auto"/>
        <w:right w:val="none" w:sz="0" w:space="0" w:color="auto"/>
      </w:divBdr>
      <w:divsChild>
        <w:div w:id="1569615352">
          <w:marLeft w:val="0"/>
          <w:marRight w:val="0"/>
          <w:marTop w:val="0"/>
          <w:marBottom w:val="0"/>
          <w:divBdr>
            <w:top w:val="none" w:sz="0" w:space="0" w:color="auto"/>
            <w:left w:val="none" w:sz="0" w:space="0" w:color="auto"/>
            <w:bottom w:val="none" w:sz="0" w:space="0" w:color="auto"/>
            <w:right w:val="none" w:sz="0" w:space="0" w:color="auto"/>
          </w:divBdr>
        </w:div>
      </w:divsChild>
    </w:div>
    <w:div w:id="1572540201">
      <w:marLeft w:val="0"/>
      <w:marRight w:val="0"/>
      <w:marTop w:val="100"/>
      <w:marBottom w:val="100"/>
      <w:divBdr>
        <w:top w:val="none" w:sz="0" w:space="0" w:color="auto"/>
        <w:left w:val="none" w:sz="0" w:space="0" w:color="auto"/>
        <w:bottom w:val="none" w:sz="0" w:space="0" w:color="auto"/>
        <w:right w:val="none" w:sz="0" w:space="0" w:color="auto"/>
      </w:divBdr>
    </w:div>
    <w:div w:id="1575042256">
      <w:marLeft w:val="0"/>
      <w:marRight w:val="0"/>
      <w:marTop w:val="0"/>
      <w:marBottom w:val="0"/>
      <w:divBdr>
        <w:top w:val="none" w:sz="0" w:space="0" w:color="auto"/>
        <w:left w:val="none" w:sz="0" w:space="0" w:color="auto"/>
        <w:bottom w:val="none" w:sz="0" w:space="0" w:color="auto"/>
        <w:right w:val="none" w:sz="0" w:space="0" w:color="auto"/>
      </w:divBdr>
      <w:divsChild>
        <w:div w:id="854923735">
          <w:marLeft w:val="0"/>
          <w:marRight w:val="0"/>
          <w:marTop w:val="0"/>
          <w:marBottom w:val="0"/>
          <w:divBdr>
            <w:top w:val="none" w:sz="0" w:space="0" w:color="auto"/>
            <w:left w:val="none" w:sz="0" w:space="0" w:color="auto"/>
            <w:bottom w:val="none" w:sz="0" w:space="0" w:color="auto"/>
            <w:right w:val="none" w:sz="0" w:space="0" w:color="auto"/>
          </w:divBdr>
        </w:div>
      </w:divsChild>
    </w:div>
    <w:div w:id="1575047632">
      <w:marLeft w:val="0"/>
      <w:marRight w:val="0"/>
      <w:marTop w:val="100"/>
      <w:marBottom w:val="100"/>
      <w:divBdr>
        <w:top w:val="none" w:sz="0" w:space="0" w:color="auto"/>
        <w:left w:val="none" w:sz="0" w:space="0" w:color="auto"/>
        <w:bottom w:val="none" w:sz="0" w:space="0" w:color="auto"/>
        <w:right w:val="none" w:sz="0" w:space="0" w:color="auto"/>
      </w:divBdr>
    </w:div>
    <w:div w:id="1577666452">
      <w:marLeft w:val="0"/>
      <w:marRight w:val="0"/>
      <w:marTop w:val="0"/>
      <w:marBottom w:val="0"/>
      <w:divBdr>
        <w:top w:val="none" w:sz="0" w:space="0" w:color="auto"/>
        <w:left w:val="none" w:sz="0" w:space="0" w:color="auto"/>
        <w:bottom w:val="none" w:sz="0" w:space="0" w:color="auto"/>
        <w:right w:val="none" w:sz="0" w:space="0" w:color="auto"/>
      </w:divBdr>
    </w:div>
    <w:div w:id="1581792863">
      <w:marLeft w:val="0"/>
      <w:marRight w:val="0"/>
      <w:marTop w:val="0"/>
      <w:marBottom w:val="240"/>
      <w:divBdr>
        <w:top w:val="none" w:sz="0" w:space="0" w:color="auto"/>
        <w:left w:val="none" w:sz="0" w:space="0" w:color="auto"/>
        <w:bottom w:val="none" w:sz="0" w:space="0" w:color="auto"/>
        <w:right w:val="none" w:sz="0" w:space="0" w:color="auto"/>
      </w:divBdr>
    </w:div>
    <w:div w:id="1582719506">
      <w:marLeft w:val="0"/>
      <w:marRight w:val="0"/>
      <w:marTop w:val="120"/>
      <w:marBottom w:val="120"/>
      <w:divBdr>
        <w:top w:val="none" w:sz="0" w:space="0" w:color="auto"/>
        <w:left w:val="none" w:sz="0" w:space="0" w:color="auto"/>
        <w:bottom w:val="none" w:sz="0" w:space="0" w:color="auto"/>
        <w:right w:val="none" w:sz="0" w:space="0" w:color="auto"/>
      </w:divBdr>
    </w:div>
    <w:div w:id="1583031930">
      <w:marLeft w:val="0"/>
      <w:marRight w:val="0"/>
      <w:marTop w:val="0"/>
      <w:marBottom w:val="180"/>
      <w:divBdr>
        <w:top w:val="none" w:sz="0" w:space="0" w:color="auto"/>
        <w:left w:val="none" w:sz="0" w:space="0" w:color="auto"/>
        <w:bottom w:val="none" w:sz="0" w:space="0" w:color="auto"/>
        <w:right w:val="none" w:sz="0" w:space="0" w:color="auto"/>
      </w:divBdr>
    </w:div>
    <w:div w:id="1583562405">
      <w:marLeft w:val="0"/>
      <w:marRight w:val="0"/>
      <w:marTop w:val="0"/>
      <w:marBottom w:val="0"/>
      <w:divBdr>
        <w:top w:val="none" w:sz="0" w:space="0" w:color="auto"/>
        <w:left w:val="none" w:sz="0" w:space="0" w:color="auto"/>
        <w:bottom w:val="none" w:sz="0" w:space="0" w:color="auto"/>
        <w:right w:val="none" w:sz="0" w:space="0" w:color="auto"/>
      </w:divBdr>
    </w:div>
    <w:div w:id="1586644185">
      <w:marLeft w:val="0"/>
      <w:marRight w:val="0"/>
      <w:marTop w:val="0"/>
      <w:marBottom w:val="180"/>
      <w:divBdr>
        <w:top w:val="none" w:sz="0" w:space="0" w:color="auto"/>
        <w:left w:val="none" w:sz="0" w:space="0" w:color="auto"/>
        <w:bottom w:val="none" w:sz="0" w:space="0" w:color="auto"/>
        <w:right w:val="none" w:sz="0" w:space="0" w:color="auto"/>
      </w:divBdr>
    </w:div>
    <w:div w:id="1587497858">
      <w:marLeft w:val="0"/>
      <w:marRight w:val="0"/>
      <w:marTop w:val="0"/>
      <w:marBottom w:val="180"/>
      <w:divBdr>
        <w:top w:val="none" w:sz="0" w:space="0" w:color="auto"/>
        <w:left w:val="none" w:sz="0" w:space="0" w:color="auto"/>
        <w:bottom w:val="none" w:sz="0" w:space="0" w:color="auto"/>
        <w:right w:val="none" w:sz="0" w:space="0" w:color="auto"/>
      </w:divBdr>
    </w:div>
    <w:div w:id="1587613444">
      <w:marLeft w:val="0"/>
      <w:marRight w:val="0"/>
      <w:marTop w:val="0"/>
      <w:marBottom w:val="240"/>
      <w:divBdr>
        <w:top w:val="none" w:sz="0" w:space="0" w:color="auto"/>
        <w:left w:val="none" w:sz="0" w:space="0" w:color="auto"/>
        <w:bottom w:val="none" w:sz="0" w:space="0" w:color="auto"/>
        <w:right w:val="none" w:sz="0" w:space="0" w:color="auto"/>
      </w:divBdr>
    </w:div>
    <w:div w:id="1587767970">
      <w:marLeft w:val="0"/>
      <w:marRight w:val="0"/>
      <w:marTop w:val="0"/>
      <w:marBottom w:val="0"/>
      <w:divBdr>
        <w:top w:val="none" w:sz="0" w:space="0" w:color="auto"/>
        <w:left w:val="none" w:sz="0" w:space="0" w:color="auto"/>
        <w:bottom w:val="none" w:sz="0" w:space="0" w:color="auto"/>
        <w:right w:val="none" w:sz="0" w:space="0" w:color="auto"/>
      </w:divBdr>
    </w:div>
    <w:div w:id="1588153567">
      <w:marLeft w:val="0"/>
      <w:marRight w:val="0"/>
      <w:marTop w:val="180"/>
      <w:marBottom w:val="180"/>
      <w:divBdr>
        <w:top w:val="none" w:sz="0" w:space="0" w:color="auto"/>
        <w:left w:val="none" w:sz="0" w:space="0" w:color="auto"/>
        <w:bottom w:val="none" w:sz="0" w:space="0" w:color="auto"/>
        <w:right w:val="none" w:sz="0" w:space="0" w:color="auto"/>
      </w:divBdr>
    </w:div>
    <w:div w:id="1591083352">
      <w:marLeft w:val="0"/>
      <w:marRight w:val="0"/>
      <w:marTop w:val="0"/>
      <w:marBottom w:val="0"/>
      <w:divBdr>
        <w:top w:val="none" w:sz="0" w:space="0" w:color="auto"/>
        <w:left w:val="none" w:sz="0" w:space="0" w:color="auto"/>
        <w:bottom w:val="none" w:sz="0" w:space="0" w:color="auto"/>
        <w:right w:val="none" w:sz="0" w:space="0" w:color="auto"/>
      </w:divBdr>
      <w:divsChild>
        <w:div w:id="1100952692">
          <w:marLeft w:val="0"/>
          <w:marRight w:val="0"/>
          <w:marTop w:val="0"/>
          <w:marBottom w:val="0"/>
          <w:divBdr>
            <w:top w:val="none" w:sz="0" w:space="0" w:color="auto"/>
            <w:left w:val="none" w:sz="0" w:space="0" w:color="auto"/>
            <w:bottom w:val="none" w:sz="0" w:space="0" w:color="auto"/>
            <w:right w:val="none" w:sz="0" w:space="0" w:color="auto"/>
          </w:divBdr>
        </w:div>
      </w:divsChild>
    </w:div>
    <w:div w:id="1591233819">
      <w:marLeft w:val="0"/>
      <w:marRight w:val="0"/>
      <w:marTop w:val="180"/>
      <w:marBottom w:val="180"/>
      <w:divBdr>
        <w:top w:val="none" w:sz="0" w:space="0" w:color="auto"/>
        <w:left w:val="none" w:sz="0" w:space="0" w:color="auto"/>
        <w:bottom w:val="none" w:sz="0" w:space="0" w:color="auto"/>
        <w:right w:val="none" w:sz="0" w:space="0" w:color="auto"/>
      </w:divBdr>
    </w:div>
    <w:div w:id="1591574351">
      <w:marLeft w:val="0"/>
      <w:marRight w:val="0"/>
      <w:marTop w:val="0"/>
      <w:marBottom w:val="0"/>
      <w:divBdr>
        <w:top w:val="none" w:sz="0" w:space="0" w:color="auto"/>
        <w:left w:val="none" w:sz="0" w:space="0" w:color="auto"/>
        <w:bottom w:val="none" w:sz="0" w:space="0" w:color="auto"/>
        <w:right w:val="none" w:sz="0" w:space="0" w:color="auto"/>
      </w:divBdr>
    </w:div>
    <w:div w:id="1592546389">
      <w:marLeft w:val="0"/>
      <w:marRight w:val="0"/>
      <w:marTop w:val="0"/>
      <w:marBottom w:val="240"/>
      <w:divBdr>
        <w:top w:val="none" w:sz="0" w:space="0" w:color="auto"/>
        <w:left w:val="none" w:sz="0" w:space="0" w:color="auto"/>
        <w:bottom w:val="none" w:sz="0" w:space="0" w:color="auto"/>
        <w:right w:val="none" w:sz="0" w:space="0" w:color="auto"/>
      </w:divBdr>
    </w:div>
    <w:div w:id="1595168523">
      <w:marLeft w:val="0"/>
      <w:marRight w:val="0"/>
      <w:marTop w:val="100"/>
      <w:marBottom w:val="100"/>
      <w:divBdr>
        <w:top w:val="none" w:sz="0" w:space="0" w:color="auto"/>
        <w:left w:val="none" w:sz="0" w:space="0" w:color="auto"/>
        <w:bottom w:val="none" w:sz="0" w:space="0" w:color="auto"/>
        <w:right w:val="none" w:sz="0" w:space="0" w:color="auto"/>
      </w:divBdr>
    </w:div>
    <w:div w:id="1611086016">
      <w:marLeft w:val="0"/>
      <w:marRight w:val="0"/>
      <w:marTop w:val="100"/>
      <w:marBottom w:val="100"/>
      <w:divBdr>
        <w:top w:val="none" w:sz="0" w:space="0" w:color="auto"/>
        <w:left w:val="none" w:sz="0" w:space="0" w:color="auto"/>
        <w:bottom w:val="none" w:sz="0" w:space="0" w:color="auto"/>
        <w:right w:val="none" w:sz="0" w:space="0" w:color="auto"/>
      </w:divBdr>
    </w:div>
    <w:div w:id="1611401303">
      <w:marLeft w:val="0"/>
      <w:marRight w:val="0"/>
      <w:marTop w:val="180"/>
      <w:marBottom w:val="180"/>
      <w:divBdr>
        <w:top w:val="none" w:sz="0" w:space="0" w:color="auto"/>
        <w:left w:val="none" w:sz="0" w:space="0" w:color="auto"/>
        <w:bottom w:val="none" w:sz="0" w:space="0" w:color="auto"/>
        <w:right w:val="none" w:sz="0" w:space="0" w:color="auto"/>
      </w:divBdr>
    </w:div>
    <w:div w:id="1611745285">
      <w:marLeft w:val="0"/>
      <w:marRight w:val="0"/>
      <w:marTop w:val="0"/>
      <w:marBottom w:val="240"/>
      <w:divBdr>
        <w:top w:val="none" w:sz="0" w:space="0" w:color="auto"/>
        <w:left w:val="none" w:sz="0" w:space="0" w:color="auto"/>
        <w:bottom w:val="none" w:sz="0" w:space="0" w:color="auto"/>
        <w:right w:val="none" w:sz="0" w:space="0" w:color="auto"/>
      </w:divBdr>
    </w:div>
    <w:div w:id="1611934416">
      <w:marLeft w:val="0"/>
      <w:marRight w:val="0"/>
      <w:marTop w:val="60"/>
      <w:marBottom w:val="120"/>
      <w:divBdr>
        <w:top w:val="none" w:sz="0" w:space="0" w:color="auto"/>
        <w:left w:val="none" w:sz="0" w:space="0" w:color="auto"/>
        <w:bottom w:val="none" w:sz="0" w:space="0" w:color="auto"/>
        <w:right w:val="none" w:sz="0" w:space="0" w:color="auto"/>
      </w:divBdr>
    </w:div>
    <w:div w:id="1612007081">
      <w:marLeft w:val="0"/>
      <w:marRight w:val="0"/>
      <w:marTop w:val="0"/>
      <w:marBottom w:val="0"/>
      <w:divBdr>
        <w:top w:val="none" w:sz="0" w:space="0" w:color="auto"/>
        <w:left w:val="none" w:sz="0" w:space="0" w:color="auto"/>
        <w:bottom w:val="none" w:sz="0" w:space="0" w:color="auto"/>
        <w:right w:val="none" w:sz="0" w:space="0" w:color="auto"/>
      </w:divBdr>
      <w:divsChild>
        <w:div w:id="563025694">
          <w:marLeft w:val="0"/>
          <w:marRight w:val="0"/>
          <w:marTop w:val="0"/>
          <w:marBottom w:val="0"/>
          <w:divBdr>
            <w:top w:val="none" w:sz="0" w:space="0" w:color="auto"/>
            <w:left w:val="none" w:sz="0" w:space="0" w:color="auto"/>
            <w:bottom w:val="none" w:sz="0" w:space="0" w:color="auto"/>
            <w:right w:val="none" w:sz="0" w:space="0" w:color="auto"/>
          </w:divBdr>
        </w:div>
      </w:divsChild>
    </w:div>
    <w:div w:id="1612515359">
      <w:marLeft w:val="0"/>
      <w:marRight w:val="0"/>
      <w:marTop w:val="180"/>
      <w:marBottom w:val="180"/>
      <w:divBdr>
        <w:top w:val="none" w:sz="0" w:space="0" w:color="auto"/>
        <w:left w:val="none" w:sz="0" w:space="0" w:color="auto"/>
        <w:bottom w:val="none" w:sz="0" w:space="0" w:color="auto"/>
        <w:right w:val="none" w:sz="0" w:space="0" w:color="auto"/>
      </w:divBdr>
    </w:div>
    <w:div w:id="1615482900">
      <w:marLeft w:val="0"/>
      <w:marRight w:val="0"/>
      <w:marTop w:val="0"/>
      <w:marBottom w:val="180"/>
      <w:divBdr>
        <w:top w:val="none" w:sz="0" w:space="0" w:color="auto"/>
        <w:left w:val="none" w:sz="0" w:space="0" w:color="auto"/>
        <w:bottom w:val="none" w:sz="0" w:space="0" w:color="auto"/>
        <w:right w:val="none" w:sz="0" w:space="0" w:color="auto"/>
      </w:divBdr>
    </w:div>
    <w:div w:id="1616401531">
      <w:marLeft w:val="0"/>
      <w:marRight w:val="0"/>
      <w:marTop w:val="0"/>
      <w:marBottom w:val="0"/>
      <w:divBdr>
        <w:top w:val="none" w:sz="0" w:space="0" w:color="auto"/>
        <w:left w:val="none" w:sz="0" w:space="0" w:color="auto"/>
        <w:bottom w:val="none" w:sz="0" w:space="0" w:color="auto"/>
        <w:right w:val="none" w:sz="0" w:space="0" w:color="auto"/>
      </w:divBdr>
    </w:div>
    <w:div w:id="1618874047">
      <w:marLeft w:val="0"/>
      <w:marRight w:val="0"/>
      <w:marTop w:val="0"/>
      <w:marBottom w:val="240"/>
      <w:divBdr>
        <w:top w:val="none" w:sz="0" w:space="0" w:color="auto"/>
        <w:left w:val="none" w:sz="0" w:space="0" w:color="auto"/>
        <w:bottom w:val="none" w:sz="0" w:space="0" w:color="auto"/>
        <w:right w:val="none" w:sz="0" w:space="0" w:color="auto"/>
      </w:divBdr>
    </w:div>
    <w:div w:id="1626695383">
      <w:marLeft w:val="0"/>
      <w:marRight w:val="0"/>
      <w:marTop w:val="0"/>
      <w:marBottom w:val="180"/>
      <w:divBdr>
        <w:top w:val="none" w:sz="0" w:space="0" w:color="auto"/>
        <w:left w:val="none" w:sz="0" w:space="0" w:color="auto"/>
        <w:bottom w:val="none" w:sz="0" w:space="0" w:color="auto"/>
        <w:right w:val="none" w:sz="0" w:space="0" w:color="auto"/>
      </w:divBdr>
    </w:div>
    <w:div w:id="1626698864">
      <w:marLeft w:val="0"/>
      <w:marRight w:val="0"/>
      <w:marTop w:val="0"/>
      <w:marBottom w:val="0"/>
      <w:divBdr>
        <w:top w:val="none" w:sz="0" w:space="0" w:color="auto"/>
        <w:left w:val="none" w:sz="0" w:space="0" w:color="auto"/>
        <w:bottom w:val="none" w:sz="0" w:space="0" w:color="auto"/>
        <w:right w:val="none" w:sz="0" w:space="0" w:color="auto"/>
      </w:divBdr>
      <w:divsChild>
        <w:div w:id="1696467070">
          <w:marLeft w:val="0"/>
          <w:marRight w:val="0"/>
          <w:marTop w:val="0"/>
          <w:marBottom w:val="0"/>
          <w:divBdr>
            <w:top w:val="none" w:sz="0" w:space="0" w:color="auto"/>
            <w:left w:val="none" w:sz="0" w:space="0" w:color="auto"/>
            <w:bottom w:val="none" w:sz="0" w:space="0" w:color="auto"/>
            <w:right w:val="none" w:sz="0" w:space="0" w:color="auto"/>
          </w:divBdr>
        </w:div>
      </w:divsChild>
    </w:div>
    <w:div w:id="1629780644">
      <w:marLeft w:val="0"/>
      <w:marRight w:val="0"/>
      <w:marTop w:val="0"/>
      <w:marBottom w:val="180"/>
      <w:divBdr>
        <w:top w:val="none" w:sz="0" w:space="0" w:color="auto"/>
        <w:left w:val="none" w:sz="0" w:space="0" w:color="auto"/>
        <w:bottom w:val="none" w:sz="0" w:space="0" w:color="auto"/>
        <w:right w:val="none" w:sz="0" w:space="0" w:color="auto"/>
      </w:divBdr>
    </w:div>
    <w:div w:id="1630089782">
      <w:marLeft w:val="0"/>
      <w:marRight w:val="0"/>
      <w:marTop w:val="0"/>
      <w:marBottom w:val="0"/>
      <w:divBdr>
        <w:top w:val="none" w:sz="0" w:space="0" w:color="auto"/>
        <w:left w:val="none" w:sz="0" w:space="0" w:color="auto"/>
        <w:bottom w:val="none" w:sz="0" w:space="0" w:color="auto"/>
        <w:right w:val="none" w:sz="0" w:space="0" w:color="auto"/>
      </w:divBdr>
      <w:divsChild>
        <w:div w:id="48039599">
          <w:marLeft w:val="0"/>
          <w:marRight w:val="0"/>
          <w:marTop w:val="0"/>
          <w:marBottom w:val="0"/>
          <w:divBdr>
            <w:top w:val="none" w:sz="0" w:space="0" w:color="auto"/>
            <w:left w:val="none" w:sz="0" w:space="0" w:color="auto"/>
            <w:bottom w:val="none" w:sz="0" w:space="0" w:color="auto"/>
            <w:right w:val="none" w:sz="0" w:space="0" w:color="auto"/>
          </w:divBdr>
        </w:div>
      </w:divsChild>
    </w:div>
    <w:div w:id="1635410497">
      <w:marLeft w:val="0"/>
      <w:marRight w:val="0"/>
      <w:marTop w:val="0"/>
      <w:marBottom w:val="0"/>
      <w:divBdr>
        <w:top w:val="none" w:sz="0" w:space="0" w:color="auto"/>
        <w:left w:val="none" w:sz="0" w:space="0" w:color="auto"/>
        <w:bottom w:val="none" w:sz="0" w:space="0" w:color="auto"/>
        <w:right w:val="none" w:sz="0" w:space="0" w:color="auto"/>
      </w:divBdr>
    </w:div>
    <w:div w:id="1635478493">
      <w:marLeft w:val="0"/>
      <w:marRight w:val="0"/>
      <w:marTop w:val="0"/>
      <w:marBottom w:val="0"/>
      <w:divBdr>
        <w:top w:val="none" w:sz="0" w:space="0" w:color="auto"/>
        <w:left w:val="none" w:sz="0" w:space="0" w:color="auto"/>
        <w:bottom w:val="none" w:sz="0" w:space="0" w:color="auto"/>
        <w:right w:val="none" w:sz="0" w:space="0" w:color="auto"/>
      </w:divBdr>
      <w:divsChild>
        <w:div w:id="1650093446">
          <w:marLeft w:val="0"/>
          <w:marRight w:val="0"/>
          <w:marTop w:val="0"/>
          <w:marBottom w:val="0"/>
          <w:divBdr>
            <w:top w:val="none" w:sz="0" w:space="0" w:color="auto"/>
            <w:left w:val="none" w:sz="0" w:space="0" w:color="auto"/>
            <w:bottom w:val="none" w:sz="0" w:space="0" w:color="auto"/>
            <w:right w:val="none" w:sz="0" w:space="0" w:color="auto"/>
          </w:divBdr>
        </w:div>
      </w:divsChild>
    </w:div>
    <w:div w:id="1637836028">
      <w:marLeft w:val="0"/>
      <w:marRight w:val="0"/>
      <w:marTop w:val="0"/>
      <w:marBottom w:val="240"/>
      <w:divBdr>
        <w:top w:val="none" w:sz="0" w:space="0" w:color="auto"/>
        <w:left w:val="none" w:sz="0" w:space="0" w:color="auto"/>
        <w:bottom w:val="none" w:sz="0" w:space="0" w:color="auto"/>
        <w:right w:val="none" w:sz="0" w:space="0" w:color="auto"/>
      </w:divBdr>
    </w:div>
    <w:div w:id="1640526450">
      <w:marLeft w:val="0"/>
      <w:marRight w:val="0"/>
      <w:marTop w:val="0"/>
      <w:marBottom w:val="240"/>
      <w:divBdr>
        <w:top w:val="none" w:sz="0" w:space="0" w:color="auto"/>
        <w:left w:val="none" w:sz="0" w:space="0" w:color="auto"/>
        <w:bottom w:val="none" w:sz="0" w:space="0" w:color="auto"/>
        <w:right w:val="none" w:sz="0" w:space="0" w:color="auto"/>
      </w:divBdr>
    </w:div>
    <w:div w:id="1642882422">
      <w:marLeft w:val="0"/>
      <w:marRight w:val="0"/>
      <w:marTop w:val="240"/>
      <w:marBottom w:val="240"/>
      <w:divBdr>
        <w:top w:val="none" w:sz="0" w:space="0" w:color="auto"/>
        <w:left w:val="none" w:sz="0" w:space="0" w:color="auto"/>
        <w:bottom w:val="none" w:sz="0" w:space="0" w:color="auto"/>
        <w:right w:val="none" w:sz="0" w:space="0" w:color="auto"/>
      </w:divBdr>
    </w:div>
    <w:div w:id="1644650253">
      <w:marLeft w:val="0"/>
      <w:marRight w:val="0"/>
      <w:marTop w:val="0"/>
      <w:marBottom w:val="180"/>
      <w:divBdr>
        <w:top w:val="none" w:sz="0" w:space="0" w:color="auto"/>
        <w:left w:val="none" w:sz="0" w:space="0" w:color="auto"/>
        <w:bottom w:val="none" w:sz="0" w:space="0" w:color="auto"/>
        <w:right w:val="none" w:sz="0" w:space="0" w:color="auto"/>
      </w:divBdr>
    </w:div>
    <w:div w:id="1645115027">
      <w:marLeft w:val="0"/>
      <w:marRight w:val="0"/>
      <w:marTop w:val="100"/>
      <w:marBottom w:val="100"/>
      <w:divBdr>
        <w:top w:val="none" w:sz="0" w:space="0" w:color="auto"/>
        <w:left w:val="none" w:sz="0" w:space="0" w:color="auto"/>
        <w:bottom w:val="none" w:sz="0" w:space="0" w:color="auto"/>
        <w:right w:val="none" w:sz="0" w:space="0" w:color="auto"/>
      </w:divBdr>
    </w:div>
    <w:div w:id="1647203292">
      <w:marLeft w:val="0"/>
      <w:marRight w:val="0"/>
      <w:marTop w:val="180"/>
      <w:marBottom w:val="180"/>
      <w:divBdr>
        <w:top w:val="none" w:sz="0" w:space="0" w:color="auto"/>
        <w:left w:val="none" w:sz="0" w:space="0" w:color="auto"/>
        <w:bottom w:val="none" w:sz="0" w:space="0" w:color="auto"/>
        <w:right w:val="none" w:sz="0" w:space="0" w:color="auto"/>
      </w:divBdr>
    </w:div>
    <w:div w:id="1648238131">
      <w:marLeft w:val="0"/>
      <w:marRight w:val="0"/>
      <w:marTop w:val="0"/>
      <w:marBottom w:val="0"/>
      <w:divBdr>
        <w:top w:val="none" w:sz="0" w:space="0" w:color="auto"/>
        <w:left w:val="none" w:sz="0" w:space="0" w:color="auto"/>
        <w:bottom w:val="none" w:sz="0" w:space="0" w:color="auto"/>
        <w:right w:val="none" w:sz="0" w:space="0" w:color="auto"/>
      </w:divBdr>
      <w:divsChild>
        <w:div w:id="1257978867">
          <w:marLeft w:val="0"/>
          <w:marRight w:val="0"/>
          <w:marTop w:val="0"/>
          <w:marBottom w:val="0"/>
          <w:divBdr>
            <w:top w:val="none" w:sz="0" w:space="0" w:color="auto"/>
            <w:left w:val="none" w:sz="0" w:space="0" w:color="auto"/>
            <w:bottom w:val="none" w:sz="0" w:space="0" w:color="auto"/>
            <w:right w:val="none" w:sz="0" w:space="0" w:color="auto"/>
          </w:divBdr>
        </w:div>
      </w:divsChild>
    </w:div>
    <w:div w:id="1648585647">
      <w:marLeft w:val="0"/>
      <w:marRight w:val="0"/>
      <w:marTop w:val="120"/>
      <w:marBottom w:val="120"/>
      <w:divBdr>
        <w:top w:val="none" w:sz="0" w:space="0" w:color="auto"/>
        <w:left w:val="none" w:sz="0" w:space="0" w:color="auto"/>
        <w:bottom w:val="none" w:sz="0" w:space="0" w:color="auto"/>
        <w:right w:val="none" w:sz="0" w:space="0" w:color="auto"/>
      </w:divBdr>
    </w:div>
    <w:div w:id="1651401223">
      <w:marLeft w:val="0"/>
      <w:marRight w:val="0"/>
      <w:marTop w:val="0"/>
      <w:marBottom w:val="0"/>
      <w:divBdr>
        <w:top w:val="none" w:sz="0" w:space="0" w:color="auto"/>
        <w:left w:val="none" w:sz="0" w:space="0" w:color="auto"/>
        <w:bottom w:val="none" w:sz="0" w:space="0" w:color="auto"/>
        <w:right w:val="none" w:sz="0" w:space="0" w:color="auto"/>
      </w:divBdr>
    </w:div>
    <w:div w:id="1654411979">
      <w:marLeft w:val="0"/>
      <w:marRight w:val="0"/>
      <w:marTop w:val="100"/>
      <w:marBottom w:val="100"/>
      <w:divBdr>
        <w:top w:val="none" w:sz="0" w:space="0" w:color="auto"/>
        <w:left w:val="none" w:sz="0" w:space="0" w:color="auto"/>
        <w:bottom w:val="none" w:sz="0" w:space="0" w:color="auto"/>
        <w:right w:val="none" w:sz="0" w:space="0" w:color="auto"/>
      </w:divBdr>
      <w:divsChild>
        <w:div w:id="2140225224">
          <w:marLeft w:val="0"/>
          <w:marRight w:val="0"/>
          <w:marTop w:val="0"/>
          <w:marBottom w:val="0"/>
          <w:divBdr>
            <w:top w:val="none" w:sz="0" w:space="0" w:color="auto"/>
            <w:left w:val="none" w:sz="0" w:space="0" w:color="auto"/>
            <w:bottom w:val="none" w:sz="0" w:space="0" w:color="auto"/>
            <w:right w:val="none" w:sz="0" w:space="0" w:color="auto"/>
          </w:divBdr>
        </w:div>
        <w:div w:id="571044924">
          <w:marLeft w:val="0"/>
          <w:marRight w:val="0"/>
          <w:marTop w:val="0"/>
          <w:marBottom w:val="0"/>
          <w:divBdr>
            <w:top w:val="none" w:sz="0" w:space="0" w:color="auto"/>
            <w:left w:val="none" w:sz="0" w:space="0" w:color="auto"/>
            <w:bottom w:val="none" w:sz="0" w:space="0" w:color="auto"/>
            <w:right w:val="none" w:sz="0" w:space="0" w:color="auto"/>
          </w:divBdr>
        </w:div>
        <w:div w:id="1236402788">
          <w:marLeft w:val="0"/>
          <w:marRight w:val="0"/>
          <w:marTop w:val="0"/>
          <w:marBottom w:val="0"/>
          <w:divBdr>
            <w:top w:val="none" w:sz="0" w:space="0" w:color="auto"/>
            <w:left w:val="none" w:sz="0" w:space="0" w:color="auto"/>
            <w:bottom w:val="none" w:sz="0" w:space="0" w:color="auto"/>
            <w:right w:val="none" w:sz="0" w:space="0" w:color="auto"/>
          </w:divBdr>
        </w:div>
      </w:divsChild>
    </w:div>
    <w:div w:id="1656445439">
      <w:marLeft w:val="0"/>
      <w:marRight w:val="0"/>
      <w:marTop w:val="0"/>
      <w:marBottom w:val="0"/>
      <w:divBdr>
        <w:top w:val="none" w:sz="0" w:space="0" w:color="auto"/>
        <w:left w:val="none" w:sz="0" w:space="0" w:color="auto"/>
        <w:bottom w:val="none" w:sz="0" w:space="0" w:color="auto"/>
        <w:right w:val="none" w:sz="0" w:space="0" w:color="auto"/>
      </w:divBdr>
    </w:div>
    <w:div w:id="1657025322">
      <w:marLeft w:val="0"/>
      <w:marRight w:val="0"/>
      <w:marTop w:val="120"/>
      <w:marBottom w:val="120"/>
      <w:divBdr>
        <w:top w:val="none" w:sz="0" w:space="0" w:color="auto"/>
        <w:left w:val="none" w:sz="0" w:space="0" w:color="auto"/>
        <w:bottom w:val="none" w:sz="0" w:space="0" w:color="auto"/>
        <w:right w:val="none" w:sz="0" w:space="0" w:color="auto"/>
      </w:divBdr>
    </w:div>
    <w:div w:id="1658609854">
      <w:marLeft w:val="0"/>
      <w:marRight w:val="0"/>
      <w:marTop w:val="120"/>
      <w:marBottom w:val="120"/>
      <w:divBdr>
        <w:top w:val="none" w:sz="0" w:space="0" w:color="auto"/>
        <w:left w:val="none" w:sz="0" w:space="0" w:color="auto"/>
        <w:bottom w:val="none" w:sz="0" w:space="0" w:color="auto"/>
        <w:right w:val="none" w:sz="0" w:space="0" w:color="auto"/>
      </w:divBdr>
    </w:div>
    <w:div w:id="1659193051">
      <w:marLeft w:val="0"/>
      <w:marRight w:val="0"/>
      <w:marTop w:val="0"/>
      <w:marBottom w:val="240"/>
      <w:divBdr>
        <w:top w:val="none" w:sz="0" w:space="0" w:color="auto"/>
        <w:left w:val="none" w:sz="0" w:space="0" w:color="auto"/>
        <w:bottom w:val="none" w:sz="0" w:space="0" w:color="auto"/>
        <w:right w:val="none" w:sz="0" w:space="0" w:color="auto"/>
      </w:divBdr>
    </w:div>
    <w:div w:id="1659534014">
      <w:marLeft w:val="0"/>
      <w:marRight w:val="0"/>
      <w:marTop w:val="0"/>
      <w:marBottom w:val="240"/>
      <w:divBdr>
        <w:top w:val="none" w:sz="0" w:space="0" w:color="auto"/>
        <w:left w:val="none" w:sz="0" w:space="0" w:color="auto"/>
        <w:bottom w:val="none" w:sz="0" w:space="0" w:color="auto"/>
        <w:right w:val="none" w:sz="0" w:space="0" w:color="auto"/>
      </w:divBdr>
    </w:div>
    <w:div w:id="1660571719">
      <w:marLeft w:val="0"/>
      <w:marRight w:val="0"/>
      <w:marTop w:val="180"/>
      <w:marBottom w:val="180"/>
      <w:divBdr>
        <w:top w:val="none" w:sz="0" w:space="0" w:color="auto"/>
        <w:left w:val="none" w:sz="0" w:space="0" w:color="auto"/>
        <w:bottom w:val="none" w:sz="0" w:space="0" w:color="auto"/>
        <w:right w:val="none" w:sz="0" w:space="0" w:color="auto"/>
      </w:divBdr>
    </w:div>
    <w:div w:id="1661736161">
      <w:marLeft w:val="0"/>
      <w:marRight w:val="0"/>
      <w:marTop w:val="0"/>
      <w:marBottom w:val="0"/>
      <w:divBdr>
        <w:top w:val="none" w:sz="0" w:space="0" w:color="auto"/>
        <w:left w:val="none" w:sz="0" w:space="0" w:color="auto"/>
        <w:bottom w:val="none" w:sz="0" w:space="0" w:color="auto"/>
        <w:right w:val="none" w:sz="0" w:space="0" w:color="auto"/>
      </w:divBdr>
      <w:divsChild>
        <w:div w:id="753403290">
          <w:marLeft w:val="0"/>
          <w:marRight w:val="0"/>
          <w:marTop w:val="0"/>
          <w:marBottom w:val="0"/>
          <w:divBdr>
            <w:top w:val="none" w:sz="0" w:space="0" w:color="auto"/>
            <w:left w:val="none" w:sz="0" w:space="0" w:color="auto"/>
            <w:bottom w:val="none" w:sz="0" w:space="0" w:color="auto"/>
            <w:right w:val="none" w:sz="0" w:space="0" w:color="auto"/>
          </w:divBdr>
        </w:div>
      </w:divsChild>
    </w:div>
    <w:div w:id="1663505039">
      <w:marLeft w:val="0"/>
      <w:marRight w:val="0"/>
      <w:marTop w:val="0"/>
      <w:marBottom w:val="0"/>
      <w:divBdr>
        <w:top w:val="none" w:sz="0" w:space="0" w:color="auto"/>
        <w:left w:val="none" w:sz="0" w:space="0" w:color="auto"/>
        <w:bottom w:val="none" w:sz="0" w:space="0" w:color="auto"/>
        <w:right w:val="none" w:sz="0" w:space="0" w:color="auto"/>
      </w:divBdr>
    </w:div>
    <w:div w:id="1664315218">
      <w:marLeft w:val="0"/>
      <w:marRight w:val="0"/>
      <w:marTop w:val="0"/>
      <w:marBottom w:val="180"/>
      <w:divBdr>
        <w:top w:val="none" w:sz="0" w:space="0" w:color="auto"/>
        <w:left w:val="none" w:sz="0" w:space="0" w:color="auto"/>
        <w:bottom w:val="none" w:sz="0" w:space="0" w:color="auto"/>
        <w:right w:val="none" w:sz="0" w:space="0" w:color="auto"/>
      </w:divBdr>
    </w:div>
    <w:div w:id="1665427188">
      <w:marLeft w:val="0"/>
      <w:marRight w:val="0"/>
      <w:marTop w:val="0"/>
      <w:marBottom w:val="0"/>
      <w:divBdr>
        <w:top w:val="none" w:sz="0" w:space="0" w:color="auto"/>
        <w:left w:val="none" w:sz="0" w:space="0" w:color="auto"/>
        <w:bottom w:val="none" w:sz="0" w:space="0" w:color="auto"/>
        <w:right w:val="none" w:sz="0" w:space="0" w:color="auto"/>
      </w:divBdr>
      <w:divsChild>
        <w:div w:id="1927373316">
          <w:marLeft w:val="0"/>
          <w:marRight w:val="0"/>
          <w:marTop w:val="0"/>
          <w:marBottom w:val="0"/>
          <w:divBdr>
            <w:top w:val="none" w:sz="0" w:space="0" w:color="auto"/>
            <w:left w:val="none" w:sz="0" w:space="0" w:color="auto"/>
            <w:bottom w:val="none" w:sz="0" w:space="0" w:color="auto"/>
            <w:right w:val="none" w:sz="0" w:space="0" w:color="auto"/>
          </w:divBdr>
        </w:div>
      </w:divsChild>
    </w:div>
    <w:div w:id="1666010548">
      <w:marLeft w:val="0"/>
      <w:marRight w:val="0"/>
      <w:marTop w:val="0"/>
      <w:marBottom w:val="240"/>
      <w:divBdr>
        <w:top w:val="none" w:sz="0" w:space="0" w:color="auto"/>
        <w:left w:val="none" w:sz="0" w:space="0" w:color="auto"/>
        <w:bottom w:val="none" w:sz="0" w:space="0" w:color="auto"/>
        <w:right w:val="none" w:sz="0" w:space="0" w:color="auto"/>
      </w:divBdr>
    </w:div>
    <w:div w:id="1669794814">
      <w:marLeft w:val="0"/>
      <w:marRight w:val="0"/>
      <w:marTop w:val="120"/>
      <w:marBottom w:val="120"/>
      <w:divBdr>
        <w:top w:val="none" w:sz="0" w:space="0" w:color="auto"/>
        <w:left w:val="none" w:sz="0" w:space="0" w:color="auto"/>
        <w:bottom w:val="none" w:sz="0" w:space="0" w:color="auto"/>
        <w:right w:val="none" w:sz="0" w:space="0" w:color="auto"/>
      </w:divBdr>
    </w:div>
    <w:div w:id="1672218420">
      <w:marLeft w:val="0"/>
      <w:marRight w:val="0"/>
      <w:marTop w:val="0"/>
      <w:marBottom w:val="0"/>
      <w:divBdr>
        <w:top w:val="none" w:sz="0" w:space="0" w:color="auto"/>
        <w:left w:val="none" w:sz="0" w:space="0" w:color="auto"/>
        <w:bottom w:val="none" w:sz="0" w:space="0" w:color="auto"/>
        <w:right w:val="none" w:sz="0" w:space="0" w:color="auto"/>
      </w:divBdr>
    </w:div>
    <w:div w:id="1673482909">
      <w:marLeft w:val="0"/>
      <w:marRight w:val="0"/>
      <w:marTop w:val="0"/>
      <w:marBottom w:val="0"/>
      <w:divBdr>
        <w:top w:val="none" w:sz="0" w:space="0" w:color="auto"/>
        <w:left w:val="none" w:sz="0" w:space="0" w:color="auto"/>
        <w:bottom w:val="none" w:sz="0" w:space="0" w:color="auto"/>
        <w:right w:val="none" w:sz="0" w:space="0" w:color="auto"/>
      </w:divBdr>
      <w:divsChild>
        <w:div w:id="316345227">
          <w:marLeft w:val="0"/>
          <w:marRight w:val="0"/>
          <w:marTop w:val="0"/>
          <w:marBottom w:val="0"/>
          <w:divBdr>
            <w:top w:val="none" w:sz="0" w:space="0" w:color="auto"/>
            <w:left w:val="none" w:sz="0" w:space="0" w:color="auto"/>
            <w:bottom w:val="none" w:sz="0" w:space="0" w:color="auto"/>
            <w:right w:val="none" w:sz="0" w:space="0" w:color="auto"/>
          </w:divBdr>
        </w:div>
      </w:divsChild>
    </w:div>
    <w:div w:id="1674915441">
      <w:marLeft w:val="0"/>
      <w:marRight w:val="0"/>
      <w:marTop w:val="0"/>
      <w:marBottom w:val="180"/>
      <w:divBdr>
        <w:top w:val="none" w:sz="0" w:space="0" w:color="auto"/>
        <w:left w:val="none" w:sz="0" w:space="0" w:color="auto"/>
        <w:bottom w:val="none" w:sz="0" w:space="0" w:color="auto"/>
        <w:right w:val="none" w:sz="0" w:space="0" w:color="auto"/>
      </w:divBdr>
    </w:div>
    <w:div w:id="1676224316">
      <w:marLeft w:val="0"/>
      <w:marRight w:val="0"/>
      <w:marTop w:val="0"/>
      <w:marBottom w:val="0"/>
      <w:divBdr>
        <w:top w:val="none" w:sz="0" w:space="0" w:color="auto"/>
        <w:left w:val="none" w:sz="0" w:space="0" w:color="auto"/>
        <w:bottom w:val="none" w:sz="0" w:space="0" w:color="auto"/>
        <w:right w:val="none" w:sz="0" w:space="0" w:color="auto"/>
      </w:divBdr>
    </w:div>
    <w:div w:id="1677731080">
      <w:marLeft w:val="0"/>
      <w:marRight w:val="0"/>
      <w:marTop w:val="180"/>
      <w:marBottom w:val="180"/>
      <w:divBdr>
        <w:top w:val="none" w:sz="0" w:space="0" w:color="auto"/>
        <w:left w:val="none" w:sz="0" w:space="0" w:color="auto"/>
        <w:bottom w:val="none" w:sz="0" w:space="0" w:color="auto"/>
        <w:right w:val="none" w:sz="0" w:space="0" w:color="auto"/>
      </w:divBdr>
    </w:div>
    <w:div w:id="1679237085">
      <w:marLeft w:val="0"/>
      <w:marRight w:val="0"/>
      <w:marTop w:val="180"/>
      <w:marBottom w:val="180"/>
      <w:divBdr>
        <w:top w:val="none" w:sz="0" w:space="0" w:color="auto"/>
        <w:left w:val="none" w:sz="0" w:space="0" w:color="auto"/>
        <w:bottom w:val="none" w:sz="0" w:space="0" w:color="auto"/>
        <w:right w:val="none" w:sz="0" w:space="0" w:color="auto"/>
      </w:divBdr>
    </w:div>
    <w:div w:id="1680231303">
      <w:marLeft w:val="0"/>
      <w:marRight w:val="0"/>
      <w:marTop w:val="0"/>
      <w:marBottom w:val="180"/>
      <w:divBdr>
        <w:top w:val="none" w:sz="0" w:space="0" w:color="auto"/>
        <w:left w:val="none" w:sz="0" w:space="0" w:color="auto"/>
        <w:bottom w:val="none" w:sz="0" w:space="0" w:color="auto"/>
        <w:right w:val="none" w:sz="0" w:space="0" w:color="auto"/>
      </w:divBdr>
    </w:div>
    <w:div w:id="1680621816">
      <w:marLeft w:val="0"/>
      <w:marRight w:val="0"/>
      <w:marTop w:val="100"/>
      <w:marBottom w:val="100"/>
      <w:divBdr>
        <w:top w:val="none" w:sz="0" w:space="0" w:color="auto"/>
        <w:left w:val="none" w:sz="0" w:space="0" w:color="auto"/>
        <w:bottom w:val="none" w:sz="0" w:space="0" w:color="auto"/>
        <w:right w:val="none" w:sz="0" w:space="0" w:color="auto"/>
      </w:divBdr>
    </w:div>
    <w:div w:id="1683433161">
      <w:marLeft w:val="0"/>
      <w:marRight w:val="0"/>
      <w:marTop w:val="0"/>
      <w:marBottom w:val="240"/>
      <w:divBdr>
        <w:top w:val="none" w:sz="0" w:space="0" w:color="auto"/>
        <w:left w:val="none" w:sz="0" w:space="0" w:color="auto"/>
        <w:bottom w:val="none" w:sz="0" w:space="0" w:color="auto"/>
        <w:right w:val="none" w:sz="0" w:space="0" w:color="auto"/>
      </w:divBdr>
    </w:div>
    <w:div w:id="1685594551">
      <w:marLeft w:val="0"/>
      <w:marRight w:val="0"/>
      <w:marTop w:val="0"/>
      <w:marBottom w:val="240"/>
      <w:divBdr>
        <w:top w:val="none" w:sz="0" w:space="0" w:color="auto"/>
        <w:left w:val="none" w:sz="0" w:space="0" w:color="auto"/>
        <w:bottom w:val="none" w:sz="0" w:space="0" w:color="auto"/>
        <w:right w:val="none" w:sz="0" w:space="0" w:color="auto"/>
      </w:divBdr>
    </w:div>
    <w:div w:id="1690137207">
      <w:marLeft w:val="0"/>
      <w:marRight w:val="0"/>
      <w:marTop w:val="180"/>
      <w:marBottom w:val="180"/>
      <w:divBdr>
        <w:top w:val="none" w:sz="0" w:space="0" w:color="auto"/>
        <w:left w:val="none" w:sz="0" w:space="0" w:color="auto"/>
        <w:bottom w:val="none" w:sz="0" w:space="0" w:color="auto"/>
        <w:right w:val="none" w:sz="0" w:space="0" w:color="auto"/>
      </w:divBdr>
    </w:div>
    <w:div w:id="1691106871">
      <w:marLeft w:val="0"/>
      <w:marRight w:val="0"/>
      <w:marTop w:val="0"/>
      <w:marBottom w:val="0"/>
      <w:divBdr>
        <w:top w:val="none" w:sz="0" w:space="0" w:color="auto"/>
        <w:left w:val="none" w:sz="0" w:space="0" w:color="auto"/>
        <w:bottom w:val="none" w:sz="0" w:space="0" w:color="auto"/>
        <w:right w:val="none" w:sz="0" w:space="0" w:color="auto"/>
      </w:divBdr>
      <w:divsChild>
        <w:div w:id="1454864545">
          <w:marLeft w:val="0"/>
          <w:marRight w:val="0"/>
          <w:marTop w:val="0"/>
          <w:marBottom w:val="0"/>
          <w:divBdr>
            <w:top w:val="none" w:sz="0" w:space="0" w:color="auto"/>
            <w:left w:val="none" w:sz="0" w:space="0" w:color="auto"/>
            <w:bottom w:val="none" w:sz="0" w:space="0" w:color="auto"/>
            <w:right w:val="none" w:sz="0" w:space="0" w:color="auto"/>
          </w:divBdr>
        </w:div>
      </w:divsChild>
    </w:div>
    <w:div w:id="1691836328">
      <w:marLeft w:val="0"/>
      <w:marRight w:val="0"/>
      <w:marTop w:val="0"/>
      <w:marBottom w:val="180"/>
      <w:divBdr>
        <w:top w:val="none" w:sz="0" w:space="0" w:color="auto"/>
        <w:left w:val="none" w:sz="0" w:space="0" w:color="auto"/>
        <w:bottom w:val="none" w:sz="0" w:space="0" w:color="auto"/>
        <w:right w:val="none" w:sz="0" w:space="0" w:color="auto"/>
      </w:divBdr>
    </w:div>
    <w:div w:id="1691879621">
      <w:marLeft w:val="0"/>
      <w:marRight w:val="0"/>
      <w:marTop w:val="0"/>
      <w:marBottom w:val="180"/>
      <w:divBdr>
        <w:top w:val="none" w:sz="0" w:space="0" w:color="auto"/>
        <w:left w:val="none" w:sz="0" w:space="0" w:color="auto"/>
        <w:bottom w:val="none" w:sz="0" w:space="0" w:color="auto"/>
        <w:right w:val="none" w:sz="0" w:space="0" w:color="auto"/>
      </w:divBdr>
    </w:div>
    <w:div w:id="1692337361">
      <w:marLeft w:val="0"/>
      <w:marRight w:val="0"/>
      <w:marTop w:val="120"/>
      <w:marBottom w:val="120"/>
      <w:divBdr>
        <w:top w:val="none" w:sz="0" w:space="0" w:color="auto"/>
        <w:left w:val="none" w:sz="0" w:space="0" w:color="auto"/>
        <w:bottom w:val="none" w:sz="0" w:space="0" w:color="auto"/>
        <w:right w:val="none" w:sz="0" w:space="0" w:color="auto"/>
      </w:divBdr>
    </w:div>
    <w:div w:id="1692952370">
      <w:marLeft w:val="0"/>
      <w:marRight w:val="0"/>
      <w:marTop w:val="0"/>
      <w:marBottom w:val="240"/>
      <w:divBdr>
        <w:top w:val="none" w:sz="0" w:space="0" w:color="auto"/>
        <w:left w:val="none" w:sz="0" w:space="0" w:color="auto"/>
        <w:bottom w:val="none" w:sz="0" w:space="0" w:color="auto"/>
        <w:right w:val="none" w:sz="0" w:space="0" w:color="auto"/>
      </w:divBdr>
    </w:div>
    <w:div w:id="1694309336">
      <w:marLeft w:val="0"/>
      <w:marRight w:val="0"/>
      <w:marTop w:val="0"/>
      <w:marBottom w:val="0"/>
      <w:divBdr>
        <w:top w:val="none" w:sz="0" w:space="0" w:color="auto"/>
        <w:left w:val="none" w:sz="0" w:space="0" w:color="auto"/>
        <w:bottom w:val="none" w:sz="0" w:space="0" w:color="auto"/>
        <w:right w:val="none" w:sz="0" w:space="0" w:color="auto"/>
      </w:divBdr>
    </w:div>
    <w:div w:id="1696229512">
      <w:marLeft w:val="0"/>
      <w:marRight w:val="0"/>
      <w:marTop w:val="100"/>
      <w:marBottom w:val="100"/>
      <w:divBdr>
        <w:top w:val="none" w:sz="0" w:space="0" w:color="auto"/>
        <w:left w:val="none" w:sz="0" w:space="0" w:color="auto"/>
        <w:bottom w:val="none" w:sz="0" w:space="0" w:color="auto"/>
        <w:right w:val="none" w:sz="0" w:space="0" w:color="auto"/>
      </w:divBdr>
    </w:div>
    <w:div w:id="1696809056">
      <w:marLeft w:val="0"/>
      <w:marRight w:val="0"/>
      <w:marTop w:val="0"/>
      <w:marBottom w:val="240"/>
      <w:divBdr>
        <w:top w:val="none" w:sz="0" w:space="0" w:color="auto"/>
        <w:left w:val="none" w:sz="0" w:space="0" w:color="auto"/>
        <w:bottom w:val="none" w:sz="0" w:space="0" w:color="auto"/>
        <w:right w:val="none" w:sz="0" w:space="0" w:color="auto"/>
      </w:divBdr>
    </w:div>
    <w:div w:id="1698313057">
      <w:marLeft w:val="0"/>
      <w:marRight w:val="0"/>
      <w:marTop w:val="0"/>
      <w:marBottom w:val="240"/>
      <w:divBdr>
        <w:top w:val="none" w:sz="0" w:space="0" w:color="auto"/>
        <w:left w:val="none" w:sz="0" w:space="0" w:color="auto"/>
        <w:bottom w:val="none" w:sz="0" w:space="0" w:color="auto"/>
        <w:right w:val="none" w:sz="0" w:space="0" w:color="auto"/>
      </w:divBdr>
    </w:div>
    <w:div w:id="1700004518">
      <w:marLeft w:val="0"/>
      <w:marRight w:val="0"/>
      <w:marTop w:val="0"/>
      <w:marBottom w:val="240"/>
      <w:divBdr>
        <w:top w:val="none" w:sz="0" w:space="0" w:color="auto"/>
        <w:left w:val="none" w:sz="0" w:space="0" w:color="auto"/>
        <w:bottom w:val="none" w:sz="0" w:space="0" w:color="auto"/>
        <w:right w:val="none" w:sz="0" w:space="0" w:color="auto"/>
      </w:divBdr>
    </w:div>
    <w:div w:id="1701052521">
      <w:marLeft w:val="0"/>
      <w:marRight w:val="0"/>
      <w:marTop w:val="100"/>
      <w:marBottom w:val="100"/>
      <w:divBdr>
        <w:top w:val="none" w:sz="0" w:space="0" w:color="auto"/>
        <w:left w:val="none" w:sz="0" w:space="0" w:color="auto"/>
        <w:bottom w:val="none" w:sz="0" w:space="0" w:color="auto"/>
        <w:right w:val="none" w:sz="0" w:space="0" w:color="auto"/>
      </w:divBdr>
    </w:div>
    <w:div w:id="1702050480">
      <w:marLeft w:val="0"/>
      <w:marRight w:val="0"/>
      <w:marTop w:val="240"/>
      <w:marBottom w:val="240"/>
      <w:divBdr>
        <w:top w:val="none" w:sz="0" w:space="0" w:color="auto"/>
        <w:left w:val="none" w:sz="0" w:space="0" w:color="auto"/>
        <w:bottom w:val="none" w:sz="0" w:space="0" w:color="auto"/>
        <w:right w:val="none" w:sz="0" w:space="0" w:color="auto"/>
      </w:divBdr>
    </w:div>
    <w:div w:id="1702893917">
      <w:marLeft w:val="0"/>
      <w:marRight w:val="0"/>
      <w:marTop w:val="0"/>
      <w:marBottom w:val="0"/>
      <w:divBdr>
        <w:top w:val="none" w:sz="0" w:space="0" w:color="auto"/>
        <w:left w:val="none" w:sz="0" w:space="0" w:color="auto"/>
        <w:bottom w:val="none" w:sz="0" w:space="0" w:color="auto"/>
        <w:right w:val="none" w:sz="0" w:space="0" w:color="auto"/>
      </w:divBdr>
    </w:div>
    <w:div w:id="1704086905">
      <w:marLeft w:val="0"/>
      <w:marRight w:val="0"/>
      <w:marTop w:val="0"/>
      <w:marBottom w:val="180"/>
      <w:divBdr>
        <w:top w:val="none" w:sz="0" w:space="0" w:color="auto"/>
        <w:left w:val="none" w:sz="0" w:space="0" w:color="auto"/>
        <w:bottom w:val="none" w:sz="0" w:space="0" w:color="auto"/>
        <w:right w:val="none" w:sz="0" w:space="0" w:color="auto"/>
      </w:divBdr>
    </w:div>
    <w:div w:id="1705523958">
      <w:marLeft w:val="0"/>
      <w:marRight w:val="0"/>
      <w:marTop w:val="0"/>
      <w:marBottom w:val="0"/>
      <w:divBdr>
        <w:top w:val="none" w:sz="0" w:space="0" w:color="auto"/>
        <w:left w:val="none" w:sz="0" w:space="0" w:color="auto"/>
        <w:bottom w:val="none" w:sz="0" w:space="0" w:color="auto"/>
        <w:right w:val="none" w:sz="0" w:space="0" w:color="auto"/>
      </w:divBdr>
    </w:div>
    <w:div w:id="1708026016">
      <w:marLeft w:val="0"/>
      <w:marRight w:val="0"/>
      <w:marTop w:val="0"/>
      <w:marBottom w:val="240"/>
      <w:divBdr>
        <w:top w:val="none" w:sz="0" w:space="0" w:color="auto"/>
        <w:left w:val="none" w:sz="0" w:space="0" w:color="auto"/>
        <w:bottom w:val="none" w:sz="0" w:space="0" w:color="auto"/>
        <w:right w:val="none" w:sz="0" w:space="0" w:color="auto"/>
      </w:divBdr>
    </w:div>
    <w:div w:id="1710494135">
      <w:marLeft w:val="0"/>
      <w:marRight w:val="0"/>
      <w:marTop w:val="0"/>
      <w:marBottom w:val="0"/>
      <w:divBdr>
        <w:top w:val="none" w:sz="0" w:space="0" w:color="auto"/>
        <w:left w:val="none" w:sz="0" w:space="0" w:color="auto"/>
        <w:bottom w:val="none" w:sz="0" w:space="0" w:color="auto"/>
        <w:right w:val="none" w:sz="0" w:space="0" w:color="auto"/>
      </w:divBdr>
      <w:divsChild>
        <w:div w:id="257371118">
          <w:marLeft w:val="0"/>
          <w:marRight w:val="0"/>
          <w:marTop w:val="0"/>
          <w:marBottom w:val="0"/>
          <w:divBdr>
            <w:top w:val="none" w:sz="0" w:space="0" w:color="auto"/>
            <w:left w:val="none" w:sz="0" w:space="0" w:color="auto"/>
            <w:bottom w:val="none" w:sz="0" w:space="0" w:color="auto"/>
            <w:right w:val="none" w:sz="0" w:space="0" w:color="auto"/>
          </w:divBdr>
        </w:div>
      </w:divsChild>
    </w:div>
    <w:div w:id="1713844853">
      <w:marLeft w:val="0"/>
      <w:marRight w:val="0"/>
      <w:marTop w:val="180"/>
      <w:marBottom w:val="180"/>
      <w:divBdr>
        <w:top w:val="none" w:sz="0" w:space="0" w:color="auto"/>
        <w:left w:val="none" w:sz="0" w:space="0" w:color="auto"/>
        <w:bottom w:val="none" w:sz="0" w:space="0" w:color="auto"/>
        <w:right w:val="none" w:sz="0" w:space="0" w:color="auto"/>
      </w:divBdr>
    </w:div>
    <w:div w:id="1714227315">
      <w:marLeft w:val="0"/>
      <w:marRight w:val="0"/>
      <w:marTop w:val="120"/>
      <w:marBottom w:val="180"/>
      <w:divBdr>
        <w:top w:val="none" w:sz="0" w:space="0" w:color="auto"/>
        <w:left w:val="none" w:sz="0" w:space="0" w:color="auto"/>
        <w:bottom w:val="none" w:sz="0" w:space="0" w:color="auto"/>
        <w:right w:val="none" w:sz="0" w:space="0" w:color="auto"/>
      </w:divBdr>
    </w:div>
    <w:div w:id="1715764723">
      <w:marLeft w:val="0"/>
      <w:marRight w:val="0"/>
      <w:marTop w:val="0"/>
      <w:marBottom w:val="180"/>
      <w:divBdr>
        <w:top w:val="none" w:sz="0" w:space="0" w:color="auto"/>
        <w:left w:val="none" w:sz="0" w:space="0" w:color="auto"/>
        <w:bottom w:val="none" w:sz="0" w:space="0" w:color="auto"/>
        <w:right w:val="none" w:sz="0" w:space="0" w:color="auto"/>
      </w:divBdr>
    </w:div>
    <w:div w:id="1715933129">
      <w:marLeft w:val="0"/>
      <w:marRight w:val="0"/>
      <w:marTop w:val="120"/>
      <w:marBottom w:val="120"/>
      <w:divBdr>
        <w:top w:val="none" w:sz="0" w:space="0" w:color="auto"/>
        <w:left w:val="none" w:sz="0" w:space="0" w:color="auto"/>
        <w:bottom w:val="none" w:sz="0" w:space="0" w:color="auto"/>
        <w:right w:val="none" w:sz="0" w:space="0" w:color="auto"/>
      </w:divBdr>
    </w:div>
    <w:div w:id="1717705303">
      <w:marLeft w:val="0"/>
      <w:marRight w:val="0"/>
      <w:marTop w:val="0"/>
      <w:marBottom w:val="240"/>
      <w:divBdr>
        <w:top w:val="none" w:sz="0" w:space="0" w:color="auto"/>
        <w:left w:val="none" w:sz="0" w:space="0" w:color="auto"/>
        <w:bottom w:val="none" w:sz="0" w:space="0" w:color="auto"/>
        <w:right w:val="none" w:sz="0" w:space="0" w:color="auto"/>
      </w:divBdr>
    </w:div>
    <w:div w:id="1720737892">
      <w:marLeft w:val="0"/>
      <w:marRight w:val="0"/>
      <w:marTop w:val="0"/>
      <w:marBottom w:val="240"/>
      <w:divBdr>
        <w:top w:val="none" w:sz="0" w:space="0" w:color="auto"/>
        <w:left w:val="none" w:sz="0" w:space="0" w:color="auto"/>
        <w:bottom w:val="none" w:sz="0" w:space="0" w:color="auto"/>
        <w:right w:val="none" w:sz="0" w:space="0" w:color="auto"/>
      </w:divBdr>
    </w:div>
    <w:div w:id="1722898559">
      <w:marLeft w:val="0"/>
      <w:marRight w:val="0"/>
      <w:marTop w:val="0"/>
      <w:marBottom w:val="180"/>
      <w:divBdr>
        <w:top w:val="none" w:sz="0" w:space="0" w:color="auto"/>
        <w:left w:val="none" w:sz="0" w:space="0" w:color="auto"/>
        <w:bottom w:val="none" w:sz="0" w:space="0" w:color="auto"/>
        <w:right w:val="none" w:sz="0" w:space="0" w:color="auto"/>
      </w:divBdr>
    </w:div>
    <w:div w:id="1723600550">
      <w:marLeft w:val="0"/>
      <w:marRight w:val="0"/>
      <w:marTop w:val="120"/>
      <w:marBottom w:val="120"/>
      <w:divBdr>
        <w:top w:val="none" w:sz="0" w:space="0" w:color="auto"/>
        <w:left w:val="none" w:sz="0" w:space="0" w:color="auto"/>
        <w:bottom w:val="none" w:sz="0" w:space="0" w:color="auto"/>
        <w:right w:val="none" w:sz="0" w:space="0" w:color="auto"/>
      </w:divBdr>
    </w:div>
    <w:div w:id="1729649399">
      <w:marLeft w:val="0"/>
      <w:marRight w:val="0"/>
      <w:marTop w:val="0"/>
      <w:marBottom w:val="240"/>
      <w:divBdr>
        <w:top w:val="none" w:sz="0" w:space="0" w:color="auto"/>
        <w:left w:val="none" w:sz="0" w:space="0" w:color="auto"/>
        <w:bottom w:val="none" w:sz="0" w:space="0" w:color="auto"/>
        <w:right w:val="none" w:sz="0" w:space="0" w:color="auto"/>
      </w:divBdr>
    </w:div>
    <w:div w:id="1729720965">
      <w:marLeft w:val="0"/>
      <w:marRight w:val="0"/>
      <w:marTop w:val="0"/>
      <w:marBottom w:val="0"/>
      <w:divBdr>
        <w:top w:val="none" w:sz="0" w:space="0" w:color="auto"/>
        <w:left w:val="none" w:sz="0" w:space="0" w:color="auto"/>
        <w:bottom w:val="none" w:sz="0" w:space="0" w:color="auto"/>
        <w:right w:val="none" w:sz="0" w:space="0" w:color="auto"/>
      </w:divBdr>
    </w:div>
    <w:div w:id="1735661475">
      <w:marLeft w:val="0"/>
      <w:marRight w:val="0"/>
      <w:marTop w:val="0"/>
      <w:marBottom w:val="180"/>
      <w:divBdr>
        <w:top w:val="none" w:sz="0" w:space="0" w:color="auto"/>
        <w:left w:val="none" w:sz="0" w:space="0" w:color="auto"/>
        <w:bottom w:val="none" w:sz="0" w:space="0" w:color="auto"/>
        <w:right w:val="none" w:sz="0" w:space="0" w:color="auto"/>
      </w:divBdr>
    </w:div>
    <w:div w:id="1735858710">
      <w:marLeft w:val="0"/>
      <w:marRight w:val="0"/>
      <w:marTop w:val="0"/>
      <w:marBottom w:val="180"/>
      <w:divBdr>
        <w:top w:val="none" w:sz="0" w:space="0" w:color="auto"/>
        <w:left w:val="none" w:sz="0" w:space="0" w:color="auto"/>
        <w:bottom w:val="none" w:sz="0" w:space="0" w:color="auto"/>
        <w:right w:val="none" w:sz="0" w:space="0" w:color="auto"/>
      </w:divBdr>
    </w:div>
    <w:div w:id="1735933206">
      <w:marLeft w:val="0"/>
      <w:marRight w:val="0"/>
      <w:marTop w:val="0"/>
      <w:marBottom w:val="0"/>
      <w:divBdr>
        <w:top w:val="none" w:sz="0" w:space="0" w:color="auto"/>
        <w:left w:val="none" w:sz="0" w:space="0" w:color="auto"/>
        <w:bottom w:val="none" w:sz="0" w:space="0" w:color="auto"/>
        <w:right w:val="none" w:sz="0" w:space="0" w:color="auto"/>
      </w:divBdr>
    </w:div>
    <w:div w:id="1741632257">
      <w:marLeft w:val="0"/>
      <w:marRight w:val="0"/>
      <w:marTop w:val="0"/>
      <w:marBottom w:val="0"/>
      <w:divBdr>
        <w:top w:val="none" w:sz="0" w:space="0" w:color="auto"/>
        <w:left w:val="none" w:sz="0" w:space="0" w:color="auto"/>
        <w:bottom w:val="none" w:sz="0" w:space="0" w:color="auto"/>
        <w:right w:val="none" w:sz="0" w:space="0" w:color="auto"/>
      </w:divBdr>
      <w:divsChild>
        <w:div w:id="888107272">
          <w:marLeft w:val="0"/>
          <w:marRight w:val="0"/>
          <w:marTop w:val="0"/>
          <w:marBottom w:val="0"/>
          <w:divBdr>
            <w:top w:val="none" w:sz="0" w:space="0" w:color="auto"/>
            <w:left w:val="none" w:sz="0" w:space="0" w:color="auto"/>
            <w:bottom w:val="none" w:sz="0" w:space="0" w:color="auto"/>
            <w:right w:val="none" w:sz="0" w:space="0" w:color="auto"/>
          </w:divBdr>
        </w:div>
      </w:divsChild>
    </w:div>
    <w:div w:id="1743336923">
      <w:marLeft w:val="0"/>
      <w:marRight w:val="0"/>
      <w:marTop w:val="0"/>
      <w:marBottom w:val="240"/>
      <w:divBdr>
        <w:top w:val="none" w:sz="0" w:space="0" w:color="auto"/>
        <w:left w:val="none" w:sz="0" w:space="0" w:color="auto"/>
        <w:bottom w:val="none" w:sz="0" w:space="0" w:color="auto"/>
        <w:right w:val="none" w:sz="0" w:space="0" w:color="auto"/>
      </w:divBdr>
    </w:div>
    <w:div w:id="1748452991">
      <w:marLeft w:val="0"/>
      <w:marRight w:val="0"/>
      <w:marTop w:val="0"/>
      <w:marBottom w:val="0"/>
      <w:divBdr>
        <w:top w:val="none" w:sz="0" w:space="0" w:color="auto"/>
        <w:left w:val="none" w:sz="0" w:space="0" w:color="auto"/>
        <w:bottom w:val="none" w:sz="0" w:space="0" w:color="auto"/>
        <w:right w:val="none" w:sz="0" w:space="0" w:color="auto"/>
      </w:divBdr>
    </w:div>
    <w:div w:id="1750224569">
      <w:marLeft w:val="0"/>
      <w:marRight w:val="0"/>
      <w:marTop w:val="0"/>
      <w:marBottom w:val="240"/>
      <w:divBdr>
        <w:top w:val="none" w:sz="0" w:space="0" w:color="auto"/>
        <w:left w:val="none" w:sz="0" w:space="0" w:color="auto"/>
        <w:bottom w:val="none" w:sz="0" w:space="0" w:color="auto"/>
        <w:right w:val="none" w:sz="0" w:space="0" w:color="auto"/>
      </w:divBdr>
    </w:div>
    <w:div w:id="1753307454">
      <w:marLeft w:val="0"/>
      <w:marRight w:val="0"/>
      <w:marTop w:val="120"/>
      <w:marBottom w:val="180"/>
      <w:divBdr>
        <w:top w:val="none" w:sz="0" w:space="0" w:color="auto"/>
        <w:left w:val="none" w:sz="0" w:space="0" w:color="auto"/>
        <w:bottom w:val="none" w:sz="0" w:space="0" w:color="auto"/>
        <w:right w:val="none" w:sz="0" w:space="0" w:color="auto"/>
      </w:divBdr>
    </w:div>
    <w:div w:id="1753355075">
      <w:marLeft w:val="0"/>
      <w:marRight w:val="0"/>
      <w:marTop w:val="0"/>
      <w:marBottom w:val="0"/>
      <w:divBdr>
        <w:top w:val="none" w:sz="0" w:space="0" w:color="auto"/>
        <w:left w:val="none" w:sz="0" w:space="0" w:color="auto"/>
        <w:bottom w:val="none" w:sz="0" w:space="0" w:color="auto"/>
        <w:right w:val="none" w:sz="0" w:space="0" w:color="auto"/>
      </w:divBdr>
      <w:divsChild>
        <w:div w:id="1929538767">
          <w:marLeft w:val="0"/>
          <w:marRight w:val="0"/>
          <w:marTop w:val="0"/>
          <w:marBottom w:val="0"/>
          <w:divBdr>
            <w:top w:val="none" w:sz="0" w:space="0" w:color="auto"/>
            <w:left w:val="none" w:sz="0" w:space="0" w:color="auto"/>
            <w:bottom w:val="none" w:sz="0" w:space="0" w:color="auto"/>
            <w:right w:val="none" w:sz="0" w:space="0" w:color="auto"/>
          </w:divBdr>
        </w:div>
      </w:divsChild>
    </w:div>
    <w:div w:id="1753694302">
      <w:marLeft w:val="0"/>
      <w:marRight w:val="0"/>
      <w:marTop w:val="0"/>
      <w:marBottom w:val="240"/>
      <w:divBdr>
        <w:top w:val="none" w:sz="0" w:space="0" w:color="auto"/>
        <w:left w:val="none" w:sz="0" w:space="0" w:color="auto"/>
        <w:bottom w:val="none" w:sz="0" w:space="0" w:color="auto"/>
        <w:right w:val="none" w:sz="0" w:space="0" w:color="auto"/>
      </w:divBdr>
    </w:div>
    <w:div w:id="1756440895">
      <w:marLeft w:val="0"/>
      <w:marRight w:val="0"/>
      <w:marTop w:val="0"/>
      <w:marBottom w:val="0"/>
      <w:divBdr>
        <w:top w:val="none" w:sz="0" w:space="0" w:color="auto"/>
        <w:left w:val="none" w:sz="0" w:space="0" w:color="auto"/>
        <w:bottom w:val="none" w:sz="0" w:space="0" w:color="auto"/>
        <w:right w:val="none" w:sz="0" w:space="0" w:color="auto"/>
      </w:divBdr>
      <w:divsChild>
        <w:div w:id="1739285193">
          <w:marLeft w:val="0"/>
          <w:marRight w:val="0"/>
          <w:marTop w:val="0"/>
          <w:marBottom w:val="0"/>
          <w:divBdr>
            <w:top w:val="none" w:sz="0" w:space="0" w:color="auto"/>
            <w:left w:val="none" w:sz="0" w:space="0" w:color="auto"/>
            <w:bottom w:val="none" w:sz="0" w:space="0" w:color="auto"/>
            <w:right w:val="none" w:sz="0" w:space="0" w:color="auto"/>
          </w:divBdr>
        </w:div>
      </w:divsChild>
    </w:div>
    <w:div w:id="1756705360">
      <w:marLeft w:val="0"/>
      <w:marRight w:val="0"/>
      <w:marTop w:val="0"/>
      <w:marBottom w:val="240"/>
      <w:divBdr>
        <w:top w:val="none" w:sz="0" w:space="0" w:color="auto"/>
        <w:left w:val="none" w:sz="0" w:space="0" w:color="auto"/>
        <w:bottom w:val="none" w:sz="0" w:space="0" w:color="auto"/>
        <w:right w:val="none" w:sz="0" w:space="0" w:color="auto"/>
      </w:divBdr>
    </w:div>
    <w:div w:id="1759138118">
      <w:marLeft w:val="0"/>
      <w:marRight w:val="0"/>
      <w:marTop w:val="0"/>
      <w:marBottom w:val="180"/>
      <w:divBdr>
        <w:top w:val="none" w:sz="0" w:space="0" w:color="auto"/>
        <w:left w:val="none" w:sz="0" w:space="0" w:color="auto"/>
        <w:bottom w:val="none" w:sz="0" w:space="0" w:color="auto"/>
        <w:right w:val="none" w:sz="0" w:space="0" w:color="auto"/>
      </w:divBdr>
    </w:div>
    <w:div w:id="1764760183">
      <w:marLeft w:val="0"/>
      <w:marRight w:val="0"/>
      <w:marTop w:val="0"/>
      <w:marBottom w:val="0"/>
      <w:divBdr>
        <w:top w:val="none" w:sz="0" w:space="0" w:color="auto"/>
        <w:left w:val="none" w:sz="0" w:space="0" w:color="auto"/>
        <w:bottom w:val="none" w:sz="0" w:space="0" w:color="auto"/>
        <w:right w:val="none" w:sz="0" w:space="0" w:color="auto"/>
      </w:divBdr>
    </w:div>
    <w:div w:id="1766148076">
      <w:marLeft w:val="0"/>
      <w:marRight w:val="0"/>
      <w:marTop w:val="120"/>
      <w:marBottom w:val="120"/>
      <w:divBdr>
        <w:top w:val="none" w:sz="0" w:space="0" w:color="auto"/>
        <w:left w:val="none" w:sz="0" w:space="0" w:color="auto"/>
        <w:bottom w:val="none" w:sz="0" w:space="0" w:color="auto"/>
        <w:right w:val="none" w:sz="0" w:space="0" w:color="auto"/>
      </w:divBdr>
    </w:div>
    <w:div w:id="1766265280">
      <w:marLeft w:val="0"/>
      <w:marRight w:val="0"/>
      <w:marTop w:val="0"/>
      <w:marBottom w:val="120"/>
      <w:divBdr>
        <w:top w:val="none" w:sz="0" w:space="0" w:color="auto"/>
        <w:left w:val="none" w:sz="0" w:space="0" w:color="auto"/>
        <w:bottom w:val="none" w:sz="0" w:space="0" w:color="auto"/>
        <w:right w:val="none" w:sz="0" w:space="0" w:color="auto"/>
      </w:divBdr>
    </w:div>
    <w:div w:id="1766413324">
      <w:marLeft w:val="0"/>
      <w:marRight w:val="0"/>
      <w:marTop w:val="180"/>
      <w:marBottom w:val="180"/>
      <w:divBdr>
        <w:top w:val="none" w:sz="0" w:space="0" w:color="auto"/>
        <w:left w:val="none" w:sz="0" w:space="0" w:color="auto"/>
        <w:bottom w:val="none" w:sz="0" w:space="0" w:color="auto"/>
        <w:right w:val="none" w:sz="0" w:space="0" w:color="auto"/>
      </w:divBdr>
    </w:div>
    <w:div w:id="1767772505">
      <w:marLeft w:val="0"/>
      <w:marRight w:val="0"/>
      <w:marTop w:val="0"/>
      <w:marBottom w:val="0"/>
      <w:divBdr>
        <w:top w:val="none" w:sz="0" w:space="0" w:color="auto"/>
        <w:left w:val="none" w:sz="0" w:space="0" w:color="auto"/>
        <w:bottom w:val="none" w:sz="0" w:space="0" w:color="auto"/>
        <w:right w:val="none" w:sz="0" w:space="0" w:color="auto"/>
      </w:divBdr>
    </w:div>
    <w:div w:id="1768887637">
      <w:marLeft w:val="0"/>
      <w:marRight w:val="0"/>
      <w:marTop w:val="0"/>
      <w:marBottom w:val="180"/>
      <w:divBdr>
        <w:top w:val="none" w:sz="0" w:space="0" w:color="auto"/>
        <w:left w:val="none" w:sz="0" w:space="0" w:color="auto"/>
        <w:bottom w:val="none" w:sz="0" w:space="0" w:color="auto"/>
        <w:right w:val="none" w:sz="0" w:space="0" w:color="auto"/>
      </w:divBdr>
    </w:div>
    <w:div w:id="1770586978">
      <w:marLeft w:val="0"/>
      <w:marRight w:val="0"/>
      <w:marTop w:val="0"/>
      <w:marBottom w:val="240"/>
      <w:divBdr>
        <w:top w:val="none" w:sz="0" w:space="0" w:color="auto"/>
        <w:left w:val="none" w:sz="0" w:space="0" w:color="auto"/>
        <w:bottom w:val="none" w:sz="0" w:space="0" w:color="auto"/>
        <w:right w:val="none" w:sz="0" w:space="0" w:color="auto"/>
      </w:divBdr>
    </w:div>
    <w:div w:id="1777168608">
      <w:marLeft w:val="0"/>
      <w:marRight w:val="0"/>
      <w:marTop w:val="120"/>
      <w:marBottom w:val="240"/>
      <w:divBdr>
        <w:top w:val="none" w:sz="0" w:space="0" w:color="auto"/>
        <w:left w:val="none" w:sz="0" w:space="0" w:color="auto"/>
        <w:bottom w:val="none" w:sz="0" w:space="0" w:color="auto"/>
        <w:right w:val="none" w:sz="0" w:space="0" w:color="auto"/>
      </w:divBdr>
    </w:div>
    <w:div w:id="1780248562">
      <w:marLeft w:val="0"/>
      <w:marRight w:val="0"/>
      <w:marTop w:val="0"/>
      <w:marBottom w:val="0"/>
      <w:divBdr>
        <w:top w:val="none" w:sz="0" w:space="0" w:color="auto"/>
        <w:left w:val="none" w:sz="0" w:space="0" w:color="auto"/>
        <w:bottom w:val="none" w:sz="0" w:space="0" w:color="auto"/>
        <w:right w:val="none" w:sz="0" w:space="0" w:color="auto"/>
      </w:divBdr>
    </w:div>
    <w:div w:id="1781678997">
      <w:marLeft w:val="0"/>
      <w:marRight w:val="0"/>
      <w:marTop w:val="100"/>
      <w:marBottom w:val="100"/>
      <w:divBdr>
        <w:top w:val="none" w:sz="0" w:space="0" w:color="auto"/>
        <w:left w:val="none" w:sz="0" w:space="0" w:color="auto"/>
        <w:bottom w:val="none" w:sz="0" w:space="0" w:color="auto"/>
        <w:right w:val="none" w:sz="0" w:space="0" w:color="auto"/>
      </w:divBdr>
      <w:divsChild>
        <w:div w:id="1972401679">
          <w:marLeft w:val="0"/>
          <w:marRight w:val="0"/>
          <w:marTop w:val="0"/>
          <w:marBottom w:val="0"/>
          <w:divBdr>
            <w:top w:val="none" w:sz="0" w:space="0" w:color="auto"/>
            <w:left w:val="none" w:sz="0" w:space="0" w:color="auto"/>
            <w:bottom w:val="none" w:sz="0" w:space="0" w:color="auto"/>
            <w:right w:val="none" w:sz="0" w:space="0" w:color="auto"/>
          </w:divBdr>
        </w:div>
        <w:div w:id="982197640">
          <w:marLeft w:val="0"/>
          <w:marRight w:val="0"/>
          <w:marTop w:val="0"/>
          <w:marBottom w:val="0"/>
          <w:divBdr>
            <w:top w:val="none" w:sz="0" w:space="0" w:color="auto"/>
            <w:left w:val="none" w:sz="0" w:space="0" w:color="auto"/>
            <w:bottom w:val="none" w:sz="0" w:space="0" w:color="auto"/>
            <w:right w:val="none" w:sz="0" w:space="0" w:color="auto"/>
          </w:divBdr>
        </w:div>
        <w:div w:id="1706785755">
          <w:marLeft w:val="0"/>
          <w:marRight w:val="0"/>
          <w:marTop w:val="0"/>
          <w:marBottom w:val="0"/>
          <w:divBdr>
            <w:top w:val="none" w:sz="0" w:space="0" w:color="auto"/>
            <w:left w:val="none" w:sz="0" w:space="0" w:color="auto"/>
            <w:bottom w:val="none" w:sz="0" w:space="0" w:color="auto"/>
            <w:right w:val="none" w:sz="0" w:space="0" w:color="auto"/>
          </w:divBdr>
        </w:div>
        <w:div w:id="703095319">
          <w:marLeft w:val="0"/>
          <w:marRight w:val="0"/>
          <w:marTop w:val="0"/>
          <w:marBottom w:val="0"/>
          <w:divBdr>
            <w:top w:val="none" w:sz="0" w:space="0" w:color="auto"/>
            <w:left w:val="none" w:sz="0" w:space="0" w:color="auto"/>
            <w:bottom w:val="none" w:sz="0" w:space="0" w:color="auto"/>
            <w:right w:val="none" w:sz="0" w:space="0" w:color="auto"/>
          </w:divBdr>
        </w:div>
        <w:div w:id="986856609">
          <w:marLeft w:val="0"/>
          <w:marRight w:val="0"/>
          <w:marTop w:val="0"/>
          <w:marBottom w:val="0"/>
          <w:divBdr>
            <w:top w:val="none" w:sz="0" w:space="0" w:color="auto"/>
            <w:left w:val="none" w:sz="0" w:space="0" w:color="auto"/>
            <w:bottom w:val="none" w:sz="0" w:space="0" w:color="auto"/>
            <w:right w:val="none" w:sz="0" w:space="0" w:color="auto"/>
          </w:divBdr>
        </w:div>
        <w:div w:id="1947883624">
          <w:marLeft w:val="0"/>
          <w:marRight w:val="0"/>
          <w:marTop w:val="0"/>
          <w:marBottom w:val="0"/>
          <w:divBdr>
            <w:top w:val="none" w:sz="0" w:space="0" w:color="auto"/>
            <w:left w:val="none" w:sz="0" w:space="0" w:color="auto"/>
            <w:bottom w:val="none" w:sz="0" w:space="0" w:color="auto"/>
            <w:right w:val="none" w:sz="0" w:space="0" w:color="auto"/>
          </w:divBdr>
        </w:div>
        <w:div w:id="495263891">
          <w:marLeft w:val="0"/>
          <w:marRight w:val="0"/>
          <w:marTop w:val="0"/>
          <w:marBottom w:val="0"/>
          <w:divBdr>
            <w:top w:val="none" w:sz="0" w:space="0" w:color="auto"/>
            <w:left w:val="none" w:sz="0" w:space="0" w:color="auto"/>
            <w:bottom w:val="none" w:sz="0" w:space="0" w:color="auto"/>
            <w:right w:val="none" w:sz="0" w:space="0" w:color="auto"/>
          </w:divBdr>
        </w:div>
        <w:div w:id="1086615234">
          <w:marLeft w:val="0"/>
          <w:marRight w:val="0"/>
          <w:marTop w:val="0"/>
          <w:marBottom w:val="0"/>
          <w:divBdr>
            <w:top w:val="none" w:sz="0" w:space="0" w:color="auto"/>
            <w:left w:val="none" w:sz="0" w:space="0" w:color="auto"/>
            <w:bottom w:val="none" w:sz="0" w:space="0" w:color="auto"/>
            <w:right w:val="none" w:sz="0" w:space="0" w:color="auto"/>
          </w:divBdr>
        </w:div>
      </w:divsChild>
    </w:div>
    <w:div w:id="1781753564">
      <w:marLeft w:val="0"/>
      <w:marRight w:val="0"/>
      <w:marTop w:val="120"/>
      <w:marBottom w:val="120"/>
      <w:divBdr>
        <w:top w:val="none" w:sz="0" w:space="0" w:color="auto"/>
        <w:left w:val="none" w:sz="0" w:space="0" w:color="auto"/>
        <w:bottom w:val="none" w:sz="0" w:space="0" w:color="auto"/>
        <w:right w:val="none" w:sz="0" w:space="0" w:color="auto"/>
      </w:divBdr>
    </w:div>
    <w:div w:id="1783456531">
      <w:marLeft w:val="0"/>
      <w:marRight w:val="0"/>
      <w:marTop w:val="0"/>
      <w:marBottom w:val="240"/>
      <w:divBdr>
        <w:top w:val="none" w:sz="0" w:space="0" w:color="auto"/>
        <w:left w:val="none" w:sz="0" w:space="0" w:color="auto"/>
        <w:bottom w:val="none" w:sz="0" w:space="0" w:color="auto"/>
        <w:right w:val="none" w:sz="0" w:space="0" w:color="auto"/>
      </w:divBdr>
    </w:div>
    <w:div w:id="1786849562">
      <w:marLeft w:val="0"/>
      <w:marRight w:val="0"/>
      <w:marTop w:val="0"/>
      <w:marBottom w:val="180"/>
      <w:divBdr>
        <w:top w:val="none" w:sz="0" w:space="0" w:color="auto"/>
        <w:left w:val="none" w:sz="0" w:space="0" w:color="auto"/>
        <w:bottom w:val="none" w:sz="0" w:space="0" w:color="auto"/>
        <w:right w:val="none" w:sz="0" w:space="0" w:color="auto"/>
      </w:divBdr>
    </w:div>
    <w:div w:id="1791782107">
      <w:marLeft w:val="0"/>
      <w:marRight w:val="0"/>
      <w:marTop w:val="0"/>
      <w:marBottom w:val="240"/>
      <w:divBdr>
        <w:top w:val="none" w:sz="0" w:space="0" w:color="auto"/>
        <w:left w:val="none" w:sz="0" w:space="0" w:color="auto"/>
        <w:bottom w:val="none" w:sz="0" w:space="0" w:color="auto"/>
        <w:right w:val="none" w:sz="0" w:space="0" w:color="auto"/>
      </w:divBdr>
    </w:div>
    <w:div w:id="1795246742">
      <w:marLeft w:val="0"/>
      <w:marRight w:val="0"/>
      <w:marTop w:val="180"/>
      <w:marBottom w:val="180"/>
      <w:divBdr>
        <w:top w:val="none" w:sz="0" w:space="0" w:color="auto"/>
        <w:left w:val="none" w:sz="0" w:space="0" w:color="auto"/>
        <w:bottom w:val="none" w:sz="0" w:space="0" w:color="auto"/>
        <w:right w:val="none" w:sz="0" w:space="0" w:color="auto"/>
      </w:divBdr>
    </w:div>
    <w:div w:id="1803572572">
      <w:marLeft w:val="0"/>
      <w:marRight w:val="0"/>
      <w:marTop w:val="0"/>
      <w:marBottom w:val="240"/>
      <w:divBdr>
        <w:top w:val="none" w:sz="0" w:space="0" w:color="auto"/>
        <w:left w:val="none" w:sz="0" w:space="0" w:color="auto"/>
        <w:bottom w:val="none" w:sz="0" w:space="0" w:color="auto"/>
        <w:right w:val="none" w:sz="0" w:space="0" w:color="auto"/>
      </w:divBdr>
    </w:div>
    <w:div w:id="1805344307">
      <w:marLeft w:val="0"/>
      <w:marRight w:val="0"/>
      <w:marTop w:val="120"/>
      <w:marBottom w:val="120"/>
      <w:divBdr>
        <w:top w:val="none" w:sz="0" w:space="0" w:color="auto"/>
        <w:left w:val="none" w:sz="0" w:space="0" w:color="auto"/>
        <w:bottom w:val="none" w:sz="0" w:space="0" w:color="auto"/>
        <w:right w:val="none" w:sz="0" w:space="0" w:color="auto"/>
      </w:divBdr>
    </w:div>
    <w:div w:id="1806895028">
      <w:marLeft w:val="0"/>
      <w:marRight w:val="0"/>
      <w:marTop w:val="0"/>
      <w:marBottom w:val="240"/>
      <w:divBdr>
        <w:top w:val="none" w:sz="0" w:space="0" w:color="auto"/>
        <w:left w:val="none" w:sz="0" w:space="0" w:color="auto"/>
        <w:bottom w:val="none" w:sz="0" w:space="0" w:color="auto"/>
        <w:right w:val="none" w:sz="0" w:space="0" w:color="auto"/>
      </w:divBdr>
    </w:div>
    <w:div w:id="1807157171">
      <w:marLeft w:val="0"/>
      <w:marRight w:val="0"/>
      <w:marTop w:val="0"/>
      <w:marBottom w:val="180"/>
      <w:divBdr>
        <w:top w:val="none" w:sz="0" w:space="0" w:color="auto"/>
        <w:left w:val="none" w:sz="0" w:space="0" w:color="auto"/>
        <w:bottom w:val="none" w:sz="0" w:space="0" w:color="auto"/>
        <w:right w:val="none" w:sz="0" w:space="0" w:color="auto"/>
      </w:divBdr>
    </w:div>
    <w:div w:id="1809201924">
      <w:marLeft w:val="0"/>
      <w:marRight w:val="0"/>
      <w:marTop w:val="0"/>
      <w:marBottom w:val="180"/>
      <w:divBdr>
        <w:top w:val="none" w:sz="0" w:space="0" w:color="auto"/>
        <w:left w:val="none" w:sz="0" w:space="0" w:color="auto"/>
        <w:bottom w:val="none" w:sz="0" w:space="0" w:color="auto"/>
        <w:right w:val="none" w:sz="0" w:space="0" w:color="auto"/>
      </w:divBdr>
    </w:div>
    <w:div w:id="1810320300">
      <w:marLeft w:val="0"/>
      <w:marRight w:val="0"/>
      <w:marTop w:val="0"/>
      <w:marBottom w:val="0"/>
      <w:divBdr>
        <w:top w:val="none" w:sz="0" w:space="0" w:color="auto"/>
        <w:left w:val="none" w:sz="0" w:space="0" w:color="auto"/>
        <w:bottom w:val="none" w:sz="0" w:space="0" w:color="auto"/>
        <w:right w:val="none" w:sz="0" w:space="0" w:color="auto"/>
      </w:divBdr>
    </w:div>
    <w:div w:id="1810708445">
      <w:marLeft w:val="0"/>
      <w:marRight w:val="0"/>
      <w:marTop w:val="0"/>
      <w:marBottom w:val="240"/>
      <w:divBdr>
        <w:top w:val="none" w:sz="0" w:space="0" w:color="auto"/>
        <w:left w:val="none" w:sz="0" w:space="0" w:color="auto"/>
        <w:bottom w:val="none" w:sz="0" w:space="0" w:color="auto"/>
        <w:right w:val="none" w:sz="0" w:space="0" w:color="auto"/>
      </w:divBdr>
    </w:div>
    <w:div w:id="1810901895">
      <w:marLeft w:val="0"/>
      <w:marRight w:val="0"/>
      <w:marTop w:val="0"/>
      <w:marBottom w:val="60"/>
      <w:divBdr>
        <w:top w:val="none" w:sz="0" w:space="0" w:color="auto"/>
        <w:left w:val="none" w:sz="0" w:space="0" w:color="auto"/>
        <w:bottom w:val="none" w:sz="0" w:space="0" w:color="auto"/>
        <w:right w:val="none" w:sz="0" w:space="0" w:color="auto"/>
      </w:divBdr>
    </w:div>
    <w:div w:id="1811097093">
      <w:marLeft w:val="0"/>
      <w:marRight w:val="0"/>
      <w:marTop w:val="0"/>
      <w:marBottom w:val="0"/>
      <w:divBdr>
        <w:top w:val="none" w:sz="0" w:space="0" w:color="auto"/>
        <w:left w:val="none" w:sz="0" w:space="0" w:color="auto"/>
        <w:bottom w:val="none" w:sz="0" w:space="0" w:color="auto"/>
        <w:right w:val="none" w:sz="0" w:space="0" w:color="auto"/>
      </w:divBdr>
      <w:divsChild>
        <w:div w:id="1714842244">
          <w:marLeft w:val="0"/>
          <w:marRight w:val="0"/>
          <w:marTop w:val="0"/>
          <w:marBottom w:val="0"/>
          <w:divBdr>
            <w:top w:val="none" w:sz="0" w:space="0" w:color="auto"/>
            <w:left w:val="none" w:sz="0" w:space="0" w:color="auto"/>
            <w:bottom w:val="none" w:sz="0" w:space="0" w:color="auto"/>
            <w:right w:val="none" w:sz="0" w:space="0" w:color="auto"/>
          </w:divBdr>
        </w:div>
      </w:divsChild>
    </w:div>
    <w:div w:id="1811626084">
      <w:marLeft w:val="0"/>
      <w:marRight w:val="0"/>
      <w:marTop w:val="0"/>
      <w:marBottom w:val="0"/>
      <w:divBdr>
        <w:top w:val="none" w:sz="0" w:space="0" w:color="auto"/>
        <w:left w:val="none" w:sz="0" w:space="0" w:color="auto"/>
        <w:bottom w:val="none" w:sz="0" w:space="0" w:color="auto"/>
        <w:right w:val="none" w:sz="0" w:space="0" w:color="auto"/>
      </w:divBdr>
    </w:div>
    <w:div w:id="1812677308">
      <w:marLeft w:val="0"/>
      <w:marRight w:val="0"/>
      <w:marTop w:val="180"/>
      <w:marBottom w:val="180"/>
      <w:divBdr>
        <w:top w:val="none" w:sz="0" w:space="0" w:color="auto"/>
        <w:left w:val="none" w:sz="0" w:space="0" w:color="auto"/>
        <w:bottom w:val="none" w:sz="0" w:space="0" w:color="auto"/>
        <w:right w:val="none" w:sz="0" w:space="0" w:color="auto"/>
      </w:divBdr>
    </w:div>
    <w:div w:id="1812862600">
      <w:marLeft w:val="0"/>
      <w:marRight w:val="0"/>
      <w:marTop w:val="0"/>
      <w:marBottom w:val="180"/>
      <w:divBdr>
        <w:top w:val="none" w:sz="0" w:space="0" w:color="auto"/>
        <w:left w:val="none" w:sz="0" w:space="0" w:color="auto"/>
        <w:bottom w:val="none" w:sz="0" w:space="0" w:color="auto"/>
        <w:right w:val="none" w:sz="0" w:space="0" w:color="auto"/>
      </w:divBdr>
    </w:div>
    <w:div w:id="1815678041">
      <w:marLeft w:val="0"/>
      <w:marRight w:val="0"/>
      <w:marTop w:val="0"/>
      <w:marBottom w:val="180"/>
      <w:divBdr>
        <w:top w:val="none" w:sz="0" w:space="0" w:color="auto"/>
        <w:left w:val="none" w:sz="0" w:space="0" w:color="auto"/>
        <w:bottom w:val="none" w:sz="0" w:space="0" w:color="auto"/>
        <w:right w:val="none" w:sz="0" w:space="0" w:color="auto"/>
      </w:divBdr>
    </w:div>
    <w:div w:id="1821993975">
      <w:marLeft w:val="0"/>
      <w:marRight w:val="0"/>
      <w:marTop w:val="0"/>
      <w:marBottom w:val="180"/>
      <w:divBdr>
        <w:top w:val="none" w:sz="0" w:space="0" w:color="auto"/>
        <w:left w:val="none" w:sz="0" w:space="0" w:color="auto"/>
        <w:bottom w:val="none" w:sz="0" w:space="0" w:color="auto"/>
        <w:right w:val="none" w:sz="0" w:space="0" w:color="auto"/>
      </w:divBdr>
    </w:div>
    <w:div w:id="1822966025">
      <w:marLeft w:val="0"/>
      <w:marRight w:val="0"/>
      <w:marTop w:val="180"/>
      <w:marBottom w:val="180"/>
      <w:divBdr>
        <w:top w:val="none" w:sz="0" w:space="0" w:color="auto"/>
        <w:left w:val="none" w:sz="0" w:space="0" w:color="auto"/>
        <w:bottom w:val="none" w:sz="0" w:space="0" w:color="auto"/>
        <w:right w:val="none" w:sz="0" w:space="0" w:color="auto"/>
      </w:divBdr>
    </w:div>
    <w:div w:id="1825126495">
      <w:marLeft w:val="0"/>
      <w:marRight w:val="0"/>
      <w:marTop w:val="100"/>
      <w:marBottom w:val="100"/>
      <w:divBdr>
        <w:top w:val="none" w:sz="0" w:space="0" w:color="auto"/>
        <w:left w:val="none" w:sz="0" w:space="0" w:color="auto"/>
        <w:bottom w:val="none" w:sz="0" w:space="0" w:color="auto"/>
        <w:right w:val="none" w:sz="0" w:space="0" w:color="auto"/>
      </w:divBdr>
    </w:div>
    <w:div w:id="1825856141">
      <w:marLeft w:val="0"/>
      <w:marRight w:val="0"/>
      <w:marTop w:val="120"/>
      <w:marBottom w:val="120"/>
      <w:divBdr>
        <w:top w:val="none" w:sz="0" w:space="0" w:color="auto"/>
        <w:left w:val="none" w:sz="0" w:space="0" w:color="auto"/>
        <w:bottom w:val="none" w:sz="0" w:space="0" w:color="auto"/>
        <w:right w:val="none" w:sz="0" w:space="0" w:color="auto"/>
      </w:divBdr>
    </w:div>
    <w:div w:id="1829469089">
      <w:marLeft w:val="0"/>
      <w:marRight w:val="0"/>
      <w:marTop w:val="0"/>
      <w:marBottom w:val="0"/>
      <w:divBdr>
        <w:top w:val="none" w:sz="0" w:space="0" w:color="auto"/>
        <w:left w:val="none" w:sz="0" w:space="0" w:color="auto"/>
        <w:bottom w:val="none" w:sz="0" w:space="0" w:color="auto"/>
        <w:right w:val="none" w:sz="0" w:space="0" w:color="auto"/>
      </w:divBdr>
    </w:div>
    <w:div w:id="1831365687">
      <w:marLeft w:val="0"/>
      <w:marRight w:val="0"/>
      <w:marTop w:val="0"/>
      <w:marBottom w:val="0"/>
      <w:divBdr>
        <w:top w:val="none" w:sz="0" w:space="0" w:color="auto"/>
        <w:left w:val="none" w:sz="0" w:space="0" w:color="auto"/>
        <w:bottom w:val="none" w:sz="0" w:space="0" w:color="auto"/>
        <w:right w:val="none" w:sz="0" w:space="0" w:color="auto"/>
      </w:divBdr>
    </w:div>
    <w:div w:id="1833332557">
      <w:marLeft w:val="0"/>
      <w:marRight w:val="0"/>
      <w:marTop w:val="120"/>
      <w:marBottom w:val="120"/>
      <w:divBdr>
        <w:top w:val="none" w:sz="0" w:space="0" w:color="auto"/>
        <w:left w:val="none" w:sz="0" w:space="0" w:color="auto"/>
        <w:bottom w:val="none" w:sz="0" w:space="0" w:color="auto"/>
        <w:right w:val="none" w:sz="0" w:space="0" w:color="auto"/>
      </w:divBdr>
    </w:div>
    <w:div w:id="1833794060">
      <w:marLeft w:val="0"/>
      <w:marRight w:val="0"/>
      <w:marTop w:val="0"/>
      <w:marBottom w:val="240"/>
      <w:divBdr>
        <w:top w:val="none" w:sz="0" w:space="0" w:color="auto"/>
        <w:left w:val="none" w:sz="0" w:space="0" w:color="auto"/>
        <w:bottom w:val="none" w:sz="0" w:space="0" w:color="auto"/>
        <w:right w:val="none" w:sz="0" w:space="0" w:color="auto"/>
      </w:divBdr>
    </w:div>
    <w:div w:id="1834831493">
      <w:marLeft w:val="0"/>
      <w:marRight w:val="0"/>
      <w:marTop w:val="0"/>
      <w:marBottom w:val="0"/>
      <w:divBdr>
        <w:top w:val="none" w:sz="0" w:space="0" w:color="auto"/>
        <w:left w:val="none" w:sz="0" w:space="0" w:color="auto"/>
        <w:bottom w:val="none" w:sz="0" w:space="0" w:color="auto"/>
        <w:right w:val="none" w:sz="0" w:space="0" w:color="auto"/>
      </w:divBdr>
    </w:div>
    <w:div w:id="1835680639">
      <w:marLeft w:val="0"/>
      <w:marRight w:val="0"/>
      <w:marTop w:val="120"/>
      <w:marBottom w:val="180"/>
      <w:divBdr>
        <w:top w:val="none" w:sz="0" w:space="0" w:color="auto"/>
        <w:left w:val="none" w:sz="0" w:space="0" w:color="auto"/>
        <w:bottom w:val="none" w:sz="0" w:space="0" w:color="auto"/>
        <w:right w:val="none" w:sz="0" w:space="0" w:color="auto"/>
      </w:divBdr>
    </w:div>
    <w:div w:id="1835991885">
      <w:marLeft w:val="0"/>
      <w:marRight w:val="0"/>
      <w:marTop w:val="0"/>
      <w:marBottom w:val="240"/>
      <w:divBdr>
        <w:top w:val="none" w:sz="0" w:space="0" w:color="auto"/>
        <w:left w:val="none" w:sz="0" w:space="0" w:color="auto"/>
        <w:bottom w:val="none" w:sz="0" w:space="0" w:color="auto"/>
        <w:right w:val="none" w:sz="0" w:space="0" w:color="auto"/>
      </w:divBdr>
    </w:div>
    <w:div w:id="1836267067">
      <w:marLeft w:val="0"/>
      <w:marRight w:val="0"/>
      <w:marTop w:val="0"/>
      <w:marBottom w:val="240"/>
      <w:divBdr>
        <w:top w:val="none" w:sz="0" w:space="0" w:color="auto"/>
        <w:left w:val="none" w:sz="0" w:space="0" w:color="auto"/>
        <w:bottom w:val="none" w:sz="0" w:space="0" w:color="auto"/>
        <w:right w:val="none" w:sz="0" w:space="0" w:color="auto"/>
      </w:divBdr>
    </w:div>
    <w:div w:id="1838305142">
      <w:marLeft w:val="0"/>
      <w:marRight w:val="0"/>
      <w:marTop w:val="0"/>
      <w:marBottom w:val="240"/>
      <w:divBdr>
        <w:top w:val="none" w:sz="0" w:space="0" w:color="auto"/>
        <w:left w:val="none" w:sz="0" w:space="0" w:color="auto"/>
        <w:bottom w:val="none" w:sz="0" w:space="0" w:color="auto"/>
        <w:right w:val="none" w:sz="0" w:space="0" w:color="auto"/>
      </w:divBdr>
    </w:div>
    <w:div w:id="1838378927">
      <w:marLeft w:val="0"/>
      <w:marRight w:val="0"/>
      <w:marTop w:val="0"/>
      <w:marBottom w:val="0"/>
      <w:divBdr>
        <w:top w:val="none" w:sz="0" w:space="0" w:color="auto"/>
        <w:left w:val="none" w:sz="0" w:space="0" w:color="auto"/>
        <w:bottom w:val="none" w:sz="0" w:space="0" w:color="auto"/>
        <w:right w:val="none" w:sz="0" w:space="0" w:color="auto"/>
      </w:divBdr>
      <w:divsChild>
        <w:div w:id="2097439046">
          <w:marLeft w:val="0"/>
          <w:marRight w:val="0"/>
          <w:marTop w:val="0"/>
          <w:marBottom w:val="0"/>
          <w:divBdr>
            <w:top w:val="none" w:sz="0" w:space="0" w:color="auto"/>
            <w:left w:val="none" w:sz="0" w:space="0" w:color="auto"/>
            <w:bottom w:val="none" w:sz="0" w:space="0" w:color="auto"/>
            <w:right w:val="none" w:sz="0" w:space="0" w:color="auto"/>
          </w:divBdr>
        </w:div>
      </w:divsChild>
    </w:div>
    <w:div w:id="1838810634">
      <w:marLeft w:val="0"/>
      <w:marRight w:val="0"/>
      <w:marTop w:val="0"/>
      <w:marBottom w:val="180"/>
      <w:divBdr>
        <w:top w:val="none" w:sz="0" w:space="0" w:color="auto"/>
        <w:left w:val="none" w:sz="0" w:space="0" w:color="auto"/>
        <w:bottom w:val="none" w:sz="0" w:space="0" w:color="auto"/>
        <w:right w:val="none" w:sz="0" w:space="0" w:color="auto"/>
      </w:divBdr>
    </w:div>
    <w:div w:id="1839731426">
      <w:marLeft w:val="0"/>
      <w:marRight w:val="0"/>
      <w:marTop w:val="0"/>
      <w:marBottom w:val="0"/>
      <w:divBdr>
        <w:top w:val="none" w:sz="0" w:space="0" w:color="auto"/>
        <w:left w:val="none" w:sz="0" w:space="0" w:color="auto"/>
        <w:bottom w:val="none" w:sz="0" w:space="0" w:color="auto"/>
        <w:right w:val="none" w:sz="0" w:space="0" w:color="auto"/>
      </w:divBdr>
      <w:divsChild>
        <w:div w:id="1691878583">
          <w:marLeft w:val="0"/>
          <w:marRight w:val="0"/>
          <w:marTop w:val="0"/>
          <w:marBottom w:val="0"/>
          <w:divBdr>
            <w:top w:val="none" w:sz="0" w:space="0" w:color="auto"/>
            <w:left w:val="none" w:sz="0" w:space="0" w:color="auto"/>
            <w:bottom w:val="none" w:sz="0" w:space="0" w:color="auto"/>
            <w:right w:val="none" w:sz="0" w:space="0" w:color="auto"/>
          </w:divBdr>
        </w:div>
      </w:divsChild>
    </w:div>
    <w:div w:id="1840659785">
      <w:marLeft w:val="0"/>
      <w:marRight w:val="0"/>
      <w:marTop w:val="120"/>
      <w:marBottom w:val="120"/>
      <w:divBdr>
        <w:top w:val="none" w:sz="0" w:space="0" w:color="auto"/>
        <w:left w:val="none" w:sz="0" w:space="0" w:color="auto"/>
        <w:bottom w:val="none" w:sz="0" w:space="0" w:color="auto"/>
        <w:right w:val="none" w:sz="0" w:space="0" w:color="auto"/>
      </w:divBdr>
    </w:div>
    <w:div w:id="1840928861">
      <w:marLeft w:val="0"/>
      <w:marRight w:val="0"/>
      <w:marTop w:val="0"/>
      <w:marBottom w:val="240"/>
      <w:divBdr>
        <w:top w:val="none" w:sz="0" w:space="0" w:color="auto"/>
        <w:left w:val="none" w:sz="0" w:space="0" w:color="auto"/>
        <w:bottom w:val="none" w:sz="0" w:space="0" w:color="auto"/>
        <w:right w:val="none" w:sz="0" w:space="0" w:color="auto"/>
      </w:divBdr>
    </w:div>
    <w:div w:id="1842890795">
      <w:marLeft w:val="0"/>
      <w:marRight w:val="0"/>
      <w:marTop w:val="120"/>
      <w:marBottom w:val="240"/>
      <w:divBdr>
        <w:top w:val="none" w:sz="0" w:space="0" w:color="auto"/>
        <w:left w:val="none" w:sz="0" w:space="0" w:color="auto"/>
        <w:bottom w:val="none" w:sz="0" w:space="0" w:color="auto"/>
        <w:right w:val="none" w:sz="0" w:space="0" w:color="auto"/>
      </w:divBdr>
    </w:div>
    <w:div w:id="1844516774">
      <w:marLeft w:val="0"/>
      <w:marRight w:val="0"/>
      <w:marTop w:val="0"/>
      <w:marBottom w:val="240"/>
      <w:divBdr>
        <w:top w:val="none" w:sz="0" w:space="0" w:color="auto"/>
        <w:left w:val="none" w:sz="0" w:space="0" w:color="auto"/>
        <w:bottom w:val="none" w:sz="0" w:space="0" w:color="auto"/>
        <w:right w:val="none" w:sz="0" w:space="0" w:color="auto"/>
      </w:divBdr>
    </w:div>
    <w:div w:id="1845049139">
      <w:marLeft w:val="0"/>
      <w:marRight w:val="0"/>
      <w:marTop w:val="0"/>
      <w:marBottom w:val="60"/>
      <w:divBdr>
        <w:top w:val="none" w:sz="0" w:space="0" w:color="auto"/>
        <w:left w:val="none" w:sz="0" w:space="0" w:color="auto"/>
        <w:bottom w:val="none" w:sz="0" w:space="0" w:color="auto"/>
        <w:right w:val="none" w:sz="0" w:space="0" w:color="auto"/>
      </w:divBdr>
    </w:div>
    <w:div w:id="1845196637">
      <w:marLeft w:val="0"/>
      <w:marRight w:val="0"/>
      <w:marTop w:val="0"/>
      <w:marBottom w:val="0"/>
      <w:divBdr>
        <w:top w:val="none" w:sz="0" w:space="0" w:color="auto"/>
        <w:left w:val="none" w:sz="0" w:space="0" w:color="auto"/>
        <w:bottom w:val="none" w:sz="0" w:space="0" w:color="auto"/>
        <w:right w:val="none" w:sz="0" w:space="0" w:color="auto"/>
      </w:divBdr>
      <w:divsChild>
        <w:div w:id="1951281809">
          <w:marLeft w:val="0"/>
          <w:marRight w:val="0"/>
          <w:marTop w:val="0"/>
          <w:marBottom w:val="0"/>
          <w:divBdr>
            <w:top w:val="none" w:sz="0" w:space="0" w:color="auto"/>
            <w:left w:val="none" w:sz="0" w:space="0" w:color="auto"/>
            <w:bottom w:val="none" w:sz="0" w:space="0" w:color="auto"/>
            <w:right w:val="none" w:sz="0" w:space="0" w:color="auto"/>
          </w:divBdr>
        </w:div>
      </w:divsChild>
    </w:div>
    <w:div w:id="1846019563">
      <w:marLeft w:val="0"/>
      <w:marRight w:val="0"/>
      <w:marTop w:val="180"/>
      <w:marBottom w:val="180"/>
      <w:divBdr>
        <w:top w:val="none" w:sz="0" w:space="0" w:color="auto"/>
        <w:left w:val="none" w:sz="0" w:space="0" w:color="auto"/>
        <w:bottom w:val="none" w:sz="0" w:space="0" w:color="auto"/>
        <w:right w:val="none" w:sz="0" w:space="0" w:color="auto"/>
      </w:divBdr>
    </w:div>
    <w:div w:id="1847019878">
      <w:marLeft w:val="0"/>
      <w:marRight w:val="0"/>
      <w:marTop w:val="0"/>
      <w:marBottom w:val="180"/>
      <w:divBdr>
        <w:top w:val="none" w:sz="0" w:space="0" w:color="auto"/>
        <w:left w:val="none" w:sz="0" w:space="0" w:color="auto"/>
        <w:bottom w:val="none" w:sz="0" w:space="0" w:color="auto"/>
        <w:right w:val="none" w:sz="0" w:space="0" w:color="auto"/>
      </w:divBdr>
    </w:div>
    <w:div w:id="1847019969">
      <w:marLeft w:val="0"/>
      <w:marRight w:val="0"/>
      <w:marTop w:val="0"/>
      <w:marBottom w:val="0"/>
      <w:divBdr>
        <w:top w:val="none" w:sz="0" w:space="0" w:color="auto"/>
        <w:left w:val="none" w:sz="0" w:space="0" w:color="auto"/>
        <w:bottom w:val="none" w:sz="0" w:space="0" w:color="auto"/>
        <w:right w:val="none" w:sz="0" w:space="0" w:color="auto"/>
      </w:divBdr>
    </w:div>
    <w:div w:id="1848909735">
      <w:marLeft w:val="0"/>
      <w:marRight w:val="0"/>
      <w:marTop w:val="180"/>
      <w:marBottom w:val="180"/>
      <w:divBdr>
        <w:top w:val="none" w:sz="0" w:space="0" w:color="auto"/>
        <w:left w:val="none" w:sz="0" w:space="0" w:color="auto"/>
        <w:bottom w:val="none" w:sz="0" w:space="0" w:color="auto"/>
        <w:right w:val="none" w:sz="0" w:space="0" w:color="auto"/>
      </w:divBdr>
    </w:div>
    <w:div w:id="1851214847">
      <w:marLeft w:val="0"/>
      <w:marRight w:val="0"/>
      <w:marTop w:val="0"/>
      <w:marBottom w:val="180"/>
      <w:divBdr>
        <w:top w:val="none" w:sz="0" w:space="0" w:color="auto"/>
        <w:left w:val="none" w:sz="0" w:space="0" w:color="auto"/>
        <w:bottom w:val="none" w:sz="0" w:space="0" w:color="auto"/>
        <w:right w:val="none" w:sz="0" w:space="0" w:color="auto"/>
      </w:divBdr>
    </w:div>
    <w:div w:id="1853913448">
      <w:marLeft w:val="0"/>
      <w:marRight w:val="0"/>
      <w:marTop w:val="0"/>
      <w:marBottom w:val="180"/>
      <w:divBdr>
        <w:top w:val="none" w:sz="0" w:space="0" w:color="auto"/>
        <w:left w:val="none" w:sz="0" w:space="0" w:color="auto"/>
        <w:bottom w:val="none" w:sz="0" w:space="0" w:color="auto"/>
        <w:right w:val="none" w:sz="0" w:space="0" w:color="auto"/>
      </w:divBdr>
    </w:div>
    <w:div w:id="1854294901">
      <w:marLeft w:val="0"/>
      <w:marRight w:val="0"/>
      <w:marTop w:val="0"/>
      <w:marBottom w:val="60"/>
      <w:divBdr>
        <w:top w:val="none" w:sz="0" w:space="0" w:color="auto"/>
        <w:left w:val="none" w:sz="0" w:space="0" w:color="auto"/>
        <w:bottom w:val="none" w:sz="0" w:space="0" w:color="auto"/>
        <w:right w:val="none" w:sz="0" w:space="0" w:color="auto"/>
      </w:divBdr>
    </w:div>
    <w:div w:id="1854565330">
      <w:marLeft w:val="0"/>
      <w:marRight w:val="0"/>
      <w:marTop w:val="0"/>
      <w:marBottom w:val="240"/>
      <w:divBdr>
        <w:top w:val="none" w:sz="0" w:space="0" w:color="auto"/>
        <w:left w:val="none" w:sz="0" w:space="0" w:color="auto"/>
        <w:bottom w:val="none" w:sz="0" w:space="0" w:color="auto"/>
        <w:right w:val="none" w:sz="0" w:space="0" w:color="auto"/>
      </w:divBdr>
    </w:div>
    <w:div w:id="1854957573">
      <w:marLeft w:val="0"/>
      <w:marRight w:val="0"/>
      <w:marTop w:val="180"/>
      <w:marBottom w:val="180"/>
      <w:divBdr>
        <w:top w:val="none" w:sz="0" w:space="0" w:color="auto"/>
        <w:left w:val="none" w:sz="0" w:space="0" w:color="auto"/>
        <w:bottom w:val="none" w:sz="0" w:space="0" w:color="auto"/>
        <w:right w:val="none" w:sz="0" w:space="0" w:color="auto"/>
      </w:divBdr>
    </w:div>
    <w:div w:id="1854999602">
      <w:marLeft w:val="0"/>
      <w:marRight w:val="0"/>
      <w:marTop w:val="180"/>
      <w:marBottom w:val="180"/>
      <w:divBdr>
        <w:top w:val="none" w:sz="0" w:space="0" w:color="auto"/>
        <w:left w:val="none" w:sz="0" w:space="0" w:color="auto"/>
        <w:bottom w:val="none" w:sz="0" w:space="0" w:color="auto"/>
        <w:right w:val="none" w:sz="0" w:space="0" w:color="auto"/>
      </w:divBdr>
    </w:div>
    <w:div w:id="1855538532">
      <w:marLeft w:val="0"/>
      <w:marRight w:val="0"/>
      <w:marTop w:val="0"/>
      <w:marBottom w:val="180"/>
      <w:divBdr>
        <w:top w:val="none" w:sz="0" w:space="0" w:color="auto"/>
        <w:left w:val="none" w:sz="0" w:space="0" w:color="auto"/>
        <w:bottom w:val="none" w:sz="0" w:space="0" w:color="auto"/>
        <w:right w:val="none" w:sz="0" w:space="0" w:color="auto"/>
      </w:divBdr>
    </w:div>
    <w:div w:id="1860271475">
      <w:marLeft w:val="0"/>
      <w:marRight w:val="0"/>
      <w:marTop w:val="0"/>
      <w:marBottom w:val="240"/>
      <w:divBdr>
        <w:top w:val="none" w:sz="0" w:space="0" w:color="auto"/>
        <w:left w:val="none" w:sz="0" w:space="0" w:color="auto"/>
        <w:bottom w:val="none" w:sz="0" w:space="0" w:color="auto"/>
        <w:right w:val="none" w:sz="0" w:space="0" w:color="auto"/>
      </w:divBdr>
    </w:div>
    <w:div w:id="1861237457">
      <w:marLeft w:val="0"/>
      <w:marRight w:val="0"/>
      <w:marTop w:val="0"/>
      <w:marBottom w:val="240"/>
      <w:divBdr>
        <w:top w:val="none" w:sz="0" w:space="0" w:color="auto"/>
        <w:left w:val="none" w:sz="0" w:space="0" w:color="auto"/>
        <w:bottom w:val="none" w:sz="0" w:space="0" w:color="auto"/>
        <w:right w:val="none" w:sz="0" w:space="0" w:color="auto"/>
      </w:divBdr>
    </w:div>
    <w:div w:id="1861578704">
      <w:marLeft w:val="0"/>
      <w:marRight w:val="0"/>
      <w:marTop w:val="0"/>
      <w:marBottom w:val="0"/>
      <w:divBdr>
        <w:top w:val="none" w:sz="0" w:space="0" w:color="auto"/>
        <w:left w:val="none" w:sz="0" w:space="0" w:color="auto"/>
        <w:bottom w:val="none" w:sz="0" w:space="0" w:color="auto"/>
        <w:right w:val="none" w:sz="0" w:space="0" w:color="auto"/>
      </w:divBdr>
      <w:divsChild>
        <w:div w:id="677657450">
          <w:marLeft w:val="0"/>
          <w:marRight w:val="0"/>
          <w:marTop w:val="0"/>
          <w:marBottom w:val="0"/>
          <w:divBdr>
            <w:top w:val="none" w:sz="0" w:space="0" w:color="auto"/>
            <w:left w:val="none" w:sz="0" w:space="0" w:color="auto"/>
            <w:bottom w:val="none" w:sz="0" w:space="0" w:color="auto"/>
            <w:right w:val="none" w:sz="0" w:space="0" w:color="auto"/>
          </w:divBdr>
        </w:div>
      </w:divsChild>
    </w:div>
    <w:div w:id="1863276674">
      <w:marLeft w:val="0"/>
      <w:marRight w:val="0"/>
      <w:marTop w:val="0"/>
      <w:marBottom w:val="240"/>
      <w:divBdr>
        <w:top w:val="none" w:sz="0" w:space="0" w:color="auto"/>
        <w:left w:val="none" w:sz="0" w:space="0" w:color="auto"/>
        <w:bottom w:val="none" w:sz="0" w:space="0" w:color="auto"/>
        <w:right w:val="none" w:sz="0" w:space="0" w:color="auto"/>
      </w:divBdr>
    </w:div>
    <w:div w:id="1863278782">
      <w:marLeft w:val="0"/>
      <w:marRight w:val="0"/>
      <w:marTop w:val="0"/>
      <w:marBottom w:val="0"/>
      <w:divBdr>
        <w:top w:val="none" w:sz="0" w:space="0" w:color="auto"/>
        <w:left w:val="none" w:sz="0" w:space="0" w:color="auto"/>
        <w:bottom w:val="none" w:sz="0" w:space="0" w:color="auto"/>
        <w:right w:val="none" w:sz="0" w:space="0" w:color="auto"/>
      </w:divBdr>
    </w:div>
    <w:div w:id="1864324849">
      <w:marLeft w:val="0"/>
      <w:marRight w:val="0"/>
      <w:marTop w:val="0"/>
      <w:marBottom w:val="180"/>
      <w:divBdr>
        <w:top w:val="none" w:sz="0" w:space="0" w:color="auto"/>
        <w:left w:val="none" w:sz="0" w:space="0" w:color="auto"/>
        <w:bottom w:val="none" w:sz="0" w:space="0" w:color="auto"/>
        <w:right w:val="none" w:sz="0" w:space="0" w:color="auto"/>
      </w:divBdr>
    </w:div>
    <w:div w:id="1864854194">
      <w:marLeft w:val="0"/>
      <w:marRight w:val="0"/>
      <w:marTop w:val="0"/>
      <w:marBottom w:val="0"/>
      <w:divBdr>
        <w:top w:val="none" w:sz="0" w:space="0" w:color="auto"/>
        <w:left w:val="none" w:sz="0" w:space="0" w:color="auto"/>
        <w:bottom w:val="none" w:sz="0" w:space="0" w:color="auto"/>
        <w:right w:val="none" w:sz="0" w:space="0" w:color="auto"/>
      </w:divBdr>
    </w:div>
    <w:div w:id="1865286845">
      <w:marLeft w:val="0"/>
      <w:marRight w:val="0"/>
      <w:marTop w:val="0"/>
      <w:marBottom w:val="0"/>
      <w:divBdr>
        <w:top w:val="none" w:sz="0" w:space="0" w:color="auto"/>
        <w:left w:val="none" w:sz="0" w:space="0" w:color="auto"/>
        <w:bottom w:val="none" w:sz="0" w:space="0" w:color="auto"/>
        <w:right w:val="none" w:sz="0" w:space="0" w:color="auto"/>
      </w:divBdr>
      <w:divsChild>
        <w:div w:id="1802534780">
          <w:marLeft w:val="0"/>
          <w:marRight w:val="0"/>
          <w:marTop w:val="0"/>
          <w:marBottom w:val="0"/>
          <w:divBdr>
            <w:top w:val="none" w:sz="0" w:space="0" w:color="auto"/>
            <w:left w:val="none" w:sz="0" w:space="0" w:color="auto"/>
            <w:bottom w:val="none" w:sz="0" w:space="0" w:color="auto"/>
            <w:right w:val="none" w:sz="0" w:space="0" w:color="auto"/>
          </w:divBdr>
        </w:div>
      </w:divsChild>
    </w:div>
    <w:div w:id="1866360591">
      <w:marLeft w:val="0"/>
      <w:marRight w:val="0"/>
      <w:marTop w:val="100"/>
      <w:marBottom w:val="100"/>
      <w:divBdr>
        <w:top w:val="none" w:sz="0" w:space="0" w:color="auto"/>
        <w:left w:val="none" w:sz="0" w:space="0" w:color="auto"/>
        <w:bottom w:val="none" w:sz="0" w:space="0" w:color="auto"/>
        <w:right w:val="none" w:sz="0" w:space="0" w:color="auto"/>
      </w:divBdr>
    </w:div>
    <w:div w:id="1867214598">
      <w:marLeft w:val="0"/>
      <w:marRight w:val="0"/>
      <w:marTop w:val="180"/>
      <w:marBottom w:val="180"/>
      <w:divBdr>
        <w:top w:val="none" w:sz="0" w:space="0" w:color="auto"/>
        <w:left w:val="none" w:sz="0" w:space="0" w:color="auto"/>
        <w:bottom w:val="none" w:sz="0" w:space="0" w:color="auto"/>
        <w:right w:val="none" w:sz="0" w:space="0" w:color="auto"/>
      </w:divBdr>
    </w:div>
    <w:div w:id="1867674896">
      <w:marLeft w:val="0"/>
      <w:marRight w:val="0"/>
      <w:marTop w:val="0"/>
      <w:marBottom w:val="0"/>
      <w:divBdr>
        <w:top w:val="none" w:sz="0" w:space="0" w:color="auto"/>
        <w:left w:val="none" w:sz="0" w:space="0" w:color="auto"/>
        <w:bottom w:val="none" w:sz="0" w:space="0" w:color="auto"/>
        <w:right w:val="none" w:sz="0" w:space="0" w:color="auto"/>
      </w:divBdr>
    </w:div>
    <w:div w:id="1867979985">
      <w:marLeft w:val="0"/>
      <w:marRight w:val="0"/>
      <w:marTop w:val="0"/>
      <w:marBottom w:val="240"/>
      <w:divBdr>
        <w:top w:val="none" w:sz="0" w:space="0" w:color="auto"/>
        <w:left w:val="none" w:sz="0" w:space="0" w:color="auto"/>
        <w:bottom w:val="none" w:sz="0" w:space="0" w:color="auto"/>
        <w:right w:val="none" w:sz="0" w:space="0" w:color="auto"/>
      </w:divBdr>
    </w:div>
    <w:div w:id="1868251369">
      <w:marLeft w:val="0"/>
      <w:marRight w:val="0"/>
      <w:marTop w:val="100"/>
      <w:marBottom w:val="220"/>
      <w:divBdr>
        <w:top w:val="none" w:sz="0" w:space="0" w:color="auto"/>
        <w:left w:val="none" w:sz="0" w:space="0" w:color="auto"/>
        <w:bottom w:val="none" w:sz="0" w:space="0" w:color="auto"/>
        <w:right w:val="none" w:sz="0" w:space="0" w:color="auto"/>
      </w:divBdr>
      <w:divsChild>
        <w:div w:id="458188557">
          <w:marLeft w:val="0"/>
          <w:marRight w:val="0"/>
          <w:marTop w:val="0"/>
          <w:marBottom w:val="0"/>
          <w:divBdr>
            <w:top w:val="none" w:sz="0" w:space="0" w:color="auto"/>
            <w:left w:val="none" w:sz="0" w:space="0" w:color="auto"/>
            <w:bottom w:val="none" w:sz="0" w:space="0" w:color="auto"/>
            <w:right w:val="none" w:sz="0" w:space="0" w:color="auto"/>
          </w:divBdr>
        </w:div>
        <w:div w:id="138351535">
          <w:marLeft w:val="0"/>
          <w:marRight w:val="0"/>
          <w:marTop w:val="0"/>
          <w:marBottom w:val="0"/>
          <w:divBdr>
            <w:top w:val="none" w:sz="0" w:space="0" w:color="auto"/>
            <w:left w:val="none" w:sz="0" w:space="0" w:color="auto"/>
            <w:bottom w:val="none" w:sz="0" w:space="0" w:color="auto"/>
            <w:right w:val="none" w:sz="0" w:space="0" w:color="auto"/>
          </w:divBdr>
        </w:div>
        <w:div w:id="810170453">
          <w:marLeft w:val="0"/>
          <w:marRight w:val="0"/>
          <w:marTop w:val="0"/>
          <w:marBottom w:val="0"/>
          <w:divBdr>
            <w:top w:val="none" w:sz="0" w:space="0" w:color="auto"/>
            <w:left w:val="none" w:sz="0" w:space="0" w:color="auto"/>
            <w:bottom w:val="none" w:sz="0" w:space="0" w:color="auto"/>
            <w:right w:val="none" w:sz="0" w:space="0" w:color="auto"/>
          </w:divBdr>
        </w:div>
        <w:div w:id="928657743">
          <w:marLeft w:val="0"/>
          <w:marRight w:val="0"/>
          <w:marTop w:val="0"/>
          <w:marBottom w:val="0"/>
          <w:divBdr>
            <w:top w:val="none" w:sz="0" w:space="0" w:color="auto"/>
            <w:left w:val="none" w:sz="0" w:space="0" w:color="auto"/>
            <w:bottom w:val="none" w:sz="0" w:space="0" w:color="auto"/>
            <w:right w:val="none" w:sz="0" w:space="0" w:color="auto"/>
          </w:divBdr>
        </w:div>
      </w:divsChild>
    </w:div>
    <w:div w:id="1871186517">
      <w:marLeft w:val="0"/>
      <w:marRight w:val="0"/>
      <w:marTop w:val="0"/>
      <w:marBottom w:val="0"/>
      <w:divBdr>
        <w:top w:val="none" w:sz="0" w:space="0" w:color="auto"/>
        <w:left w:val="none" w:sz="0" w:space="0" w:color="auto"/>
        <w:bottom w:val="none" w:sz="0" w:space="0" w:color="auto"/>
        <w:right w:val="none" w:sz="0" w:space="0" w:color="auto"/>
      </w:divBdr>
    </w:div>
    <w:div w:id="1871409631">
      <w:marLeft w:val="0"/>
      <w:marRight w:val="0"/>
      <w:marTop w:val="0"/>
      <w:marBottom w:val="0"/>
      <w:divBdr>
        <w:top w:val="none" w:sz="0" w:space="0" w:color="auto"/>
        <w:left w:val="none" w:sz="0" w:space="0" w:color="auto"/>
        <w:bottom w:val="none" w:sz="0" w:space="0" w:color="auto"/>
        <w:right w:val="none" w:sz="0" w:space="0" w:color="auto"/>
      </w:divBdr>
    </w:div>
    <w:div w:id="1877155037">
      <w:marLeft w:val="0"/>
      <w:marRight w:val="0"/>
      <w:marTop w:val="0"/>
      <w:marBottom w:val="0"/>
      <w:divBdr>
        <w:top w:val="none" w:sz="0" w:space="0" w:color="auto"/>
        <w:left w:val="none" w:sz="0" w:space="0" w:color="auto"/>
        <w:bottom w:val="none" w:sz="0" w:space="0" w:color="auto"/>
        <w:right w:val="none" w:sz="0" w:space="0" w:color="auto"/>
      </w:divBdr>
    </w:div>
    <w:div w:id="1878736014">
      <w:marLeft w:val="0"/>
      <w:marRight w:val="0"/>
      <w:marTop w:val="120"/>
      <w:marBottom w:val="240"/>
      <w:divBdr>
        <w:top w:val="none" w:sz="0" w:space="0" w:color="auto"/>
        <w:left w:val="none" w:sz="0" w:space="0" w:color="auto"/>
        <w:bottom w:val="none" w:sz="0" w:space="0" w:color="auto"/>
        <w:right w:val="none" w:sz="0" w:space="0" w:color="auto"/>
      </w:divBdr>
    </w:div>
    <w:div w:id="1883322423">
      <w:marLeft w:val="0"/>
      <w:marRight w:val="0"/>
      <w:marTop w:val="0"/>
      <w:marBottom w:val="240"/>
      <w:divBdr>
        <w:top w:val="none" w:sz="0" w:space="0" w:color="auto"/>
        <w:left w:val="none" w:sz="0" w:space="0" w:color="auto"/>
        <w:bottom w:val="none" w:sz="0" w:space="0" w:color="auto"/>
        <w:right w:val="none" w:sz="0" w:space="0" w:color="auto"/>
      </w:divBdr>
    </w:div>
    <w:div w:id="1884050735">
      <w:marLeft w:val="0"/>
      <w:marRight w:val="0"/>
      <w:marTop w:val="120"/>
      <w:marBottom w:val="180"/>
      <w:divBdr>
        <w:top w:val="none" w:sz="0" w:space="0" w:color="auto"/>
        <w:left w:val="none" w:sz="0" w:space="0" w:color="auto"/>
        <w:bottom w:val="none" w:sz="0" w:space="0" w:color="auto"/>
        <w:right w:val="none" w:sz="0" w:space="0" w:color="auto"/>
      </w:divBdr>
    </w:div>
    <w:div w:id="1884251659">
      <w:marLeft w:val="0"/>
      <w:marRight w:val="0"/>
      <w:marTop w:val="0"/>
      <w:marBottom w:val="0"/>
      <w:divBdr>
        <w:top w:val="none" w:sz="0" w:space="0" w:color="auto"/>
        <w:left w:val="none" w:sz="0" w:space="0" w:color="auto"/>
        <w:bottom w:val="none" w:sz="0" w:space="0" w:color="auto"/>
        <w:right w:val="none" w:sz="0" w:space="0" w:color="auto"/>
      </w:divBdr>
    </w:div>
    <w:div w:id="1887596304">
      <w:marLeft w:val="0"/>
      <w:marRight w:val="0"/>
      <w:marTop w:val="120"/>
      <w:marBottom w:val="120"/>
      <w:divBdr>
        <w:top w:val="none" w:sz="0" w:space="0" w:color="auto"/>
        <w:left w:val="none" w:sz="0" w:space="0" w:color="auto"/>
        <w:bottom w:val="none" w:sz="0" w:space="0" w:color="auto"/>
        <w:right w:val="none" w:sz="0" w:space="0" w:color="auto"/>
      </w:divBdr>
    </w:div>
    <w:div w:id="1889102819">
      <w:marLeft w:val="0"/>
      <w:marRight w:val="0"/>
      <w:marTop w:val="0"/>
      <w:marBottom w:val="240"/>
      <w:divBdr>
        <w:top w:val="none" w:sz="0" w:space="0" w:color="auto"/>
        <w:left w:val="none" w:sz="0" w:space="0" w:color="auto"/>
        <w:bottom w:val="none" w:sz="0" w:space="0" w:color="auto"/>
        <w:right w:val="none" w:sz="0" w:space="0" w:color="auto"/>
      </w:divBdr>
    </w:div>
    <w:div w:id="1891527612">
      <w:marLeft w:val="0"/>
      <w:marRight w:val="0"/>
      <w:marTop w:val="0"/>
      <w:marBottom w:val="240"/>
      <w:divBdr>
        <w:top w:val="none" w:sz="0" w:space="0" w:color="auto"/>
        <w:left w:val="none" w:sz="0" w:space="0" w:color="auto"/>
        <w:bottom w:val="none" w:sz="0" w:space="0" w:color="auto"/>
        <w:right w:val="none" w:sz="0" w:space="0" w:color="auto"/>
      </w:divBdr>
    </w:div>
    <w:div w:id="1891839680">
      <w:marLeft w:val="0"/>
      <w:marRight w:val="0"/>
      <w:marTop w:val="0"/>
      <w:marBottom w:val="0"/>
      <w:divBdr>
        <w:top w:val="none" w:sz="0" w:space="0" w:color="auto"/>
        <w:left w:val="none" w:sz="0" w:space="0" w:color="auto"/>
        <w:bottom w:val="none" w:sz="0" w:space="0" w:color="auto"/>
        <w:right w:val="none" w:sz="0" w:space="0" w:color="auto"/>
      </w:divBdr>
      <w:divsChild>
        <w:div w:id="220480573">
          <w:marLeft w:val="0"/>
          <w:marRight w:val="0"/>
          <w:marTop w:val="0"/>
          <w:marBottom w:val="0"/>
          <w:divBdr>
            <w:top w:val="none" w:sz="0" w:space="0" w:color="auto"/>
            <w:left w:val="none" w:sz="0" w:space="0" w:color="auto"/>
            <w:bottom w:val="none" w:sz="0" w:space="0" w:color="auto"/>
            <w:right w:val="none" w:sz="0" w:space="0" w:color="auto"/>
          </w:divBdr>
        </w:div>
      </w:divsChild>
    </w:div>
    <w:div w:id="1891920795">
      <w:marLeft w:val="0"/>
      <w:marRight w:val="0"/>
      <w:marTop w:val="120"/>
      <w:marBottom w:val="120"/>
      <w:divBdr>
        <w:top w:val="none" w:sz="0" w:space="0" w:color="auto"/>
        <w:left w:val="none" w:sz="0" w:space="0" w:color="auto"/>
        <w:bottom w:val="none" w:sz="0" w:space="0" w:color="auto"/>
        <w:right w:val="none" w:sz="0" w:space="0" w:color="auto"/>
      </w:divBdr>
    </w:div>
    <w:div w:id="1892495268">
      <w:marLeft w:val="0"/>
      <w:marRight w:val="0"/>
      <w:marTop w:val="0"/>
      <w:marBottom w:val="0"/>
      <w:divBdr>
        <w:top w:val="none" w:sz="0" w:space="0" w:color="auto"/>
        <w:left w:val="none" w:sz="0" w:space="0" w:color="auto"/>
        <w:bottom w:val="none" w:sz="0" w:space="0" w:color="auto"/>
        <w:right w:val="none" w:sz="0" w:space="0" w:color="auto"/>
      </w:divBdr>
      <w:divsChild>
        <w:div w:id="673725674">
          <w:marLeft w:val="0"/>
          <w:marRight w:val="0"/>
          <w:marTop w:val="0"/>
          <w:marBottom w:val="0"/>
          <w:divBdr>
            <w:top w:val="none" w:sz="0" w:space="0" w:color="auto"/>
            <w:left w:val="none" w:sz="0" w:space="0" w:color="auto"/>
            <w:bottom w:val="none" w:sz="0" w:space="0" w:color="auto"/>
            <w:right w:val="none" w:sz="0" w:space="0" w:color="auto"/>
          </w:divBdr>
        </w:div>
      </w:divsChild>
    </w:div>
    <w:div w:id="1893734335">
      <w:marLeft w:val="0"/>
      <w:marRight w:val="0"/>
      <w:marTop w:val="0"/>
      <w:marBottom w:val="0"/>
      <w:divBdr>
        <w:top w:val="none" w:sz="0" w:space="0" w:color="auto"/>
        <w:left w:val="none" w:sz="0" w:space="0" w:color="auto"/>
        <w:bottom w:val="none" w:sz="0" w:space="0" w:color="auto"/>
        <w:right w:val="none" w:sz="0" w:space="0" w:color="auto"/>
      </w:divBdr>
    </w:div>
    <w:div w:id="1894267133">
      <w:marLeft w:val="0"/>
      <w:marRight w:val="0"/>
      <w:marTop w:val="0"/>
      <w:marBottom w:val="0"/>
      <w:divBdr>
        <w:top w:val="none" w:sz="0" w:space="0" w:color="auto"/>
        <w:left w:val="none" w:sz="0" w:space="0" w:color="auto"/>
        <w:bottom w:val="none" w:sz="0" w:space="0" w:color="auto"/>
        <w:right w:val="none" w:sz="0" w:space="0" w:color="auto"/>
      </w:divBdr>
    </w:div>
    <w:div w:id="1896428301">
      <w:marLeft w:val="0"/>
      <w:marRight w:val="0"/>
      <w:marTop w:val="0"/>
      <w:marBottom w:val="240"/>
      <w:divBdr>
        <w:top w:val="none" w:sz="0" w:space="0" w:color="auto"/>
        <w:left w:val="none" w:sz="0" w:space="0" w:color="auto"/>
        <w:bottom w:val="none" w:sz="0" w:space="0" w:color="auto"/>
        <w:right w:val="none" w:sz="0" w:space="0" w:color="auto"/>
      </w:divBdr>
    </w:div>
    <w:div w:id="1898592544">
      <w:marLeft w:val="0"/>
      <w:marRight w:val="0"/>
      <w:marTop w:val="0"/>
      <w:marBottom w:val="180"/>
      <w:divBdr>
        <w:top w:val="none" w:sz="0" w:space="0" w:color="auto"/>
        <w:left w:val="none" w:sz="0" w:space="0" w:color="auto"/>
        <w:bottom w:val="none" w:sz="0" w:space="0" w:color="auto"/>
        <w:right w:val="none" w:sz="0" w:space="0" w:color="auto"/>
      </w:divBdr>
    </w:div>
    <w:div w:id="1898734511">
      <w:marLeft w:val="0"/>
      <w:marRight w:val="0"/>
      <w:marTop w:val="0"/>
      <w:marBottom w:val="0"/>
      <w:divBdr>
        <w:top w:val="none" w:sz="0" w:space="0" w:color="auto"/>
        <w:left w:val="none" w:sz="0" w:space="0" w:color="auto"/>
        <w:bottom w:val="none" w:sz="0" w:space="0" w:color="auto"/>
        <w:right w:val="none" w:sz="0" w:space="0" w:color="auto"/>
      </w:divBdr>
    </w:div>
    <w:div w:id="1898740248">
      <w:marLeft w:val="0"/>
      <w:marRight w:val="0"/>
      <w:marTop w:val="0"/>
      <w:marBottom w:val="0"/>
      <w:divBdr>
        <w:top w:val="none" w:sz="0" w:space="0" w:color="auto"/>
        <w:left w:val="none" w:sz="0" w:space="0" w:color="auto"/>
        <w:bottom w:val="none" w:sz="0" w:space="0" w:color="auto"/>
        <w:right w:val="none" w:sz="0" w:space="0" w:color="auto"/>
      </w:divBdr>
      <w:divsChild>
        <w:div w:id="877544586">
          <w:marLeft w:val="0"/>
          <w:marRight w:val="0"/>
          <w:marTop w:val="0"/>
          <w:marBottom w:val="0"/>
          <w:divBdr>
            <w:top w:val="none" w:sz="0" w:space="0" w:color="auto"/>
            <w:left w:val="none" w:sz="0" w:space="0" w:color="auto"/>
            <w:bottom w:val="none" w:sz="0" w:space="0" w:color="auto"/>
            <w:right w:val="none" w:sz="0" w:space="0" w:color="auto"/>
          </w:divBdr>
        </w:div>
      </w:divsChild>
    </w:div>
    <w:div w:id="1899515356">
      <w:marLeft w:val="0"/>
      <w:marRight w:val="0"/>
      <w:marTop w:val="180"/>
      <w:marBottom w:val="180"/>
      <w:divBdr>
        <w:top w:val="none" w:sz="0" w:space="0" w:color="auto"/>
        <w:left w:val="none" w:sz="0" w:space="0" w:color="auto"/>
        <w:bottom w:val="none" w:sz="0" w:space="0" w:color="auto"/>
        <w:right w:val="none" w:sz="0" w:space="0" w:color="auto"/>
      </w:divBdr>
    </w:div>
    <w:div w:id="1900357423">
      <w:marLeft w:val="0"/>
      <w:marRight w:val="0"/>
      <w:marTop w:val="180"/>
      <w:marBottom w:val="180"/>
      <w:divBdr>
        <w:top w:val="none" w:sz="0" w:space="0" w:color="auto"/>
        <w:left w:val="none" w:sz="0" w:space="0" w:color="auto"/>
        <w:bottom w:val="none" w:sz="0" w:space="0" w:color="auto"/>
        <w:right w:val="none" w:sz="0" w:space="0" w:color="auto"/>
      </w:divBdr>
    </w:div>
    <w:div w:id="1900364217">
      <w:marLeft w:val="0"/>
      <w:marRight w:val="0"/>
      <w:marTop w:val="0"/>
      <w:marBottom w:val="0"/>
      <w:divBdr>
        <w:top w:val="none" w:sz="0" w:space="0" w:color="auto"/>
        <w:left w:val="none" w:sz="0" w:space="0" w:color="auto"/>
        <w:bottom w:val="none" w:sz="0" w:space="0" w:color="auto"/>
        <w:right w:val="none" w:sz="0" w:space="0" w:color="auto"/>
      </w:divBdr>
      <w:divsChild>
        <w:div w:id="1487933584">
          <w:marLeft w:val="0"/>
          <w:marRight w:val="0"/>
          <w:marTop w:val="0"/>
          <w:marBottom w:val="0"/>
          <w:divBdr>
            <w:top w:val="none" w:sz="0" w:space="0" w:color="auto"/>
            <w:left w:val="none" w:sz="0" w:space="0" w:color="auto"/>
            <w:bottom w:val="none" w:sz="0" w:space="0" w:color="auto"/>
            <w:right w:val="none" w:sz="0" w:space="0" w:color="auto"/>
          </w:divBdr>
        </w:div>
      </w:divsChild>
    </w:div>
    <w:div w:id="1900901759">
      <w:marLeft w:val="0"/>
      <w:marRight w:val="0"/>
      <w:marTop w:val="180"/>
      <w:marBottom w:val="180"/>
      <w:divBdr>
        <w:top w:val="none" w:sz="0" w:space="0" w:color="auto"/>
        <w:left w:val="none" w:sz="0" w:space="0" w:color="auto"/>
        <w:bottom w:val="none" w:sz="0" w:space="0" w:color="auto"/>
        <w:right w:val="none" w:sz="0" w:space="0" w:color="auto"/>
      </w:divBdr>
    </w:div>
    <w:div w:id="1901943107">
      <w:marLeft w:val="0"/>
      <w:marRight w:val="0"/>
      <w:marTop w:val="0"/>
      <w:marBottom w:val="240"/>
      <w:divBdr>
        <w:top w:val="none" w:sz="0" w:space="0" w:color="auto"/>
        <w:left w:val="none" w:sz="0" w:space="0" w:color="auto"/>
        <w:bottom w:val="none" w:sz="0" w:space="0" w:color="auto"/>
        <w:right w:val="none" w:sz="0" w:space="0" w:color="auto"/>
      </w:divBdr>
    </w:div>
    <w:div w:id="1904100790">
      <w:marLeft w:val="0"/>
      <w:marRight w:val="0"/>
      <w:marTop w:val="100"/>
      <w:marBottom w:val="240"/>
      <w:divBdr>
        <w:top w:val="none" w:sz="0" w:space="0" w:color="auto"/>
        <w:left w:val="none" w:sz="0" w:space="0" w:color="auto"/>
        <w:bottom w:val="none" w:sz="0" w:space="0" w:color="auto"/>
        <w:right w:val="none" w:sz="0" w:space="0" w:color="auto"/>
      </w:divBdr>
    </w:div>
    <w:div w:id="1905526165">
      <w:marLeft w:val="0"/>
      <w:marRight w:val="0"/>
      <w:marTop w:val="0"/>
      <w:marBottom w:val="180"/>
      <w:divBdr>
        <w:top w:val="none" w:sz="0" w:space="0" w:color="auto"/>
        <w:left w:val="none" w:sz="0" w:space="0" w:color="auto"/>
        <w:bottom w:val="none" w:sz="0" w:space="0" w:color="auto"/>
        <w:right w:val="none" w:sz="0" w:space="0" w:color="auto"/>
      </w:divBdr>
    </w:div>
    <w:div w:id="1906990892">
      <w:marLeft w:val="0"/>
      <w:marRight w:val="0"/>
      <w:marTop w:val="0"/>
      <w:marBottom w:val="240"/>
      <w:divBdr>
        <w:top w:val="none" w:sz="0" w:space="0" w:color="auto"/>
        <w:left w:val="none" w:sz="0" w:space="0" w:color="auto"/>
        <w:bottom w:val="none" w:sz="0" w:space="0" w:color="auto"/>
        <w:right w:val="none" w:sz="0" w:space="0" w:color="auto"/>
      </w:divBdr>
    </w:div>
    <w:div w:id="1907716304">
      <w:marLeft w:val="0"/>
      <w:marRight w:val="0"/>
      <w:marTop w:val="0"/>
      <w:marBottom w:val="0"/>
      <w:divBdr>
        <w:top w:val="none" w:sz="0" w:space="0" w:color="auto"/>
        <w:left w:val="none" w:sz="0" w:space="0" w:color="auto"/>
        <w:bottom w:val="none" w:sz="0" w:space="0" w:color="auto"/>
        <w:right w:val="none" w:sz="0" w:space="0" w:color="auto"/>
      </w:divBdr>
      <w:divsChild>
        <w:div w:id="1826389471">
          <w:marLeft w:val="0"/>
          <w:marRight w:val="0"/>
          <w:marTop w:val="0"/>
          <w:marBottom w:val="0"/>
          <w:divBdr>
            <w:top w:val="none" w:sz="0" w:space="0" w:color="auto"/>
            <w:left w:val="none" w:sz="0" w:space="0" w:color="auto"/>
            <w:bottom w:val="none" w:sz="0" w:space="0" w:color="auto"/>
            <w:right w:val="none" w:sz="0" w:space="0" w:color="auto"/>
          </w:divBdr>
        </w:div>
      </w:divsChild>
    </w:div>
    <w:div w:id="1909226459">
      <w:marLeft w:val="0"/>
      <w:marRight w:val="0"/>
      <w:marTop w:val="180"/>
      <w:marBottom w:val="180"/>
      <w:divBdr>
        <w:top w:val="none" w:sz="0" w:space="0" w:color="auto"/>
        <w:left w:val="none" w:sz="0" w:space="0" w:color="auto"/>
        <w:bottom w:val="none" w:sz="0" w:space="0" w:color="auto"/>
        <w:right w:val="none" w:sz="0" w:space="0" w:color="auto"/>
      </w:divBdr>
    </w:div>
    <w:div w:id="1910001291">
      <w:marLeft w:val="0"/>
      <w:marRight w:val="0"/>
      <w:marTop w:val="0"/>
      <w:marBottom w:val="0"/>
      <w:divBdr>
        <w:top w:val="none" w:sz="0" w:space="0" w:color="auto"/>
        <w:left w:val="none" w:sz="0" w:space="0" w:color="auto"/>
        <w:bottom w:val="none" w:sz="0" w:space="0" w:color="auto"/>
        <w:right w:val="none" w:sz="0" w:space="0" w:color="auto"/>
      </w:divBdr>
      <w:divsChild>
        <w:div w:id="196740977">
          <w:marLeft w:val="0"/>
          <w:marRight w:val="0"/>
          <w:marTop w:val="0"/>
          <w:marBottom w:val="0"/>
          <w:divBdr>
            <w:top w:val="none" w:sz="0" w:space="0" w:color="auto"/>
            <w:left w:val="none" w:sz="0" w:space="0" w:color="auto"/>
            <w:bottom w:val="none" w:sz="0" w:space="0" w:color="auto"/>
            <w:right w:val="none" w:sz="0" w:space="0" w:color="auto"/>
          </w:divBdr>
        </w:div>
      </w:divsChild>
    </w:div>
    <w:div w:id="1916545947">
      <w:marLeft w:val="0"/>
      <w:marRight w:val="0"/>
      <w:marTop w:val="0"/>
      <w:marBottom w:val="240"/>
      <w:divBdr>
        <w:top w:val="none" w:sz="0" w:space="0" w:color="auto"/>
        <w:left w:val="none" w:sz="0" w:space="0" w:color="auto"/>
        <w:bottom w:val="none" w:sz="0" w:space="0" w:color="auto"/>
        <w:right w:val="none" w:sz="0" w:space="0" w:color="auto"/>
      </w:divBdr>
    </w:div>
    <w:div w:id="1918517711">
      <w:marLeft w:val="0"/>
      <w:marRight w:val="0"/>
      <w:marTop w:val="0"/>
      <w:marBottom w:val="240"/>
      <w:divBdr>
        <w:top w:val="none" w:sz="0" w:space="0" w:color="auto"/>
        <w:left w:val="none" w:sz="0" w:space="0" w:color="auto"/>
        <w:bottom w:val="none" w:sz="0" w:space="0" w:color="auto"/>
        <w:right w:val="none" w:sz="0" w:space="0" w:color="auto"/>
      </w:divBdr>
    </w:div>
    <w:div w:id="1923221419">
      <w:marLeft w:val="0"/>
      <w:marRight w:val="0"/>
      <w:marTop w:val="120"/>
      <w:marBottom w:val="180"/>
      <w:divBdr>
        <w:top w:val="none" w:sz="0" w:space="0" w:color="auto"/>
        <w:left w:val="none" w:sz="0" w:space="0" w:color="auto"/>
        <w:bottom w:val="none" w:sz="0" w:space="0" w:color="auto"/>
        <w:right w:val="none" w:sz="0" w:space="0" w:color="auto"/>
      </w:divBdr>
    </w:div>
    <w:div w:id="1926526500">
      <w:marLeft w:val="0"/>
      <w:marRight w:val="0"/>
      <w:marTop w:val="120"/>
      <w:marBottom w:val="120"/>
      <w:divBdr>
        <w:top w:val="none" w:sz="0" w:space="0" w:color="auto"/>
        <w:left w:val="none" w:sz="0" w:space="0" w:color="auto"/>
        <w:bottom w:val="none" w:sz="0" w:space="0" w:color="auto"/>
        <w:right w:val="none" w:sz="0" w:space="0" w:color="auto"/>
      </w:divBdr>
    </w:div>
    <w:div w:id="1930430699">
      <w:marLeft w:val="0"/>
      <w:marRight w:val="0"/>
      <w:marTop w:val="0"/>
      <w:marBottom w:val="0"/>
      <w:divBdr>
        <w:top w:val="none" w:sz="0" w:space="0" w:color="auto"/>
        <w:left w:val="none" w:sz="0" w:space="0" w:color="auto"/>
        <w:bottom w:val="none" w:sz="0" w:space="0" w:color="auto"/>
        <w:right w:val="none" w:sz="0" w:space="0" w:color="auto"/>
      </w:divBdr>
      <w:divsChild>
        <w:div w:id="37363734">
          <w:marLeft w:val="0"/>
          <w:marRight w:val="0"/>
          <w:marTop w:val="0"/>
          <w:marBottom w:val="0"/>
          <w:divBdr>
            <w:top w:val="none" w:sz="0" w:space="0" w:color="auto"/>
            <w:left w:val="none" w:sz="0" w:space="0" w:color="auto"/>
            <w:bottom w:val="none" w:sz="0" w:space="0" w:color="auto"/>
            <w:right w:val="none" w:sz="0" w:space="0" w:color="auto"/>
          </w:divBdr>
        </w:div>
      </w:divsChild>
    </w:div>
    <w:div w:id="1935745273">
      <w:marLeft w:val="0"/>
      <w:marRight w:val="0"/>
      <w:marTop w:val="0"/>
      <w:marBottom w:val="0"/>
      <w:divBdr>
        <w:top w:val="none" w:sz="0" w:space="0" w:color="auto"/>
        <w:left w:val="none" w:sz="0" w:space="0" w:color="auto"/>
        <w:bottom w:val="none" w:sz="0" w:space="0" w:color="auto"/>
        <w:right w:val="none" w:sz="0" w:space="0" w:color="auto"/>
      </w:divBdr>
    </w:div>
    <w:div w:id="1936395666">
      <w:marLeft w:val="0"/>
      <w:marRight w:val="0"/>
      <w:marTop w:val="180"/>
      <w:marBottom w:val="180"/>
      <w:divBdr>
        <w:top w:val="none" w:sz="0" w:space="0" w:color="auto"/>
        <w:left w:val="none" w:sz="0" w:space="0" w:color="auto"/>
        <w:bottom w:val="none" w:sz="0" w:space="0" w:color="auto"/>
        <w:right w:val="none" w:sz="0" w:space="0" w:color="auto"/>
      </w:divBdr>
    </w:div>
    <w:div w:id="1938323079">
      <w:marLeft w:val="0"/>
      <w:marRight w:val="0"/>
      <w:marTop w:val="120"/>
      <w:marBottom w:val="120"/>
      <w:divBdr>
        <w:top w:val="none" w:sz="0" w:space="0" w:color="auto"/>
        <w:left w:val="none" w:sz="0" w:space="0" w:color="auto"/>
        <w:bottom w:val="none" w:sz="0" w:space="0" w:color="auto"/>
        <w:right w:val="none" w:sz="0" w:space="0" w:color="auto"/>
      </w:divBdr>
    </w:div>
    <w:div w:id="1938364970">
      <w:marLeft w:val="0"/>
      <w:marRight w:val="0"/>
      <w:marTop w:val="0"/>
      <w:marBottom w:val="240"/>
      <w:divBdr>
        <w:top w:val="none" w:sz="0" w:space="0" w:color="auto"/>
        <w:left w:val="none" w:sz="0" w:space="0" w:color="auto"/>
        <w:bottom w:val="none" w:sz="0" w:space="0" w:color="auto"/>
        <w:right w:val="none" w:sz="0" w:space="0" w:color="auto"/>
      </w:divBdr>
    </w:div>
    <w:div w:id="1939632643">
      <w:marLeft w:val="0"/>
      <w:marRight w:val="0"/>
      <w:marTop w:val="180"/>
      <w:marBottom w:val="180"/>
      <w:divBdr>
        <w:top w:val="none" w:sz="0" w:space="0" w:color="auto"/>
        <w:left w:val="none" w:sz="0" w:space="0" w:color="auto"/>
        <w:bottom w:val="none" w:sz="0" w:space="0" w:color="auto"/>
        <w:right w:val="none" w:sz="0" w:space="0" w:color="auto"/>
      </w:divBdr>
    </w:div>
    <w:div w:id="1939755490">
      <w:marLeft w:val="0"/>
      <w:marRight w:val="0"/>
      <w:marTop w:val="0"/>
      <w:marBottom w:val="180"/>
      <w:divBdr>
        <w:top w:val="none" w:sz="0" w:space="0" w:color="auto"/>
        <w:left w:val="none" w:sz="0" w:space="0" w:color="auto"/>
        <w:bottom w:val="none" w:sz="0" w:space="0" w:color="auto"/>
        <w:right w:val="none" w:sz="0" w:space="0" w:color="auto"/>
      </w:divBdr>
    </w:div>
    <w:div w:id="1940478680">
      <w:marLeft w:val="0"/>
      <w:marRight w:val="0"/>
      <w:marTop w:val="0"/>
      <w:marBottom w:val="0"/>
      <w:divBdr>
        <w:top w:val="none" w:sz="0" w:space="0" w:color="auto"/>
        <w:left w:val="none" w:sz="0" w:space="0" w:color="auto"/>
        <w:bottom w:val="none" w:sz="0" w:space="0" w:color="auto"/>
        <w:right w:val="none" w:sz="0" w:space="0" w:color="auto"/>
      </w:divBdr>
      <w:divsChild>
        <w:div w:id="965351545">
          <w:marLeft w:val="0"/>
          <w:marRight w:val="0"/>
          <w:marTop w:val="0"/>
          <w:marBottom w:val="0"/>
          <w:divBdr>
            <w:top w:val="none" w:sz="0" w:space="0" w:color="auto"/>
            <w:left w:val="none" w:sz="0" w:space="0" w:color="auto"/>
            <w:bottom w:val="none" w:sz="0" w:space="0" w:color="auto"/>
            <w:right w:val="none" w:sz="0" w:space="0" w:color="auto"/>
          </w:divBdr>
        </w:div>
      </w:divsChild>
    </w:div>
    <w:div w:id="1941522747">
      <w:marLeft w:val="0"/>
      <w:marRight w:val="0"/>
      <w:marTop w:val="0"/>
      <w:marBottom w:val="60"/>
      <w:divBdr>
        <w:top w:val="none" w:sz="0" w:space="0" w:color="auto"/>
        <w:left w:val="none" w:sz="0" w:space="0" w:color="auto"/>
        <w:bottom w:val="none" w:sz="0" w:space="0" w:color="auto"/>
        <w:right w:val="none" w:sz="0" w:space="0" w:color="auto"/>
      </w:divBdr>
    </w:div>
    <w:div w:id="1941839112">
      <w:marLeft w:val="0"/>
      <w:marRight w:val="0"/>
      <w:marTop w:val="180"/>
      <w:marBottom w:val="180"/>
      <w:divBdr>
        <w:top w:val="none" w:sz="0" w:space="0" w:color="auto"/>
        <w:left w:val="none" w:sz="0" w:space="0" w:color="auto"/>
        <w:bottom w:val="none" w:sz="0" w:space="0" w:color="auto"/>
        <w:right w:val="none" w:sz="0" w:space="0" w:color="auto"/>
      </w:divBdr>
    </w:div>
    <w:div w:id="1943106787">
      <w:marLeft w:val="0"/>
      <w:marRight w:val="0"/>
      <w:marTop w:val="180"/>
      <w:marBottom w:val="180"/>
      <w:divBdr>
        <w:top w:val="none" w:sz="0" w:space="0" w:color="auto"/>
        <w:left w:val="none" w:sz="0" w:space="0" w:color="auto"/>
        <w:bottom w:val="none" w:sz="0" w:space="0" w:color="auto"/>
        <w:right w:val="none" w:sz="0" w:space="0" w:color="auto"/>
      </w:divBdr>
    </w:div>
    <w:div w:id="1943561219">
      <w:marLeft w:val="0"/>
      <w:marRight w:val="0"/>
      <w:marTop w:val="180"/>
      <w:marBottom w:val="180"/>
      <w:divBdr>
        <w:top w:val="none" w:sz="0" w:space="0" w:color="auto"/>
        <w:left w:val="none" w:sz="0" w:space="0" w:color="auto"/>
        <w:bottom w:val="none" w:sz="0" w:space="0" w:color="auto"/>
        <w:right w:val="none" w:sz="0" w:space="0" w:color="auto"/>
      </w:divBdr>
    </w:div>
    <w:div w:id="1943565583">
      <w:marLeft w:val="0"/>
      <w:marRight w:val="0"/>
      <w:marTop w:val="0"/>
      <w:marBottom w:val="0"/>
      <w:divBdr>
        <w:top w:val="none" w:sz="0" w:space="0" w:color="auto"/>
        <w:left w:val="none" w:sz="0" w:space="0" w:color="auto"/>
        <w:bottom w:val="none" w:sz="0" w:space="0" w:color="auto"/>
        <w:right w:val="none" w:sz="0" w:space="0" w:color="auto"/>
      </w:divBdr>
    </w:div>
    <w:div w:id="1945578464">
      <w:marLeft w:val="0"/>
      <w:marRight w:val="0"/>
      <w:marTop w:val="100"/>
      <w:marBottom w:val="100"/>
      <w:divBdr>
        <w:top w:val="none" w:sz="0" w:space="0" w:color="auto"/>
        <w:left w:val="none" w:sz="0" w:space="0" w:color="auto"/>
        <w:bottom w:val="none" w:sz="0" w:space="0" w:color="auto"/>
        <w:right w:val="none" w:sz="0" w:space="0" w:color="auto"/>
      </w:divBdr>
    </w:div>
    <w:div w:id="1948194713">
      <w:marLeft w:val="0"/>
      <w:marRight w:val="0"/>
      <w:marTop w:val="0"/>
      <w:marBottom w:val="60"/>
      <w:divBdr>
        <w:top w:val="none" w:sz="0" w:space="0" w:color="auto"/>
        <w:left w:val="none" w:sz="0" w:space="0" w:color="auto"/>
        <w:bottom w:val="none" w:sz="0" w:space="0" w:color="auto"/>
        <w:right w:val="none" w:sz="0" w:space="0" w:color="auto"/>
      </w:divBdr>
    </w:div>
    <w:div w:id="1948539984">
      <w:marLeft w:val="0"/>
      <w:marRight w:val="0"/>
      <w:marTop w:val="120"/>
      <w:marBottom w:val="120"/>
      <w:divBdr>
        <w:top w:val="none" w:sz="0" w:space="0" w:color="auto"/>
        <w:left w:val="none" w:sz="0" w:space="0" w:color="auto"/>
        <w:bottom w:val="none" w:sz="0" w:space="0" w:color="auto"/>
        <w:right w:val="none" w:sz="0" w:space="0" w:color="auto"/>
      </w:divBdr>
    </w:div>
    <w:div w:id="1951008663">
      <w:marLeft w:val="0"/>
      <w:marRight w:val="0"/>
      <w:marTop w:val="100"/>
      <w:marBottom w:val="100"/>
      <w:divBdr>
        <w:top w:val="none" w:sz="0" w:space="0" w:color="auto"/>
        <w:left w:val="none" w:sz="0" w:space="0" w:color="auto"/>
        <w:bottom w:val="none" w:sz="0" w:space="0" w:color="auto"/>
        <w:right w:val="none" w:sz="0" w:space="0" w:color="auto"/>
      </w:divBdr>
      <w:divsChild>
        <w:div w:id="562059564">
          <w:marLeft w:val="0"/>
          <w:marRight w:val="0"/>
          <w:marTop w:val="0"/>
          <w:marBottom w:val="0"/>
          <w:divBdr>
            <w:top w:val="none" w:sz="0" w:space="0" w:color="auto"/>
            <w:left w:val="none" w:sz="0" w:space="0" w:color="auto"/>
            <w:bottom w:val="none" w:sz="0" w:space="0" w:color="auto"/>
            <w:right w:val="none" w:sz="0" w:space="0" w:color="auto"/>
          </w:divBdr>
        </w:div>
        <w:div w:id="309335803">
          <w:marLeft w:val="0"/>
          <w:marRight w:val="0"/>
          <w:marTop w:val="0"/>
          <w:marBottom w:val="0"/>
          <w:divBdr>
            <w:top w:val="none" w:sz="0" w:space="0" w:color="auto"/>
            <w:left w:val="none" w:sz="0" w:space="0" w:color="auto"/>
            <w:bottom w:val="none" w:sz="0" w:space="0" w:color="auto"/>
            <w:right w:val="none" w:sz="0" w:space="0" w:color="auto"/>
          </w:divBdr>
        </w:div>
      </w:divsChild>
    </w:div>
    <w:div w:id="1951039478">
      <w:marLeft w:val="0"/>
      <w:marRight w:val="0"/>
      <w:marTop w:val="0"/>
      <w:marBottom w:val="180"/>
      <w:divBdr>
        <w:top w:val="none" w:sz="0" w:space="0" w:color="auto"/>
        <w:left w:val="none" w:sz="0" w:space="0" w:color="auto"/>
        <w:bottom w:val="none" w:sz="0" w:space="0" w:color="auto"/>
        <w:right w:val="none" w:sz="0" w:space="0" w:color="auto"/>
      </w:divBdr>
    </w:div>
    <w:div w:id="1952467562">
      <w:marLeft w:val="0"/>
      <w:marRight w:val="0"/>
      <w:marTop w:val="180"/>
      <w:marBottom w:val="180"/>
      <w:divBdr>
        <w:top w:val="none" w:sz="0" w:space="0" w:color="auto"/>
        <w:left w:val="none" w:sz="0" w:space="0" w:color="auto"/>
        <w:bottom w:val="none" w:sz="0" w:space="0" w:color="auto"/>
        <w:right w:val="none" w:sz="0" w:space="0" w:color="auto"/>
      </w:divBdr>
    </w:div>
    <w:div w:id="1953903697">
      <w:marLeft w:val="0"/>
      <w:marRight w:val="0"/>
      <w:marTop w:val="0"/>
      <w:marBottom w:val="240"/>
      <w:divBdr>
        <w:top w:val="none" w:sz="0" w:space="0" w:color="auto"/>
        <w:left w:val="none" w:sz="0" w:space="0" w:color="auto"/>
        <w:bottom w:val="none" w:sz="0" w:space="0" w:color="auto"/>
        <w:right w:val="none" w:sz="0" w:space="0" w:color="auto"/>
      </w:divBdr>
    </w:div>
    <w:div w:id="1954437520">
      <w:marLeft w:val="0"/>
      <w:marRight w:val="0"/>
      <w:marTop w:val="120"/>
      <w:marBottom w:val="120"/>
      <w:divBdr>
        <w:top w:val="none" w:sz="0" w:space="0" w:color="auto"/>
        <w:left w:val="none" w:sz="0" w:space="0" w:color="auto"/>
        <w:bottom w:val="none" w:sz="0" w:space="0" w:color="auto"/>
        <w:right w:val="none" w:sz="0" w:space="0" w:color="auto"/>
      </w:divBdr>
    </w:div>
    <w:div w:id="1956060841">
      <w:marLeft w:val="0"/>
      <w:marRight w:val="0"/>
      <w:marTop w:val="0"/>
      <w:marBottom w:val="0"/>
      <w:divBdr>
        <w:top w:val="none" w:sz="0" w:space="0" w:color="auto"/>
        <w:left w:val="none" w:sz="0" w:space="0" w:color="auto"/>
        <w:bottom w:val="none" w:sz="0" w:space="0" w:color="auto"/>
        <w:right w:val="none" w:sz="0" w:space="0" w:color="auto"/>
      </w:divBdr>
      <w:divsChild>
        <w:div w:id="1144542844">
          <w:marLeft w:val="0"/>
          <w:marRight w:val="0"/>
          <w:marTop w:val="0"/>
          <w:marBottom w:val="0"/>
          <w:divBdr>
            <w:top w:val="none" w:sz="0" w:space="0" w:color="auto"/>
            <w:left w:val="none" w:sz="0" w:space="0" w:color="auto"/>
            <w:bottom w:val="none" w:sz="0" w:space="0" w:color="auto"/>
            <w:right w:val="none" w:sz="0" w:space="0" w:color="auto"/>
          </w:divBdr>
        </w:div>
      </w:divsChild>
    </w:div>
    <w:div w:id="1956787354">
      <w:marLeft w:val="0"/>
      <w:marRight w:val="0"/>
      <w:marTop w:val="0"/>
      <w:marBottom w:val="180"/>
      <w:divBdr>
        <w:top w:val="none" w:sz="0" w:space="0" w:color="auto"/>
        <w:left w:val="none" w:sz="0" w:space="0" w:color="auto"/>
        <w:bottom w:val="none" w:sz="0" w:space="0" w:color="auto"/>
        <w:right w:val="none" w:sz="0" w:space="0" w:color="auto"/>
      </w:divBdr>
    </w:div>
    <w:div w:id="1956789669">
      <w:marLeft w:val="0"/>
      <w:marRight w:val="0"/>
      <w:marTop w:val="0"/>
      <w:marBottom w:val="180"/>
      <w:divBdr>
        <w:top w:val="none" w:sz="0" w:space="0" w:color="auto"/>
        <w:left w:val="none" w:sz="0" w:space="0" w:color="auto"/>
        <w:bottom w:val="none" w:sz="0" w:space="0" w:color="auto"/>
        <w:right w:val="none" w:sz="0" w:space="0" w:color="auto"/>
      </w:divBdr>
    </w:div>
    <w:div w:id="1957521335">
      <w:marLeft w:val="0"/>
      <w:marRight w:val="0"/>
      <w:marTop w:val="0"/>
      <w:marBottom w:val="240"/>
      <w:divBdr>
        <w:top w:val="none" w:sz="0" w:space="0" w:color="auto"/>
        <w:left w:val="none" w:sz="0" w:space="0" w:color="auto"/>
        <w:bottom w:val="none" w:sz="0" w:space="0" w:color="auto"/>
        <w:right w:val="none" w:sz="0" w:space="0" w:color="auto"/>
      </w:divBdr>
    </w:div>
    <w:div w:id="1960722253">
      <w:marLeft w:val="0"/>
      <w:marRight w:val="0"/>
      <w:marTop w:val="0"/>
      <w:marBottom w:val="240"/>
      <w:divBdr>
        <w:top w:val="none" w:sz="0" w:space="0" w:color="auto"/>
        <w:left w:val="none" w:sz="0" w:space="0" w:color="auto"/>
        <w:bottom w:val="none" w:sz="0" w:space="0" w:color="auto"/>
        <w:right w:val="none" w:sz="0" w:space="0" w:color="auto"/>
      </w:divBdr>
    </w:div>
    <w:div w:id="1961180794">
      <w:marLeft w:val="0"/>
      <w:marRight w:val="0"/>
      <w:marTop w:val="0"/>
      <w:marBottom w:val="240"/>
      <w:divBdr>
        <w:top w:val="none" w:sz="0" w:space="0" w:color="auto"/>
        <w:left w:val="none" w:sz="0" w:space="0" w:color="auto"/>
        <w:bottom w:val="none" w:sz="0" w:space="0" w:color="auto"/>
        <w:right w:val="none" w:sz="0" w:space="0" w:color="auto"/>
      </w:divBdr>
    </w:div>
    <w:div w:id="1963072817">
      <w:marLeft w:val="0"/>
      <w:marRight w:val="0"/>
      <w:marTop w:val="0"/>
      <w:marBottom w:val="180"/>
      <w:divBdr>
        <w:top w:val="none" w:sz="0" w:space="0" w:color="auto"/>
        <w:left w:val="none" w:sz="0" w:space="0" w:color="auto"/>
        <w:bottom w:val="none" w:sz="0" w:space="0" w:color="auto"/>
        <w:right w:val="none" w:sz="0" w:space="0" w:color="auto"/>
      </w:divBdr>
    </w:div>
    <w:div w:id="1966303837">
      <w:marLeft w:val="0"/>
      <w:marRight w:val="0"/>
      <w:marTop w:val="0"/>
      <w:marBottom w:val="180"/>
      <w:divBdr>
        <w:top w:val="none" w:sz="0" w:space="0" w:color="auto"/>
        <w:left w:val="none" w:sz="0" w:space="0" w:color="auto"/>
        <w:bottom w:val="none" w:sz="0" w:space="0" w:color="auto"/>
        <w:right w:val="none" w:sz="0" w:space="0" w:color="auto"/>
      </w:divBdr>
    </w:div>
    <w:div w:id="1968583554">
      <w:marLeft w:val="0"/>
      <w:marRight w:val="0"/>
      <w:marTop w:val="0"/>
      <w:marBottom w:val="0"/>
      <w:divBdr>
        <w:top w:val="none" w:sz="0" w:space="0" w:color="auto"/>
        <w:left w:val="none" w:sz="0" w:space="0" w:color="auto"/>
        <w:bottom w:val="none" w:sz="0" w:space="0" w:color="auto"/>
        <w:right w:val="none" w:sz="0" w:space="0" w:color="auto"/>
      </w:divBdr>
      <w:divsChild>
        <w:div w:id="1126462315">
          <w:marLeft w:val="0"/>
          <w:marRight w:val="0"/>
          <w:marTop w:val="0"/>
          <w:marBottom w:val="0"/>
          <w:divBdr>
            <w:top w:val="none" w:sz="0" w:space="0" w:color="auto"/>
            <w:left w:val="none" w:sz="0" w:space="0" w:color="auto"/>
            <w:bottom w:val="none" w:sz="0" w:space="0" w:color="auto"/>
            <w:right w:val="none" w:sz="0" w:space="0" w:color="auto"/>
          </w:divBdr>
        </w:div>
      </w:divsChild>
    </w:div>
    <w:div w:id="1970163991">
      <w:marLeft w:val="0"/>
      <w:marRight w:val="0"/>
      <w:marTop w:val="120"/>
      <w:marBottom w:val="180"/>
      <w:divBdr>
        <w:top w:val="none" w:sz="0" w:space="0" w:color="auto"/>
        <w:left w:val="none" w:sz="0" w:space="0" w:color="auto"/>
        <w:bottom w:val="none" w:sz="0" w:space="0" w:color="auto"/>
        <w:right w:val="none" w:sz="0" w:space="0" w:color="auto"/>
      </w:divBdr>
    </w:div>
    <w:div w:id="1971589053">
      <w:marLeft w:val="0"/>
      <w:marRight w:val="0"/>
      <w:marTop w:val="0"/>
      <w:marBottom w:val="60"/>
      <w:divBdr>
        <w:top w:val="none" w:sz="0" w:space="0" w:color="auto"/>
        <w:left w:val="none" w:sz="0" w:space="0" w:color="auto"/>
        <w:bottom w:val="none" w:sz="0" w:space="0" w:color="auto"/>
        <w:right w:val="none" w:sz="0" w:space="0" w:color="auto"/>
      </w:divBdr>
    </w:div>
    <w:div w:id="1971737620">
      <w:marLeft w:val="0"/>
      <w:marRight w:val="0"/>
      <w:marTop w:val="0"/>
      <w:marBottom w:val="0"/>
      <w:divBdr>
        <w:top w:val="none" w:sz="0" w:space="0" w:color="auto"/>
        <w:left w:val="none" w:sz="0" w:space="0" w:color="auto"/>
        <w:bottom w:val="none" w:sz="0" w:space="0" w:color="auto"/>
        <w:right w:val="none" w:sz="0" w:space="0" w:color="auto"/>
      </w:divBdr>
      <w:divsChild>
        <w:div w:id="1686052152">
          <w:marLeft w:val="0"/>
          <w:marRight w:val="0"/>
          <w:marTop w:val="0"/>
          <w:marBottom w:val="0"/>
          <w:divBdr>
            <w:top w:val="none" w:sz="0" w:space="0" w:color="auto"/>
            <w:left w:val="none" w:sz="0" w:space="0" w:color="auto"/>
            <w:bottom w:val="none" w:sz="0" w:space="0" w:color="auto"/>
            <w:right w:val="none" w:sz="0" w:space="0" w:color="auto"/>
          </w:divBdr>
        </w:div>
      </w:divsChild>
    </w:div>
    <w:div w:id="1972635792">
      <w:marLeft w:val="0"/>
      <w:marRight w:val="0"/>
      <w:marTop w:val="120"/>
      <w:marBottom w:val="120"/>
      <w:divBdr>
        <w:top w:val="none" w:sz="0" w:space="0" w:color="auto"/>
        <w:left w:val="none" w:sz="0" w:space="0" w:color="auto"/>
        <w:bottom w:val="none" w:sz="0" w:space="0" w:color="auto"/>
        <w:right w:val="none" w:sz="0" w:space="0" w:color="auto"/>
      </w:divBdr>
    </w:div>
    <w:div w:id="1975744633">
      <w:marLeft w:val="0"/>
      <w:marRight w:val="0"/>
      <w:marTop w:val="0"/>
      <w:marBottom w:val="240"/>
      <w:divBdr>
        <w:top w:val="none" w:sz="0" w:space="0" w:color="auto"/>
        <w:left w:val="none" w:sz="0" w:space="0" w:color="auto"/>
        <w:bottom w:val="none" w:sz="0" w:space="0" w:color="auto"/>
        <w:right w:val="none" w:sz="0" w:space="0" w:color="auto"/>
      </w:divBdr>
    </w:div>
    <w:div w:id="1975983647">
      <w:marLeft w:val="0"/>
      <w:marRight w:val="0"/>
      <w:marTop w:val="0"/>
      <w:marBottom w:val="0"/>
      <w:divBdr>
        <w:top w:val="none" w:sz="0" w:space="0" w:color="auto"/>
        <w:left w:val="none" w:sz="0" w:space="0" w:color="auto"/>
        <w:bottom w:val="none" w:sz="0" w:space="0" w:color="auto"/>
        <w:right w:val="none" w:sz="0" w:space="0" w:color="auto"/>
      </w:divBdr>
    </w:div>
    <w:div w:id="1977561369">
      <w:marLeft w:val="0"/>
      <w:marRight w:val="0"/>
      <w:marTop w:val="0"/>
      <w:marBottom w:val="0"/>
      <w:divBdr>
        <w:top w:val="none" w:sz="0" w:space="0" w:color="auto"/>
        <w:left w:val="none" w:sz="0" w:space="0" w:color="auto"/>
        <w:bottom w:val="none" w:sz="0" w:space="0" w:color="auto"/>
        <w:right w:val="none" w:sz="0" w:space="0" w:color="auto"/>
      </w:divBdr>
      <w:divsChild>
        <w:div w:id="1955792956">
          <w:marLeft w:val="0"/>
          <w:marRight w:val="0"/>
          <w:marTop w:val="0"/>
          <w:marBottom w:val="0"/>
          <w:divBdr>
            <w:top w:val="none" w:sz="0" w:space="0" w:color="auto"/>
            <w:left w:val="none" w:sz="0" w:space="0" w:color="auto"/>
            <w:bottom w:val="none" w:sz="0" w:space="0" w:color="auto"/>
            <w:right w:val="none" w:sz="0" w:space="0" w:color="auto"/>
          </w:divBdr>
        </w:div>
      </w:divsChild>
    </w:div>
    <w:div w:id="1979335559">
      <w:marLeft w:val="0"/>
      <w:marRight w:val="0"/>
      <w:marTop w:val="120"/>
      <w:marBottom w:val="60"/>
      <w:divBdr>
        <w:top w:val="none" w:sz="0" w:space="0" w:color="auto"/>
        <w:left w:val="none" w:sz="0" w:space="0" w:color="auto"/>
        <w:bottom w:val="none" w:sz="0" w:space="0" w:color="auto"/>
        <w:right w:val="none" w:sz="0" w:space="0" w:color="auto"/>
      </w:divBdr>
    </w:div>
    <w:div w:id="1980959008">
      <w:marLeft w:val="0"/>
      <w:marRight w:val="0"/>
      <w:marTop w:val="180"/>
      <w:marBottom w:val="180"/>
      <w:divBdr>
        <w:top w:val="none" w:sz="0" w:space="0" w:color="auto"/>
        <w:left w:val="none" w:sz="0" w:space="0" w:color="auto"/>
        <w:bottom w:val="none" w:sz="0" w:space="0" w:color="auto"/>
        <w:right w:val="none" w:sz="0" w:space="0" w:color="auto"/>
      </w:divBdr>
    </w:div>
    <w:div w:id="1981689259">
      <w:marLeft w:val="0"/>
      <w:marRight w:val="0"/>
      <w:marTop w:val="0"/>
      <w:marBottom w:val="180"/>
      <w:divBdr>
        <w:top w:val="none" w:sz="0" w:space="0" w:color="auto"/>
        <w:left w:val="none" w:sz="0" w:space="0" w:color="auto"/>
        <w:bottom w:val="none" w:sz="0" w:space="0" w:color="auto"/>
        <w:right w:val="none" w:sz="0" w:space="0" w:color="auto"/>
      </w:divBdr>
    </w:div>
    <w:div w:id="1982809253">
      <w:marLeft w:val="0"/>
      <w:marRight w:val="0"/>
      <w:marTop w:val="0"/>
      <w:marBottom w:val="180"/>
      <w:divBdr>
        <w:top w:val="none" w:sz="0" w:space="0" w:color="auto"/>
        <w:left w:val="none" w:sz="0" w:space="0" w:color="auto"/>
        <w:bottom w:val="none" w:sz="0" w:space="0" w:color="auto"/>
        <w:right w:val="none" w:sz="0" w:space="0" w:color="auto"/>
      </w:divBdr>
    </w:div>
    <w:div w:id="1985429720">
      <w:marLeft w:val="0"/>
      <w:marRight w:val="0"/>
      <w:marTop w:val="0"/>
      <w:marBottom w:val="0"/>
      <w:divBdr>
        <w:top w:val="none" w:sz="0" w:space="0" w:color="auto"/>
        <w:left w:val="none" w:sz="0" w:space="0" w:color="auto"/>
        <w:bottom w:val="none" w:sz="0" w:space="0" w:color="auto"/>
        <w:right w:val="none" w:sz="0" w:space="0" w:color="auto"/>
      </w:divBdr>
    </w:div>
    <w:div w:id="1986936246">
      <w:marLeft w:val="0"/>
      <w:marRight w:val="0"/>
      <w:marTop w:val="0"/>
      <w:marBottom w:val="0"/>
      <w:divBdr>
        <w:top w:val="none" w:sz="0" w:space="0" w:color="auto"/>
        <w:left w:val="none" w:sz="0" w:space="0" w:color="auto"/>
        <w:bottom w:val="none" w:sz="0" w:space="0" w:color="auto"/>
        <w:right w:val="none" w:sz="0" w:space="0" w:color="auto"/>
      </w:divBdr>
      <w:divsChild>
        <w:div w:id="745764909">
          <w:marLeft w:val="0"/>
          <w:marRight w:val="0"/>
          <w:marTop w:val="0"/>
          <w:marBottom w:val="180"/>
          <w:divBdr>
            <w:top w:val="none" w:sz="0" w:space="0" w:color="auto"/>
            <w:left w:val="none" w:sz="0" w:space="0" w:color="auto"/>
            <w:bottom w:val="none" w:sz="0" w:space="0" w:color="auto"/>
            <w:right w:val="none" w:sz="0" w:space="0" w:color="auto"/>
          </w:divBdr>
        </w:div>
      </w:divsChild>
    </w:div>
    <w:div w:id="1987666753">
      <w:marLeft w:val="0"/>
      <w:marRight w:val="0"/>
      <w:marTop w:val="120"/>
      <w:marBottom w:val="240"/>
      <w:divBdr>
        <w:top w:val="none" w:sz="0" w:space="0" w:color="auto"/>
        <w:left w:val="none" w:sz="0" w:space="0" w:color="auto"/>
        <w:bottom w:val="none" w:sz="0" w:space="0" w:color="auto"/>
        <w:right w:val="none" w:sz="0" w:space="0" w:color="auto"/>
      </w:divBdr>
    </w:div>
    <w:div w:id="1989625568">
      <w:marLeft w:val="0"/>
      <w:marRight w:val="0"/>
      <w:marTop w:val="180"/>
      <w:marBottom w:val="180"/>
      <w:divBdr>
        <w:top w:val="none" w:sz="0" w:space="0" w:color="auto"/>
        <w:left w:val="none" w:sz="0" w:space="0" w:color="auto"/>
        <w:bottom w:val="none" w:sz="0" w:space="0" w:color="auto"/>
        <w:right w:val="none" w:sz="0" w:space="0" w:color="auto"/>
      </w:divBdr>
    </w:div>
    <w:div w:id="1991520535">
      <w:marLeft w:val="0"/>
      <w:marRight w:val="0"/>
      <w:marTop w:val="120"/>
      <w:marBottom w:val="180"/>
      <w:divBdr>
        <w:top w:val="none" w:sz="0" w:space="0" w:color="auto"/>
        <w:left w:val="none" w:sz="0" w:space="0" w:color="auto"/>
        <w:bottom w:val="none" w:sz="0" w:space="0" w:color="auto"/>
        <w:right w:val="none" w:sz="0" w:space="0" w:color="auto"/>
      </w:divBdr>
    </w:div>
    <w:div w:id="1993169078">
      <w:marLeft w:val="0"/>
      <w:marRight w:val="0"/>
      <w:marTop w:val="120"/>
      <w:marBottom w:val="240"/>
      <w:divBdr>
        <w:top w:val="none" w:sz="0" w:space="0" w:color="auto"/>
        <w:left w:val="none" w:sz="0" w:space="0" w:color="auto"/>
        <w:bottom w:val="none" w:sz="0" w:space="0" w:color="auto"/>
        <w:right w:val="none" w:sz="0" w:space="0" w:color="auto"/>
      </w:divBdr>
    </w:div>
    <w:div w:id="1993637887">
      <w:marLeft w:val="0"/>
      <w:marRight w:val="0"/>
      <w:marTop w:val="0"/>
      <w:marBottom w:val="0"/>
      <w:divBdr>
        <w:top w:val="none" w:sz="0" w:space="0" w:color="auto"/>
        <w:left w:val="none" w:sz="0" w:space="0" w:color="auto"/>
        <w:bottom w:val="none" w:sz="0" w:space="0" w:color="auto"/>
        <w:right w:val="none" w:sz="0" w:space="0" w:color="auto"/>
      </w:divBdr>
    </w:div>
    <w:div w:id="1993945288">
      <w:marLeft w:val="0"/>
      <w:marRight w:val="0"/>
      <w:marTop w:val="0"/>
      <w:marBottom w:val="180"/>
      <w:divBdr>
        <w:top w:val="none" w:sz="0" w:space="0" w:color="auto"/>
        <w:left w:val="none" w:sz="0" w:space="0" w:color="auto"/>
        <w:bottom w:val="none" w:sz="0" w:space="0" w:color="auto"/>
        <w:right w:val="none" w:sz="0" w:space="0" w:color="auto"/>
      </w:divBdr>
    </w:div>
    <w:div w:id="1994916238">
      <w:marLeft w:val="0"/>
      <w:marRight w:val="0"/>
      <w:marTop w:val="180"/>
      <w:marBottom w:val="180"/>
      <w:divBdr>
        <w:top w:val="none" w:sz="0" w:space="0" w:color="auto"/>
        <w:left w:val="none" w:sz="0" w:space="0" w:color="auto"/>
        <w:bottom w:val="none" w:sz="0" w:space="0" w:color="auto"/>
        <w:right w:val="none" w:sz="0" w:space="0" w:color="auto"/>
      </w:divBdr>
    </w:div>
    <w:div w:id="1995377115">
      <w:marLeft w:val="0"/>
      <w:marRight w:val="0"/>
      <w:marTop w:val="100"/>
      <w:marBottom w:val="100"/>
      <w:divBdr>
        <w:top w:val="none" w:sz="0" w:space="0" w:color="auto"/>
        <w:left w:val="none" w:sz="0" w:space="0" w:color="auto"/>
        <w:bottom w:val="none" w:sz="0" w:space="0" w:color="auto"/>
        <w:right w:val="none" w:sz="0" w:space="0" w:color="auto"/>
      </w:divBdr>
    </w:div>
    <w:div w:id="1995989915">
      <w:marLeft w:val="0"/>
      <w:marRight w:val="0"/>
      <w:marTop w:val="0"/>
      <w:marBottom w:val="0"/>
      <w:divBdr>
        <w:top w:val="none" w:sz="0" w:space="0" w:color="auto"/>
        <w:left w:val="none" w:sz="0" w:space="0" w:color="auto"/>
        <w:bottom w:val="none" w:sz="0" w:space="0" w:color="auto"/>
        <w:right w:val="none" w:sz="0" w:space="0" w:color="auto"/>
      </w:divBdr>
      <w:divsChild>
        <w:div w:id="272791520">
          <w:marLeft w:val="0"/>
          <w:marRight w:val="0"/>
          <w:marTop w:val="0"/>
          <w:marBottom w:val="0"/>
          <w:divBdr>
            <w:top w:val="none" w:sz="0" w:space="0" w:color="auto"/>
            <w:left w:val="none" w:sz="0" w:space="0" w:color="auto"/>
            <w:bottom w:val="none" w:sz="0" w:space="0" w:color="auto"/>
            <w:right w:val="none" w:sz="0" w:space="0" w:color="auto"/>
          </w:divBdr>
        </w:div>
      </w:divsChild>
    </w:div>
    <w:div w:id="1997300218">
      <w:marLeft w:val="0"/>
      <w:marRight w:val="0"/>
      <w:marTop w:val="0"/>
      <w:marBottom w:val="240"/>
      <w:divBdr>
        <w:top w:val="none" w:sz="0" w:space="0" w:color="auto"/>
        <w:left w:val="none" w:sz="0" w:space="0" w:color="auto"/>
        <w:bottom w:val="none" w:sz="0" w:space="0" w:color="auto"/>
        <w:right w:val="none" w:sz="0" w:space="0" w:color="auto"/>
      </w:divBdr>
    </w:div>
    <w:div w:id="1997563099">
      <w:marLeft w:val="0"/>
      <w:marRight w:val="0"/>
      <w:marTop w:val="0"/>
      <w:marBottom w:val="0"/>
      <w:divBdr>
        <w:top w:val="none" w:sz="0" w:space="0" w:color="auto"/>
        <w:left w:val="none" w:sz="0" w:space="0" w:color="auto"/>
        <w:bottom w:val="none" w:sz="0" w:space="0" w:color="auto"/>
        <w:right w:val="none" w:sz="0" w:space="0" w:color="auto"/>
      </w:divBdr>
      <w:divsChild>
        <w:div w:id="1632705631">
          <w:marLeft w:val="0"/>
          <w:marRight w:val="0"/>
          <w:marTop w:val="0"/>
          <w:marBottom w:val="0"/>
          <w:divBdr>
            <w:top w:val="none" w:sz="0" w:space="0" w:color="auto"/>
            <w:left w:val="none" w:sz="0" w:space="0" w:color="auto"/>
            <w:bottom w:val="none" w:sz="0" w:space="0" w:color="auto"/>
            <w:right w:val="none" w:sz="0" w:space="0" w:color="auto"/>
          </w:divBdr>
        </w:div>
      </w:divsChild>
    </w:div>
    <w:div w:id="2001158849">
      <w:marLeft w:val="0"/>
      <w:marRight w:val="0"/>
      <w:marTop w:val="0"/>
      <w:marBottom w:val="0"/>
      <w:divBdr>
        <w:top w:val="none" w:sz="0" w:space="0" w:color="auto"/>
        <w:left w:val="none" w:sz="0" w:space="0" w:color="auto"/>
        <w:bottom w:val="none" w:sz="0" w:space="0" w:color="auto"/>
        <w:right w:val="none" w:sz="0" w:space="0" w:color="auto"/>
      </w:divBdr>
    </w:div>
    <w:div w:id="2001736890">
      <w:marLeft w:val="0"/>
      <w:marRight w:val="0"/>
      <w:marTop w:val="180"/>
      <w:marBottom w:val="180"/>
      <w:divBdr>
        <w:top w:val="none" w:sz="0" w:space="0" w:color="auto"/>
        <w:left w:val="none" w:sz="0" w:space="0" w:color="auto"/>
        <w:bottom w:val="none" w:sz="0" w:space="0" w:color="auto"/>
        <w:right w:val="none" w:sz="0" w:space="0" w:color="auto"/>
      </w:divBdr>
    </w:div>
    <w:div w:id="2003966243">
      <w:marLeft w:val="0"/>
      <w:marRight w:val="0"/>
      <w:marTop w:val="120"/>
      <w:marBottom w:val="120"/>
      <w:divBdr>
        <w:top w:val="none" w:sz="0" w:space="0" w:color="auto"/>
        <w:left w:val="none" w:sz="0" w:space="0" w:color="auto"/>
        <w:bottom w:val="none" w:sz="0" w:space="0" w:color="auto"/>
        <w:right w:val="none" w:sz="0" w:space="0" w:color="auto"/>
      </w:divBdr>
    </w:div>
    <w:div w:id="2004509846">
      <w:marLeft w:val="0"/>
      <w:marRight w:val="0"/>
      <w:marTop w:val="0"/>
      <w:marBottom w:val="240"/>
      <w:divBdr>
        <w:top w:val="none" w:sz="0" w:space="0" w:color="auto"/>
        <w:left w:val="none" w:sz="0" w:space="0" w:color="auto"/>
        <w:bottom w:val="none" w:sz="0" w:space="0" w:color="auto"/>
        <w:right w:val="none" w:sz="0" w:space="0" w:color="auto"/>
      </w:divBdr>
    </w:div>
    <w:div w:id="2007397398">
      <w:marLeft w:val="0"/>
      <w:marRight w:val="0"/>
      <w:marTop w:val="0"/>
      <w:marBottom w:val="240"/>
      <w:divBdr>
        <w:top w:val="none" w:sz="0" w:space="0" w:color="auto"/>
        <w:left w:val="none" w:sz="0" w:space="0" w:color="auto"/>
        <w:bottom w:val="none" w:sz="0" w:space="0" w:color="auto"/>
        <w:right w:val="none" w:sz="0" w:space="0" w:color="auto"/>
      </w:divBdr>
    </w:div>
    <w:div w:id="2011562595">
      <w:marLeft w:val="0"/>
      <w:marRight w:val="0"/>
      <w:marTop w:val="0"/>
      <w:marBottom w:val="0"/>
      <w:divBdr>
        <w:top w:val="none" w:sz="0" w:space="0" w:color="auto"/>
        <w:left w:val="none" w:sz="0" w:space="0" w:color="auto"/>
        <w:bottom w:val="none" w:sz="0" w:space="0" w:color="auto"/>
        <w:right w:val="none" w:sz="0" w:space="0" w:color="auto"/>
      </w:divBdr>
      <w:divsChild>
        <w:div w:id="2040668440">
          <w:marLeft w:val="0"/>
          <w:marRight w:val="0"/>
          <w:marTop w:val="0"/>
          <w:marBottom w:val="0"/>
          <w:divBdr>
            <w:top w:val="none" w:sz="0" w:space="0" w:color="auto"/>
            <w:left w:val="none" w:sz="0" w:space="0" w:color="auto"/>
            <w:bottom w:val="none" w:sz="0" w:space="0" w:color="auto"/>
            <w:right w:val="none" w:sz="0" w:space="0" w:color="auto"/>
          </w:divBdr>
        </w:div>
      </w:divsChild>
    </w:div>
    <w:div w:id="2011641610">
      <w:marLeft w:val="0"/>
      <w:marRight w:val="0"/>
      <w:marTop w:val="120"/>
      <w:marBottom w:val="120"/>
      <w:divBdr>
        <w:top w:val="none" w:sz="0" w:space="0" w:color="auto"/>
        <w:left w:val="none" w:sz="0" w:space="0" w:color="auto"/>
        <w:bottom w:val="none" w:sz="0" w:space="0" w:color="auto"/>
        <w:right w:val="none" w:sz="0" w:space="0" w:color="auto"/>
      </w:divBdr>
    </w:div>
    <w:div w:id="2014606466">
      <w:marLeft w:val="0"/>
      <w:marRight w:val="0"/>
      <w:marTop w:val="0"/>
      <w:marBottom w:val="180"/>
      <w:divBdr>
        <w:top w:val="none" w:sz="0" w:space="0" w:color="auto"/>
        <w:left w:val="none" w:sz="0" w:space="0" w:color="auto"/>
        <w:bottom w:val="none" w:sz="0" w:space="0" w:color="auto"/>
        <w:right w:val="none" w:sz="0" w:space="0" w:color="auto"/>
      </w:divBdr>
    </w:div>
    <w:div w:id="2017616205">
      <w:marLeft w:val="0"/>
      <w:marRight w:val="0"/>
      <w:marTop w:val="0"/>
      <w:marBottom w:val="180"/>
      <w:divBdr>
        <w:top w:val="none" w:sz="0" w:space="0" w:color="auto"/>
        <w:left w:val="none" w:sz="0" w:space="0" w:color="auto"/>
        <w:bottom w:val="none" w:sz="0" w:space="0" w:color="auto"/>
        <w:right w:val="none" w:sz="0" w:space="0" w:color="auto"/>
      </w:divBdr>
    </w:div>
    <w:div w:id="2018383033">
      <w:marLeft w:val="0"/>
      <w:marRight w:val="0"/>
      <w:marTop w:val="0"/>
      <w:marBottom w:val="180"/>
      <w:divBdr>
        <w:top w:val="none" w:sz="0" w:space="0" w:color="auto"/>
        <w:left w:val="none" w:sz="0" w:space="0" w:color="auto"/>
        <w:bottom w:val="none" w:sz="0" w:space="0" w:color="auto"/>
        <w:right w:val="none" w:sz="0" w:space="0" w:color="auto"/>
      </w:divBdr>
    </w:div>
    <w:div w:id="2018464150">
      <w:marLeft w:val="0"/>
      <w:marRight w:val="0"/>
      <w:marTop w:val="180"/>
      <w:marBottom w:val="180"/>
      <w:divBdr>
        <w:top w:val="none" w:sz="0" w:space="0" w:color="auto"/>
        <w:left w:val="none" w:sz="0" w:space="0" w:color="auto"/>
        <w:bottom w:val="none" w:sz="0" w:space="0" w:color="auto"/>
        <w:right w:val="none" w:sz="0" w:space="0" w:color="auto"/>
      </w:divBdr>
    </w:div>
    <w:div w:id="2019456528">
      <w:marLeft w:val="0"/>
      <w:marRight w:val="0"/>
      <w:marTop w:val="0"/>
      <w:marBottom w:val="0"/>
      <w:divBdr>
        <w:top w:val="none" w:sz="0" w:space="0" w:color="auto"/>
        <w:left w:val="none" w:sz="0" w:space="0" w:color="auto"/>
        <w:bottom w:val="none" w:sz="0" w:space="0" w:color="auto"/>
        <w:right w:val="none" w:sz="0" w:space="0" w:color="auto"/>
      </w:divBdr>
    </w:div>
    <w:div w:id="2020698063">
      <w:marLeft w:val="0"/>
      <w:marRight w:val="0"/>
      <w:marTop w:val="120"/>
      <w:marBottom w:val="120"/>
      <w:divBdr>
        <w:top w:val="none" w:sz="0" w:space="0" w:color="auto"/>
        <w:left w:val="none" w:sz="0" w:space="0" w:color="auto"/>
        <w:bottom w:val="none" w:sz="0" w:space="0" w:color="auto"/>
        <w:right w:val="none" w:sz="0" w:space="0" w:color="auto"/>
      </w:divBdr>
    </w:div>
    <w:div w:id="2022929095">
      <w:marLeft w:val="0"/>
      <w:marRight w:val="0"/>
      <w:marTop w:val="180"/>
      <w:marBottom w:val="180"/>
      <w:divBdr>
        <w:top w:val="none" w:sz="0" w:space="0" w:color="auto"/>
        <w:left w:val="none" w:sz="0" w:space="0" w:color="auto"/>
        <w:bottom w:val="none" w:sz="0" w:space="0" w:color="auto"/>
        <w:right w:val="none" w:sz="0" w:space="0" w:color="auto"/>
      </w:divBdr>
    </w:div>
    <w:div w:id="2024746948">
      <w:marLeft w:val="0"/>
      <w:marRight w:val="0"/>
      <w:marTop w:val="0"/>
      <w:marBottom w:val="0"/>
      <w:divBdr>
        <w:top w:val="none" w:sz="0" w:space="0" w:color="auto"/>
        <w:left w:val="none" w:sz="0" w:space="0" w:color="auto"/>
        <w:bottom w:val="none" w:sz="0" w:space="0" w:color="auto"/>
        <w:right w:val="none" w:sz="0" w:space="0" w:color="auto"/>
      </w:divBdr>
      <w:divsChild>
        <w:div w:id="2129426840">
          <w:marLeft w:val="0"/>
          <w:marRight w:val="0"/>
          <w:marTop w:val="0"/>
          <w:marBottom w:val="0"/>
          <w:divBdr>
            <w:top w:val="none" w:sz="0" w:space="0" w:color="auto"/>
            <w:left w:val="none" w:sz="0" w:space="0" w:color="auto"/>
            <w:bottom w:val="none" w:sz="0" w:space="0" w:color="auto"/>
            <w:right w:val="none" w:sz="0" w:space="0" w:color="auto"/>
          </w:divBdr>
        </w:div>
      </w:divsChild>
    </w:div>
    <w:div w:id="2025013380">
      <w:marLeft w:val="0"/>
      <w:marRight w:val="0"/>
      <w:marTop w:val="0"/>
      <w:marBottom w:val="0"/>
      <w:divBdr>
        <w:top w:val="none" w:sz="0" w:space="0" w:color="auto"/>
        <w:left w:val="none" w:sz="0" w:space="0" w:color="auto"/>
        <w:bottom w:val="none" w:sz="0" w:space="0" w:color="auto"/>
        <w:right w:val="none" w:sz="0" w:space="0" w:color="auto"/>
      </w:divBdr>
      <w:divsChild>
        <w:div w:id="350379121">
          <w:marLeft w:val="0"/>
          <w:marRight w:val="0"/>
          <w:marTop w:val="0"/>
          <w:marBottom w:val="0"/>
          <w:divBdr>
            <w:top w:val="none" w:sz="0" w:space="0" w:color="auto"/>
            <w:left w:val="none" w:sz="0" w:space="0" w:color="auto"/>
            <w:bottom w:val="none" w:sz="0" w:space="0" w:color="auto"/>
            <w:right w:val="none" w:sz="0" w:space="0" w:color="auto"/>
          </w:divBdr>
        </w:div>
      </w:divsChild>
    </w:div>
    <w:div w:id="2025857745">
      <w:marLeft w:val="0"/>
      <w:marRight w:val="0"/>
      <w:marTop w:val="0"/>
      <w:marBottom w:val="180"/>
      <w:divBdr>
        <w:top w:val="none" w:sz="0" w:space="0" w:color="auto"/>
        <w:left w:val="none" w:sz="0" w:space="0" w:color="auto"/>
        <w:bottom w:val="none" w:sz="0" w:space="0" w:color="auto"/>
        <w:right w:val="none" w:sz="0" w:space="0" w:color="auto"/>
      </w:divBdr>
    </w:div>
    <w:div w:id="2026011952">
      <w:marLeft w:val="0"/>
      <w:marRight w:val="0"/>
      <w:marTop w:val="180"/>
      <w:marBottom w:val="180"/>
      <w:divBdr>
        <w:top w:val="none" w:sz="0" w:space="0" w:color="auto"/>
        <w:left w:val="none" w:sz="0" w:space="0" w:color="auto"/>
        <w:bottom w:val="none" w:sz="0" w:space="0" w:color="auto"/>
        <w:right w:val="none" w:sz="0" w:space="0" w:color="auto"/>
      </w:divBdr>
    </w:div>
    <w:div w:id="2026127053">
      <w:marLeft w:val="0"/>
      <w:marRight w:val="0"/>
      <w:marTop w:val="0"/>
      <w:marBottom w:val="240"/>
      <w:divBdr>
        <w:top w:val="none" w:sz="0" w:space="0" w:color="auto"/>
        <w:left w:val="none" w:sz="0" w:space="0" w:color="auto"/>
        <w:bottom w:val="none" w:sz="0" w:space="0" w:color="auto"/>
        <w:right w:val="none" w:sz="0" w:space="0" w:color="auto"/>
      </w:divBdr>
    </w:div>
    <w:div w:id="2026786208">
      <w:marLeft w:val="0"/>
      <w:marRight w:val="0"/>
      <w:marTop w:val="0"/>
      <w:marBottom w:val="180"/>
      <w:divBdr>
        <w:top w:val="none" w:sz="0" w:space="0" w:color="auto"/>
        <w:left w:val="none" w:sz="0" w:space="0" w:color="auto"/>
        <w:bottom w:val="none" w:sz="0" w:space="0" w:color="auto"/>
        <w:right w:val="none" w:sz="0" w:space="0" w:color="auto"/>
      </w:divBdr>
    </w:div>
    <w:div w:id="2028555087">
      <w:marLeft w:val="0"/>
      <w:marRight w:val="0"/>
      <w:marTop w:val="0"/>
      <w:marBottom w:val="180"/>
      <w:divBdr>
        <w:top w:val="none" w:sz="0" w:space="0" w:color="auto"/>
        <w:left w:val="none" w:sz="0" w:space="0" w:color="auto"/>
        <w:bottom w:val="none" w:sz="0" w:space="0" w:color="auto"/>
        <w:right w:val="none" w:sz="0" w:space="0" w:color="auto"/>
      </w:divBdr>
    </w:div>
    <w:div w:id="2029259727">
      <w:marLeft w:val="0"/>
      <w:marRight w:val="0"/>
      <w:marTop w:val="180"/>
      <w:marBottom w:val="180"/>
      <w:divBdr>
        <w:top w:val="none" w:sz="0" w:space="0" w:color="auto"/>
        <w:left w:val="none" w:sz="0" w:space="0" w:color="auto"/>
        <w:bottom w:val="none" w:sz="0" w:space="0" w:color="auto"/>
        <w:right w:val="none" w:sz="0" w:space="0" w:color="auto"/>
      </w:divBdr>
    </w:div>
    <w:div w:id="2032534846">
      <w:marLeft w:val="0"/>
      <w:marRight w:val="0"/>
      <w:marTop w:val="120"/>
      <w:marBottom w:val="180"/>
      <w:divBdr>
        <w:top w:val="none" w:sz="0" w:space="0" w:color="auto"/>
        <w:left w:val="none" w:sz="0" w:space="0" w:color="auto"/>
        <w:bottom w:val="none" w:sz="0" w:space="0" w:color="auto"/>
        <w:right w:val="none" w:sz="0" w:space="0" w:color="auto"/>
      </w:divBdr>
    </w:div>
    <w:div w:id="2032877321">
      <w:marLeft w:val="0"/>
      <w:marRight w:val="0"/>
      <w:marTop w:val="180"/>
      <w:marBottom w:val="180"/>
      <w:divBdr>
        <w:top w:val="none" w:sz="0" w:space="0" w:color="auto"/>
        <w:left w:val="none" w:sz="0" w:space="0" w:color="auto"/>
        <w:bottom w:val="none" w:sz="0" w:space="0" w:color="auto"/>
        <w:right w:val="none" w:sz="0" w:space="0" w:color="auto"/>
      </w:divBdr>
    </w:div>
    <w:div w:id="2033413250">
      <w:marLeft w:val="0"/>
      <w:marRight w:val="0"/>
      <w:marTop w:val="0"/>
      <w:marBottom w:val="240"/>
      <w:divBdr>
        <w:top w:val="none" w:sz="0" w:space="0" w:color="auto"/>
        <w:left w:val="none" w:sz="0" w:space="0" w:color="auto"/>
        <w:bottom w:val="none" w:sz="0" w:space="0" w:color="auto"/>
        <w:right w:val="none" w:sz="0" w:space="0" w:color="auto"/>
      </w:divBdr>
    </w:div>
    <w:div w:id="2034260136">
      <w:marLeft w:val="0"/>
      <w:marRight w:val="0"/>
      <w:marTop w:val="120"/>
      <w:marBottom w:val="120"/>
      <w:divBdr>
        <w:top w:val="none" w:sz="0" w:space="0" w:color="auto"/>
        <w:left w:val="none" w:sz="0" w:space="0" w:color="auto"/>
        <w:bottom w:val="none" w:sz="0" w:space="0" w:color="auto"/>
        <w:right w:val="none" w:sz="0" w:space="0" w:color="auto"/>
      </w:divBdr>
    </w:div>
    <w:div w:id="2035038604">
      <w:marLeft w:val="0"/>
      <w:marRight w:val="0"/>
      <w:marTop w:val="0"/>
      <w:marBottom w:val="0"/>
      <w:divBdr>
        <w:top w:val="none" w:sz="0" w:space="0" w:color="auto"/>
        <w:left w:val="none" w:sz="0" w:space="0" w:color="auto"/>
        <w:bottom w:val="none" w:sz="0" w:space="0" w:color="auto"/>
        <w:right w:val="none" w:sz="0" w:space="0" w:color="auto"/>
      </w:divBdr>
      <w:divsChild>
        <w:div w:id="369185694">
          <w:marLeft w:val="0"/>
          <w:marRight w:val="0"/>
          <w:marTop w:val="0"/>
          <w:marBottom w:val="0"/>
          <w:divBdr>
            <w:top w:val="none" w:sz="0" w:space="0" w:color="auto"/>
            <w:left w:val="none" w:sz="0" w:space="0" w:color="auto"/>
            <w:bottom w:val="none" w:sz="0" w:space="0" w:color="auto"/>
            <w:right w:val="none" w:sz="0" w:space="0" w:color="auto"/>
          </w:divBdr>
        </w:div>
      </w:divsChild>
    </w:div>
    <w:div w:id="2035417260">
      <w:marLeft w:val="0"/>
      <w:marRight w:val="0"/>
      <w:marTop w:val="60"/>
      <w:marBottom w:val="0"/>
      <w:divBdr>
        <w:top w:val="none" w:sz="0" w:space="0" w:color="auto"/>
        <w:left w:val="none" w:sz="0" w:space="0" w:color="auto"/>
        <w:bottom w:val="none" w:sz="0" w:space="0" w:color="auto"/>
        <w:right w:val="none" w:sz="0" w:space="0" w:color="auto"/>
      </w:divBdr>
    </w:div>
    <w:div w:id="2035645105">
      <w:marLeft w:val="0"/>
      <w:marRight w:val="0"/>
      <w:marTop w:val="120"/>
      <w:marBottom w:val="120"/>
      <w:divBdr>
        <w:top w:val="none" w:sz="0" w:space="0" w:color="auto"/>
        <w:left w:val="none" w:sz="0" w:space="0" w:color="auto"/>
        <w:bottom w:val="none" w:sz="0" w:space="0" w:color="auto"/>
        <w:right w:val="none" w:sz="0" w:space="0" w:color="auto"/>
      </w:divBdr>
    </w:div>
    <w:div w:id="2035842697">
      <w:marLeft w:val="0"/>
      <w:marRight w:val="0"/>
      <w:marTop w:val="0"/>
      <w:marBottom w:val="180"/>
      <w:divBdr>
        <w:top w:val="none" w:sz="0" w:space="0" w:color="auto"/>
        <w:left w:val="none" w:sz="0" w:space="0" w:color="auto"/>
        <w:bottom w:val="none" w:sz="0" w:space="0" w:color="auto"/>
        <w:right w:val="none" w:sz="0" w:space="0" w:color="auto"/>
      </w:divBdr>
    </w:div>
    <w:div w:id="2036274145">
      <w:marLeft w:val="0"/>
      <w:marRight w:val="0"/>
      <w:marTop w:val="120"/>
      <w:marBottom w:val="120"/>
      <w:divBdr>
        <w:top w:val="none" w:sz="0" w:space="0" w:color="auto"/>
        <w:left w:val="none" w:sz="0" w:space="0" w:color="auto"/>
        <w:bottom w:val="none" w:sz="0" w:space="0" w:color="auto"/>
        <w:right w:val="none" w:sz="0" w:space="0" w:color="auto"/>
      </w:divBdr>
    </w:div>
    <w:div w:id="2036731236">
      <w:marLeft w:val="0"/>
      <w:marRight w:val="0"/>
      <w:marTop w:val="0"/>
      <w:marBottom w:val="0"/>
      <w:divBdr>
        <w:top w:val="none" w:sz="0" w:space="0" w:color="auto"/>
        <w:left w:val="none" w:sz="0" w:space="0" w:color="auto"/>
        <w:bottom w:val="none" w:sz="0" w:space="0" w:color="auto"/>
        <w:right w:val="none" w:sz="0" w:space="0" w:color="auto"/>
      </w:divBdr>
    </w:div>
    <w:div w:id="2037998523">
      <w:marLeft w:val="0"/>
      <w:marRight w:val="0"/>
      <w:marTop w:val="100"/>
      <w:marBottom w:val="100"/>
      <w:divBdr>
        <w:top w:val="none" w:sz="0" w:space="0" w:color="auto"/>
        <w:left w:val="none" w:sz="0" w:space="0" w:color="auto"/>
        <w:bottom w:val="none" w:sz="0" w:space="0" w:color="auto"/>
        <w:right w:val="none" w:sz="0" w:space="0" w:color="auto"/>
      </w:divBdr>
    </w:div>
    <w:div w:id="2039430475">
      <w:marLeft w:val="0"/>
      <w:marRight w:val="0"/>
      <w:marTop w:val="0"/>
      <w:marBottom w:val="240"/>
      <w:divBdr>
        <w:top w:val="none" w:sz="0" w:space="0" w:color="auto"/>
        <w:left w:val="none" w:sz="0" w:space="0" w:color="auto"/>
        <w:bottom w:val="none" w:sz="0" w:space="0" w:color="auto"/>
        <w:right w:val="none" w:sz="0" w:space="0" w:color="auto"/>
      </w:divBdr>
    </w:div>
    <w:div w:id="2040625963">
      <w:marLeft w:val="0"/>
      <w:marRight w:val="0"/>
      <w:marTop w:val="0"/>
      <w:marBottom w:val="180"/>
      <w:divBdr>
        <w:top w:val="none" w:sz="0" w:space="0" w:color="auto"/>
        <w:left w:val="none" w:sz="0" w:space="0" w:color="auto"/>
        <w:bottom w:val="none" w:sz="0" w:space="0" w:color="auto"/>
        <w:right w:val="none" w:sz="0" w:space="0" w:color="auto"/>
      </w:divBdr>
    </w:div>
    <w:div w:id="2040930064">
      <w:marLeft w:val="0"/>
      <w:marRight w:val="0"/>
      <w:marTop w:val="120"/>
      <w:marBottom w:val="120"/>
      <w:divBdr>
        <w:top w:val="none" w:sz="0" w:space="0" w:color="auto"/>
        <w:left w:val="none" w:sz="0" w:space="0" w:color="auto"/>
        <w:bottom w:val="none" w:sz="0" w:space="0" w:color="auto"/>
        <w:right w:val="none" w:sz="0" w:space="0" w:color="auto"/>
      </w:divBdr>
    </w:div>
    <w:div w:id="2043550402">
      <w:marLeft w:val="0"/>
      <w:marRight w:val="0"/>
      <w:marTop w:val="0"/>
      <w:marBottom w:val="240"/>
      <w:divBdr>
        <w:top w:val="none" w:sz="0" w:space="0" w:color="auto"/>
        <w:left w:val="none" w:sz="0" w:space="0" w:color="auto"/>
        <w:bottom w:val="none" w:sz="0" w:space="0" w:color="auto"/>
        <w:right w:val="none" w:sz="0" w:space="0" w:color="auto"/>
      </w:divBdr>
    </w:div>
    <w:div w:id="2044286672">
      <w:marLeft w:val="0"/>
      <w:marRight w:val="0"/>
      <w:marTop w:val="0"/>
      <w:marBottom w:val="0"/>
      <w:divBdr>
        <w:top w:val="none" w:sz="0" w:space="0" w:color="auto"/>
        <w:left w:val="none" w:sz="0" w:space="0" w:color="auto"/>
        <w:bottom w:val="none" w:sz="0" w:space="0" w:color="auto"/>
        <w:right w:val="none" w:sz="0" w:space="0" w:color="auto"/>
      </w:divBdr>
      <w:divsChild>
        <w:div w:id="1797409260">
          <w:marLeft w:val="0"/>
          <w:marRight w:val="0"/>
          <w:marTop w:val="0"/>
          <w:marBottom w:val="0"/>
          <w:divBdr>
            <w:top w:val="none" w:sz="0" w:space="0" w:color="auto"/>
            <w:left w:val="none" w:sz="0" w:space="0" w:color="auto"/>
            <w:bottom w:val="none" w:sz="0" w:space="0" w:color="auto"/>
            <w:right w:val="none" w:sz="0" w:space="0" w:color="auto"/>
          </w:divBdr>
        </w:div>
      </w:divsChild>
    </w:div>
    <w:div w:id="2046516158">
      <w:marLeft w:val="0"/>
      <w:marRight w:val="0"/>
      <w:marTop w:val="100"/>
      <w:marBottom w:val="100"/>
      <w:divBdr>
        <w:top w:val="none" w:sz="0" w:space="0" w:color="auto"/>
        <w:left w:val="none" w:sz="0" w:space="0" w:color="auto"/>
        <w:bottom w:val="none" w:sz="0" w:space="0" w:color="auto"/>
        <w:right w:val="none" w:sz="0" w:space="0" w:color="auto"/>
      </w:divBdr>
    </w:div>
    <w:div w:id="2046783343">
      <w:marLeft w:val="0"/>
      <w:marRight w:val="0"/>
      <w:marTop w:val="0"/>
      <w:marBottom w:val="0"/>
      <w:divBdr>
        <w:top w:val="none" w:sz="0" w:space="0" w:color="auto"/>
        <w:left w:val="none" w:sz="0" w:space="0" w:color="auto"/>
        <w:bottom w:val="none" w:sz="0" w:space="0" w:color="auto"/>
        <w:right w:val="none" w:sz="0" w:space="0" w:color="auto"/>
      </w:divBdr>
    </w:div>
    <w:div w:id="2047875163">
      <w:marLeft w:val="0"/>
      <w:marRight w:val="0"/>
      <w:marTop w:val="0"/>
      <w:marBottom w:val="240"/>
      <w:divBdr>
        <w:top w:val="none" w:sz="0" w:space="0" w:color="auto"/>
        <w:left w:val="none" w:sz="0" w:space="0" w:color="auto"/>
        <w:bottom w:val="none" w:sz="0" w:space="0" w:color="auto"/>
        <w:right w:val="none" w:sz="0" w:space="0" w:color="auto"/>
      </w:divBdr>
    </w:div>
    <w:div w:id="2053380095">
      <w:marLeft w:val="0"/>
      <w:marRight w:val="0"/>
      <w:marTop w:val="0"/>
      <w:marBottom w:val="0"/>
      <w:divBdr>
        <w:top w:val="none" w:sz="0" w:space="0" w:color="auto"/>
        <w:left w:val="none" w:sz="0" w:space="0" w:color="auto"/>
        <w:bottom w:val="none" w:sz="0" w:space="0" w:color="auto"/>
        <w:right w:val="none" w:sz="0" w:space="0" w:color="auto"/>
      </w:divBdr>
    </w:div>
    <w:div w:id="2060862488">
      <w:marLeft w:val="0"/>
      <w:marRight w:val="0"/>
      <w:marTop w:val="0"/>
      <w:marBottom w:val="0"/>
      <w:divBdr>
        <w:top w:val="none" w:sz="0" w:space="0" w:color="auto"/>
        <w:left w:val="none" w:sz="0" w:space="0" w:color="auto"/>
        <w:bottom w:val="none" w:sz="0" w:space="0" w:color="auto"/>
        <w:right w:val="none" w:sz="0" w:space="0" w:color="auto"/>
      </w:divBdr>
    </w:div>
    <w:div w:id="2062709917">
      <w:marLeft w:val="0"/>
      <w:marRight w:val="0"/>
      <w:marTop w:val="0"/>
      <w:marBottom w:val="0"/>
      <w:divBdr>
        <w:top w:val="none" w:sz="0" w:space="0" w:color="auto"/>
        <w:left w:val="none" w:sz="0" w:space="0" w:color="auto"/>
        <w:bottom w:val="none" w:sz="0" w:space="0" w:color="auto"/>
        <w:right w:val="none" w:sz="0" w:space="0" w:color="auto"/>
      </w:divBdr>
      <w:divsChild>
        <w:div w:id="1535994397">
          <w:marLeft w:val="0"/>
          <w:marRight w:val="0"/>
          <w:marTop w:val="0"/>
          <w:marBottom w:val="0"/>
          <w:divBdr>
            <w:top w:val="none" w:sz="0" w:space="0" w:color="auto"/>
            <w:left w:val="none" w:sz="0" w:space="0" w:color="auto"/>
            <w:bottom w:val="none" w:sz="0" w:space="0" w:color="auto"/>
            <w:right w:val="none" w:sz="0" w:space="0" w:color="auto"/>
          </w:divBdr>
        </w:div>
      </w:divsChild>
    </w:div>
    <w:div w:id="2063677861">
      <w:marLeft w:val="0"/>
      <w:marRight w:val="0"/>
      <w:marTop w:val="120"/>
      <w:marBottom w:val="120"/>
      <w:divBdr>
        <w:top w:val="none" w:sz="0" w:space="0" w:color="auto"/>
        <w:left w:val="none" w:sz="0" w:space="0" w:color="auto"/>
        <w:bottom w:val="none" w:sz="0" w:space="0" w:color="auto"/>
        <w:right w:val="none" w:sz="0" w:space="0" w:color="auto"/>
      </w:divBdr>
    </w:div>
    <w:div w:id="2064791449">
      <w:marLeft w:val="0"/>
      <w:marRight w:val="0"/>
      <w:marTop w:val="0"/>
      <w:marBottom w:val="240"/>
      <w:divBdr>
        <w:top w:val="none" w:sz="0" w:space="0" w:color="auto"/>
        <w:left w:val="none" w:sz="0" w:space="0" w:color="auto"/>
        <w:bottom w:val="none" w:sz="0" w:space="0" w:color="auto"/>
        <w:right w:val="none" w:sz="0" w:space="0" w:color="auto"/>
      </w:divBdr>
    </w:div>
    <w:div w:id="2065567560">
      <w:marLeft w:val="0"/>
      <w:marRight w:val="0"/>
      <w:marTop w:val="0"/>
      <w:marBottom w:val="0"/>
      <w:divBdr>
        <w:top w:val="none" w:sz="0" w:space="0" w:color="auto"/>
        <w:left w:val="none" w:sz="0" w:space="0" w:color="auto"/>
        <w:bottom w:val="none" w:sz="0" w:space="0" w:color="auto"/>
        <w:right w:val="none" w:sz="0" w:space="0" w:color="auto"/>
      </w:divBdr>
    </w:div>
    <w:div w:id="2066373475">
      <w:marLeft w:val="0"/>
      <w:marRight w:val="0"/>
      <w:marTop w:val="100"/>
      <w:marBottom w:val="100"/>
      <w:divBdr>
        <w:top w:val="none" w:sz="0" w:space="0" w:color="auto"/>
        <w:left w:val="none" w:sz="0" w:space="0" w:color="auto"/>
        <w:bottom w:val="none" w:sz="0" w:space="0" w:color="auto"/>
        <w:right w:val="none" w:sz="0" w:space="0" w:color="auto"/>
      </w:divBdr>
    </w:div>
    <w:div w:id="2066831656">
      <w:marLeft w:val="0"/>
      <w:marRight w:val="0"/>
      <w:marTop w:val="0"/>
      <w:marBottom w:val="180"/>
      <w:divBdr>
        <w:top w:val="none" w:sz="0" w:space="0" w:color="auto"/>
        <w:left w:val="none" w:sz="0" w:space="0" w:color="auto"/>
        <w:bottom w:val="none" w:sz="0" w:space="0" w:color="auto"/>
        <w:right w:val="none" w:sz="0" w:space="0" w:color="auto"/>
      </w:divBdr>
    </w:div>
    <w:div w:id="2068842802">
      <w:marLeft w:val="0"/>
      <w:marRight w:val="0"/>
      <w:marTop w:val="0"/>
      <w:marBottom w:val="0"/>
      <w:divBdr>
        <w:top w:val="none" w:sz="0" w:space="0" w:color="auto"/>
        <w:left w:val="none" w:sz="0" w:space="0" w:color="auto"/>
        <w:bottom w:val="none" w:sz="0" w:space="0" w:color="auto"/>
        <w:right w:val="none" w:sz="0" w:space="0" w:color="auto"/>
      </w:divBdr>
    </w:div>
    <w:div w:id="2072119911">
      <w:marLeft w:val="0"/>
      <w:marRight w:val="0"/>
      <w:marTop w:val="120"/>
      <w:marBottom w:val="120"/>
      <w:divBdr>
        <w:top w:val="none" w:sz="0" w:space="0" w:color="auto"/>
        <w:left w:val="none" w:sz="0" w:space="0" w:color="auto"/>
        <w:bottom w:val="none" w:sz="0" w:space="0" w:color="auto"/>
        <w:right w:val="none" w:sz="0" w:space="0" w:color="auto"/>
      </w:divBdr>
    </w:div>
    <w:div w:id="2072270359">
      <w:marLeft w:val="0"/>
      <w:marRight w:val="0"/>
      <w:marTop w:val="0"/>
      <w:marBottom w:val="240"/>
      <w:divBdr>
        <w:top w:val="none" w:sz="0" w:space="0" w:color="auto"/>
        <w:left w:val="none" w:sz="0" w:space="0" w:color="auto"/>
        <w:bottom w:val="none" w:sz="0" w:space="0" w:color="auto"/>
        <w:right w:val="none" w:sz="0" w:space="0" w:color="auto"/>
      </w:divBdr>
    </w:div>
    <w:div w:id="2073768457">
      <w:marLeft w:val="0"/>
      <w:marRight w:val="0"/>
      <w:marTop w:val="0"/>
      <w:marBottom w:val="0"/>
      <w:divBdr>
        <w:top w:val="none" w:sz="0" w:space="0" w:color="auto"/>
        <w:left w:val="none" w:sz="0" w:space="0" w:color="auto"/>
        <w:bottom w:val="none" w:sz="0" w:space="0" w:color="auto"/>
        <w:right w:val="none" w:sz="0" w:space="0" w:color="auto"/>
      </w:divBdr>
      <w:divsChild>
        <w:div w:id="648824396">
          <w:marLeft w:val="0"/>
          <w:marRight w:val="0"/>
          <w:marTop w:val="0"/>
          <w:marBottom w:val="0"/>
          <w:divBdr>
            <w:top w:val="none" w:sz="0" w:space="0" w:color="auto"/>
            <w:left w:val="none" w:sz="0" w:space="0" w:color="auto"/>
            <w:bottom w:val="none" w:sz="0" w:space="0" w:color="auto"/>
            <w:right w:val="none" w:sz="0" w:space="0" w:color="auto"/>
          </w:divBdr>
        </w:div>
      </w:divsChild>
    </w:div>
    <w:div w:id="2074892729">
      <w:marLeft w:val="0"/>
      <w:marRight w:val="0"/>
      <w:marTop w:val="0"/>
      <w:marBottom w:val="0"/>
      <w:divBdr>
        <w:top w:val="none" w:sz="0" w:space="0" w:color="auto"/>
        <w:left w:val="none" w:sz="0" w:space="0" w:color="auto"/>
        <w:bottom w:val="none" w:sz="0" w:space="0" w:color="auto"/>
        <w:right w:val="none" w:sz="0" w:space="0" w:color="auto"/>
      </w:divBdr>
    </w:div>
    <w:div w:id="2075618176">
      <w:marLeft w:val="0"/>
      <w:marRight w:val="0"/>
      <w:marTop w:val="0"/>
      <w:marBottom w:val="240"/>
      <w:divBdr>
        <w:top w:val="none" w:sz="0" w:space="0" w:color="auto"/>
        <w:left w:val="none" w:sz="0" w:space="0" w:color="auto"/>
        <w:bottom w:val="none" w:sz="0" w:space="0" w:color="auto"/>
        <w:right w:val="none" w:sz="0" w:space="0" w:color="auto"/>
      </w:divBdr>
    </w:div>
    <w:div w:id="2076387943">
      <w:marLeft w:val="0"/>
      <w:marRight w:val="0"/>
      <w:marTop w:val="0"/>
      <w:marBottom w:val="60"/>
      <w:divBdr>
        <w:top w:val="none" w:sz="0" w:space="0" w:color="auto"/>
        <w:left w:val="none" w:sz="0" w:space="0" w:color="auto"/>
        <w:bottom w:val="none" w:sz="0" w:space="0" w:color="auto"/>
        <w:right w:val="none" w:sz="0" w:space="0" w:color="auto"/>
      </w:divBdr>
    </w:div>
    <w:div w:id="2077512070">
      <w:marLeft w:val="0"/>
      <w:marRight w:val="0"/>
      <w:marTop w:val="0"/>
      <w:marBottom w:val="180"/>
      <w:divBdr>
        <w:top w:val="none" w:sz="0" w:space="0" w:color="auto"/>
        <w:left w:val="none" w:sz="0" w:space="0" w:color="auto"/>
        <w:bottom w:val="none" w:sz="0" w:space="0" w:color="auto"/>
        <w:right w:val="none" w:sz="0" w:space="0" w:color="auto"/>
      </w:divBdr>
    </w:div>
    <w:div w:id="2083524993">
      <w:marLeft w:val="0"/>
      <w:marRight w:val="0"/>
      <w:marTop w:val="0"/>
      <w:marBottom w:val="180"/>
      <w:divBdr>
        <w:top w:val="none" w:sz="0" w:space="0" w:color="auto"/>
        <w:left w:val="none" w:sz="0" w:space="0" w:color="auto"/>
        <w:bottom w:val="none" w:sz="0" w:space="0" w:color="auto"/>
        <w:right w:val="none" w:sz="0" w:space="0" w:color="auto"/>
      </w:divBdr>
    </w:div>
    <w:div w:id="2084645256">
      <w:marLeft w:val="0"/>
      <w:marRight w:val="0"/>
      <w:marTop w:val="120"/>
      <w:marBottom w:val="120"/>
      <w:divBdr>
        <w:top w:val="none" w:sz="0" w:space="0" w:color="auto"/>
        <w:left w:val="none" w:sz="0" w:space="0" w:color="auto"/>
        <w:bottom w:val="none" w:sz="0" w:space="0" w:color="auto"/>
        <w:right w:val="none" w:sz="0" w:space="0" w:color="auto"/>
      </w:divBdr>
    </w:div>
    <w:div w:id="2086761614">
      <w:marLeft w:val="0"/>
      <w:marRight w:val="0"/>
      <w:marTop w:val="0"/>
      <w:marBottom w:val="0"/>
      <w:divBdr>
        <w:top w:val="none" w:sz="0" w:space="0" w:color="auto"/>
        <w:left w:val="none" w:sz="0" w:space="0" w:color="auto"/>
        <w:bottom w:val="none" w:sz="0" w:space="0" w:color="auto"/>
        <w:right w:val="none" w:sz="0" w:space="0" w:color="auto"/>
      </w:divBdr>
    </w:div>
    <w:div w:id="2087873911">
      <w:marLeft w:val="0"/>
      <w:marRight w:val="0"/>
      <w:marTop w:val="120"/>
      <w:marBottom w:val="180"/>
      <w:divBdr>
        <w:top w:val="none" w:sz="0" w:space="0" w:color="auto"/>
        <w:left w:val="none" w:sz="0" w:space="0" w:color="auto"/>
        <w:bottom w:val="none" w:sz="0" w:space="0" w:color="auto"/>
        <w:right w:val="none" w:sz="0" w:space="0" w:color="auto"/>
      </w:divBdr>
    </w:div>
    <w:div w:id="2088262109">
      <w:marLeft w:val="0"/>
      <w:marRight w:val="0"/>
      <w:marTop w:val="0"/>
      <w:marBottom w:val="0"/>
      <w:divBdr>
        <w:top w:val="none" w:sz="0" w:space="0" w:color="auto"/>
        <w:left w:val="none" w:sz="0" w:space="0" w:color="auto"/>
        <w:bottom w:val="none" w:sz="0" w:space="0" w:color="auto"/>
        <w:right w:val="none" w:sz="0" w:space="0" w:color="auto"/>
      </w:divBdr>
      <w:divsChild>
        <w:div w:id="1597250008">
          <w:marLeft w:val="0"/>
          <w:marRight w:val="0"/>
          <w:marTop w:val="0"/>
          <w:marBottom w:val="0"/>
          <w:divBdr>
            <w:top w:val="none" w:sz="0" w:space="0" w:color="auto"/>
            <w:left w:val="none" w:sz="0" w:space="0" w:color="auto"/>
            <w:bottom w:val="none" w:sz="0" w:space="0" w:color="auto"/>
            <w:right w:val="none" w:sz="0" w:space="0" w:color="auto"/>
          </w:divBdr>
        </w:div>
      </w:divsChild>
    </w:div>
    <w:div w:id="2092265493">
      <w:marLeft w:val="0"/>
      <w:marRight w:val="0"/>
      <w:marTop w:val="180"/>
      <w:marBottom w:val="180"/>
      <w:divBdr>
        <w:top w:val="none" w:sz="0" w:space="0" w:color="auto"/>
        <w:left w:val="none" w:sz="0" w:space="0" w:color="auto"/>
        <w:bottom w:val="none" w:sz="0" w:space="0" w:color="auto"/>
        <w:right w:val="none" w:sz="0" w:space="0" w:color="auto"/>
      </w:divBdr>
    </w:div>
    <w:div w:id="2092703461">
      <w:marLeft w:val="0"/>
      <w:marRight w:val="0"/>
      <w:marTop w:val="0"/>
      <w:marBottom w:val="240"/>
      <w:divBdr>
        <w:top w:val="none" w:sz="0" w:space="0" w:color="auto"/>
        <w:left w:val="none" w:sz="0" w:space="0" w:color="auto"/>
        <w:bottom w:val="none" w:sz="0" w:space="0" w:color="auto"/>
        <w:right w:val="none" w:sz="0" w:space="0" w:color="auto"/>
      </w:divBdr>
    </w:div>
    <w:div w:id="2095394041">
      <w:marLeft w:val="0"/>
      <w:marRight w:val="0"/>
      <w:marTop w:val="0"/>
      <w:marBottom w:val="0"/>
      <w:divBdr>
        <w:top w:val="none" w:sz="0" w:space="0" w:color="auto"/>
        <w:left w:val="none" w:sz="0" w:space="0" w:color="auto"/>
        <w:bottom w:val="none" w:sz="0" w:space="0" w:color="auto"/>
        <w:right w:val="none" w:sz="0" w:space="0" w:color="auto"/>
      </w:divBdr>
      <w:divsChild>
        <w:div w:id="1218391887">
          <w:marLeft w:val="0"/>
          <w:marRight w:val="0"/>
          <w:marTop w:val="0"/>
          <w:marBottom w:val="0"/>
          <w:divBdr>
            <w:top w:val="none" w:sz="0" w:space="0" w:color="auto"/>
            <w:left w:val="none" w:sz="0" w:space="0" w:color="auto"/>
            <w:bottom w:val="none" w:sz="0" w:space="0" w:color="auto"/>
            <w:right w:val="none" w:sz="0" w:space="0" w:color="auto"/>
          </w:divBdr>
        </w:div>
      </w:divsChild>
    </w:div>
    <w:div w:id="2096432841">
      <w:marLeft w:val="0"/>
      <w:marRight w:val="0"/>
      <w:marTop w:val="100"/>
      <w:marBottom w:val="240"/>
      <w:divBdr>
        <w:top w:val="none" w:sz="0" w:space="0" w:color="auto"/>
        <w:left w:val="none" w:sz="0" w:space="0" w:color="auto"/>
        <w:bottom w:val="none" w:sz="0" w:space="0" w:color="auto"/>
        <w:right w:val="none" w:sz="0" w:space="0" w:color="auto"/>
      </w:divBdr>
    </w:div>
    <w:div w:id="2097702317">
      <w:marLeft w:val="0"/>
      <w:marRight w:val="0"/>
      <w:marTop w:val="0"/>
      <w:marBottom w:val="0"/>
      <w:divBdr>
        <w:top w:val="none" w:sz="0" w:space="0" w:color="auto"/>
        <w:left w:val="none" w:sz="0" w:space="0" w:color="auto"/>
        <w:bottom w:val="none" w:sz="0" w:space="0" w:color="auto"/>
        <w:right w:val="none" w:sz="0" w:space="0" w:color="auto"/>
      </w:divBdr>
      <w:divsChild>
        <w:div w:id="941766423">
          <w:marLeft w:val="0"/>
          <w:marRight w:val="0"/>
          <w:marTop w:val="0"/>
          <w:marBottom w:val="0"/>
          <w:divBdr>
            <w:top w:val="none" w:sz="0" w:space="0" w:color="auto"/>
            <w:left w:val="none" w:sz="0" w:space="0" w:color="auto"/>
            <w:bottom w:val="none" w:sz="0" w:space="0" w:color="auto"/>
            <w:right w:val="none" w:sz="0" w:space="0" w:color="auto"/>
          </w:divBdr>
        </w:div>
      </w:divsChild>
    </w:div>
    <w:div w:id="2101875711">
      <w:marLeft w:val="0"/>
      <w:marRight w:val="0"/>
      <w:marTop w:val="120"/>
      <w:marBottom w:val="180"/>
      <w:divBdr>
        <w:top w:val="none" w:sz="0" w:space="0" w:color="auto"/>
        <w:left w:val="none" w:sz="0" w:space="0" w:color="auto"/>
        <w:bottom w:val="none" w:sz="0" w:space="0" w:color="auto"/>
        <w:right w:val="none" w:sz="0" w:space="0" w:color="auto"/>
      </w:divBdr>
    </w:div>
    <w:div w:id="2106804366">
      <w:marLeft w:val="0"/>
      <w:marRight w:val="0"/>
      <w:marTop w:val="120"/>
      <w:marBottom w:val="120"/>
      <w:divBdr>
        <w:top w:val="none" w:sz="0" w:space="0" w:color="auto"/>
        <w:left w:val="none" w:sz="0" w:space="0" w:color="auto"/>
        <w:bottom w:val="none" w:sz="0" w:space="0" w:color="auto"/>
        <w:right w:val="none" w:sz="0" w:space="0" w:color="auto"/>
      </w:divBdr>
    </w:div>
    <w:div w:id="2110083743">
      <w:marLeft w:val="0"/>
      <w:marRight w:val="0"/>
      <w:marTop w:val="180"/>
      <w:marBottom w:val="180"/>
      <w:divBdr>
        <w:top w:val="none" w:sz="0" w:space="0" w:color="auto"/>
        <w:left w:val="none" w:sz="0" w:space="0" w:color="auto"/>
        <w:bottom w:val="none" w:sz="0" w:space="0" w:color="auto"/>
        <w:right w:val="none" w:sz="0" w:space="0" w:color="auto"/>
      </w:divBdr>
    </w:div>
    <w:div w:id="2111701701">
      <w:marLeft w:val="0"/>
      <w:marRight w:val="0"/>
      <w:marTop w:val="0"/>
      <w:marBottom w:val="0"/>
      <w:divBdr>
        <w:top w:val="none" w:sz="0" w:space="0" w:color="auto"/>
        <w:left w:val="none" w:sz="0" w:space="0" w:color="auto"/>
        <w:bottom w:val="none" w:sz="0" w:space="0" w:color="auto"/>
        <w:right w:val="none" w:sz="0" w:space="0" w:color="auto"/>
      </w:divBdr>
    </w:div>
    <w:div w:id="2111852375">
      <w:marLeft w:val="0"/>
      <w:marRight w:val="0"/>
      <w:marTop w:val="0"/>
      <w:marBottom w:val="0"/>
      <w:divBdr>
        <w:top w:val="none" w:sz="0" w:space="0" w:color="auto"/>
        <w:left w:val="none" w:sz="0" w:space="0" w:color="auto"/>
        <w:bottom w:val="none" w:sz="0" w:space="0" w:color="auto"/>
        <w:right w:val="none" w:sz="0" w:space="0" w:color="auto"/>
      </w:divBdr>
      <w:divsChild>
        <w:div w:id="631180936">
          <w:marLeft w:val="0"/>
          <w:marRight w:val="0"/>
          <w:marTop w:val="0"/>
          <w:marBottom w:val="0"/>
          <w:divBdr>
            <w:top w:val="none" w:sz="0" w:space="0" w:color="auto"/>
            <w:left w:val="none" w:sz="0" w:space="0" w:color="auto"/>
            <w:bottom w:val="none" w:sz="0" w:space="0" w:color="auto"/>
            <w:right w:val="none" w:sz="0" w:space="0" w:color="auto"/>
          </w:divBdr>
        </w:div>
      </w:divsChild>
    </w:div>
    <w:div w:id="2114667004">
      <w:marLeft w:val="0"/>
      <w:marRight w:val="0"/>
      <w:marTop w:val="0"/>
      <w:marBottom w:val="0"/>
      <w:divBdr>
        <w:top w:val="none" w:sz="0" w:space="0" w:color="auto"/>
        <w:left w:val="none" w:sz="0" w:space="0" w:color="auto"/>
        <w:bottom w:val="none" w:sz="0" w:space="0" w:color="auto"/>
        <w:right w:val="none" w:sz="0" w:space="0" w:color="auto"/>
      </w:divBdr>
      <w:divsChild>
        <w:div w:id="840698717">
          <w:marLeft w:val="0"/>
          <w:marRight w:val="0"/>
          <w:marTop w:val="0"/>
          <w:marBottom w:val="0"/>
          <w:divBdr>
            <w:top w:val="none" w:sz="0" w:space="0" w:color="auto"/>
            <w:left w:val="none" w:sz="0" w:space="0" w:color="auto"/>
            <w:bottom w:val="none" w:sz="0" w:space="0" w:color="auto"/>
            <w:right w:val="none" w:sz="0" w:space="0" w:color="auto"/>
          </w:divBdr>
        </w:div>
      </w:divsChild>
    </w:div>
    <w:div w:id="2114741064">
      <w:marLeft w:val="0"/>
      <w:marRight w:val="0"/>
      <w:marTop w:val="0"/>
      <w:marBottom w:val="240"/>
      <w:divBdr>
        <w:top w:val="none" w:sz="0" w:space="0" w:color="auto"/>
        <w:left w:val="none" w:sz="0" w:space="0" w:color="auto"/>
        <w:bottom w:val="none" w:sz="0" w:space="0" w:color="auto"/>
        <w:right w:val="none" w:sz="0" w:space="0" w:color="auto"/>
      </w:divBdr>
    </w:div>
    <w:div w:id="2116629087">
      <w:marLeft w:val="0"/>
      <w:marRight w:val="0"/>
      <w:marTop w:val="0"/>
      <w:marBottom w:val="240"/>
      <w:divBdr>
        <w:top w:val="none" w:sz="0" w:space="0" w:color="auto"/>
        <w:left w:val="none" w:sz="0" w:space="0" w:color="auto"/>
        <w:bottom w:val="none" w:sz="0" w:space="0" w:color="auto"/>
        <w:right w:val="none" w:sz="0" w:space="0" w:color="auto"/>
      </w:divBdr>
    </w:div>
    <w:div w:id="2118713864">
      <w:marLeft w:val="0"/>
      <w:marRight w:val="0"/>
      <w:marTop w:val="0"/>
      <w:marBottom w:val="0"/>
      <w:divBdr>
        <w:top w:val="none" w:sz="0" w:space="0" w:color="auto"/>
        <w:left w:val="none" w:sz="0" w:space="0" w:color="auto"/>
        <w:bottom w:val="none" w:sz="0" w:space="0" w:color="auto"/>
        <w:right w:val="none" w:sz="0" w:space="0" w:color="auto"/>
      </w:divBdr>
    </w:div>
    <w:div w:id="2119400438">
      <w:marLeft w:val="0"/>
      <w:marRight w:val="0"/>
      <w:marTop w:val="0"/>
      <w:marBottom w:val="0"/>
      <w:divBdr>
        <w:top w:val="none" w:sz="0" w:space="0" w:color="auto"/>
        <w:left w:val="none" w:sz="0" w:space="0" w:color="auto"/>
        <w:bottom w:val="none" w:sz="0" w:space="0" w:color="auto"/>
        <w:right w:val="none" w:sz="0" w:space="0" w:color="auto"/>
      </w:divBdr>
      <w:divsChild>
        <w:div w:id="1596286369">
          <w:marLeft w:val="0"/>
          <w:marRight w:val="0"/>
          <w:marTop w:val="0"/>
          <w:marBottom w:val="0"/>
          <w:divBdr>
            <w:top w:val="none" w:sz="0" w:space="0" w:color="auto"/>
            <w:left w:val="none" w:sz="0" w:space="0" w:color="auto"/>
            <w:bottom w:val="none" w:sz="0" w:space="0" w:color="auto"/>
            <w:right w:val="none" w:sz="0" w:space="0" w:color="auto"/>
          </w:divBdr>
        </w:div>
      </w:divsChild>
    </w:div>
    <w:div w:id="2120371194">
      <w:marLeft w:val="0"/>
      <w:marRight w:val="0"/>
      <w:marTop w:val="0"/>
      <w:marBottom w:val="120"/>
      <w:divBdr>
        <w:top w:val="none" w:sz="0" w:space="0" w:color="auto"/>
        <w:left w:val="none" w:sz="0" w:space="0" w:color="auto"/>
        <w:bottom w:val="none" w:sz="0" w:space="0" w:color="auto"/>
        <w:right w:val="none" w:sz="0" w:space="0" w:color="auto"/>
      </w:divBdr>
    </w:div>
    <w:div w:id="2120634738">
      <w:marLeft w:val="0"/>
      <w:marRight w:val="0"/>
      <w:marTop w:val="180"/>
      <w:marBottom w:val="180"/>
      <w:divBdr>
        <w:top w:val="none" w:sz="0" w:space="0" w:color="auto"/>
        <w:left w:val="none" w:sz="0" w:space="0" w:color="auto"/>
        <w:bottom w:val="none" w:sz="0" w:space="0" w:color="auto"/>
        <w:right w:val="none" w:sz="0" w:space="0" w:color="auto"/>
      </w:divBdr>
    </w:div>
    <w:div w:id="2121299124">
      <w:marLeft w:val="0"/>
      <w:marRight w:val="0"/>
      <w:marTop w:val="180"/>
      <w:marBottom w:val="180"/>
      <w:divBdr>
        <w:top w:val="none" w:sz="0" w:space="0" w:color="auto"/>
        <w:left w:val="none" w:sz="0" w:space="0" w:color="auto"/>
        <w:bottom w:val="none" w:sz="0" w:space="0" w:color="auto"/>
        <w:right w:val="none" w:sz="0" w:space="0" w:color="auto"/>
      </w:divBdr>
    </w:div>
    <w:div w:id="2122797409">
      <w:marLeft w:val="0"/>
      <w:marRight w:val="0"/>
      <w:marTop w:val="120"/>
      <w:marBottom w:val="180"/>
      <w:divBdr>
        <w:top w:val="none" w:sz="0" w:space="0" w:color="auto"/>
        <w:left w:val="none" w:sz="0" w:space="0" w:color="auto"/>
        <w:bottom w:val="none" w:sz="0" w:space="0" w:color="auto"/>
        <w:right w:val="none" w:sz="0" w:space="0" w:color="auto"/>
      </w:divBdr>
    </w:div>
    <w:div w:id="2122917835">
      <w:marLeft w:val="0"/>
      <w:marRight w:val="0"/>
      <w:marTop w:val="120"/>
      <w:marBottom w:val="120"/>
      <w:divBdr>
        <w:top w:val="none" w:sz="0" w:space="0" w:color="auto"/>
        <w:left w:val="none" w:sz="0" w:space="0" w:color="auto"/>
        <w:bottom w:val="none" w:sz="0" w:space="0" w:color="auto"/>
        <w:right w:val="none" w:sz="0" w:space="0" w:color="auto"/>
      </w:divBdr>
    </w:div>
    <w:div w:id="2127188722">
      <w:marLeft w:val="0"/>
      <w:marRight w:val="0"/>
      <w:marTop w:val="0"/>
      <w:marBottom w:val="180"/>
      <w:divBdr>
        <w:top w:val="none" w:sz="0" w:space="0" w:color="auto"/>
        <w:left w:val="none" w:sz="0" w:space="0" w:color="auto"/>
        <w:bottom w:val="none" w:sz="0" w:space="0" w:color="auto"/>
        <w:right w:val="none" w:sz="0" w:space="0" w:color="auto"/>
      </w:divBdr>
    </w:div>
    <w:div w:id="2128698189">
      <w:marLeft w:val="0"/>
      <w:marRight w:val="0"/>
      <w:marTop w:val="100"/>
      <w:marBottom w:val="100"/>
      <w:divBdr>
        <w:top w:val="none" w:sz="0" w:space="0" w:color="auto"/>
        <w:left w:val="none" w:sz="0" w:space="0" w:color="auto"/>
        <w:bottom w:val="none" w:sz="0" w:space="0" w:color="auto"/>
        <w:right w:val="none" w:sz="0" w:space="0" w:color="auto"/>
      </w:divBdr>
      <w:divsChild>
        <w:div w:id="1682856885">
          <w:marLeft w:val="0"/>
          <w:marRight w:val="0"/>
          <w:marTop w:val="0"/>
          <w:marBottom w:val="180"/>
          <w:divBdr>
            <w:top w:val="none" w:sz="0" w:space="0" w:color="auto"/>
            <w:left w:val="none" w:sz="0" w:space="0" w:color="auto"/>
            <w:bottom w:val="none" w:sz="0" w:space="0" w:color="auto"/>
            <w:right w:val="none" w:sz="0" w:space="0" w:color="auto"/>
          </w:divBdr>
        </w:div>
        <w:div w:id="1269660177">
          <w:marLeft w:val="0"/>
          <w:marRight w:val="0"/>
          <w:marTop w:val="0"/>
          <w:marBottom w:val="180"/>
          <w:divBdr>
            <w:top w:val="none" w:sz="0" w:space="0" w:color="auto"/>
            <w:left w:val="none" w:sz="0" w:space="0" w:color="auto"/>
            <w:bottom w:val="none" w:sz="0" w:space="0" w:color="auto"/>
            <w:right w:val="none" w:sz="0" w:space="0" w:color="auto"/>
          </w:divBdr>
        </w:div>
        <w:div w:id="85197810">
          <w:marLeft w:val="0"/>
          <w:marRight w:val="0"/>
          <w:marTop w:val="0"/>
          <w:marBottom w:val="180"/>
          <w:divBdr>
            <w:top w:val="none" w:sz="0" w:space="0" w:color="auto"/>
            <w:left w:val="none" w:sz="0" w:space="0" w:color="auto"/>
            <w:bottom w:val="none" w:sz="0" w:space="0" w:color="auto"/>
            <w:right w:val="none" w:sz="0" w:space="0" w:color="auto"/>
          </w:divBdr>
        </w:div>
        <w:div w:id="1551306864">
          <w:marLeft w:val="0"/>
          <w:marRight w:val="0"/>
          <w:marTop w:val="0"/>
          <w:marBottom w:val="180"/>
          <w:divBdr>
            <w:top w:val="none" w:sz="0" w:space="0" w:color="auto"/>
            <w:left w:val="none" w:sz="0" w:space="0" w:color="auto"/>
            <w:bottom w:val="none" w:sz="0" w:space="0" w:color="auto"/>
            <w:right w:val="none" w:sz="0" w:space="0" w:color="auto"/>
          </w:divBdr>
        </w:div>
        <w:div w:id="345980237">
          <w:marLeft w:val="0"/>
          <w:marRight w:val="0"/>
          <w:marTop w:val="0"/>
          <w:marBottom w:val="180"/>
          <w:divBdr>
            <w:top w:val="none" w:sz="0" w:space="0" w:color="auto"/>
            <w:left w:val="none" w:sz="0" w:space="0" w:color="auto"/>
            <w:bottom w:val="none" w:sz="0" w:space="0" w:color="auto"/>
            <w:right w:val="none" w:sz="0" w:space="0" w:color="auto"/>
          </w:divBdr>
        </w:div>
      </w:divsChild>
    </w:div>
    <w:div w:id="2129665064">
      <w:marLeft w:val="0"/>
      <w:marRight w:val="0"/>
      <w:marTop w:val="0"/>
      <w:marBottom w:val="240"/>
      <w:divBdr>
        <w:top w:val="none" w:sz="0" w:space="0" w:color="auto"/>
        <w:left w:val="none" w:sz="0" w:space="0" w:color="auto"/>
        <w:bottom w:val="none" w:sz="0" w:space="0" w:color="auto"/>
        <w:right w:val="none" w:sz="0" w:space="0" w:color="auto"/>
      </w:divBdr>
    </w:div>
    <w:div w:id="2131513344">
      <w:marLeft w:val="0"/>
      <w:marRight w:val="0"/>
      <w:marTop w:val="0"/>
      <w:marBottom w:val="180"/>
      <w:divBdr>
        <w:top w:val="none" w:sz="0" w:space="0" w:color="auto"/>
        <w:left w:val="none" w:sz="0" w:space="0" w:color="auto"/>
        <w:bottom w:val="none" w:sz="0" w:space="0" w:color="auto"/>
        <w:right w:val="none" w:sz="0" w:space="0" w:color="auto"/>
      </w:divBdr>
    </w:div>
    <w:div w:id="2136950463">
      <w:marLeft w:val="0"/>
      <w:marRight w:val="0"/>
      <w:marTop w:val="0"/>
      <w:marBottom w:val="0"/>
      <w:divBdr>
        <w:top w:val="none" w:sz="0" w:space="0" w:color="auto"/>
        <w:left w:val="none" w:sz="0" w:space="0" w:color="auto"/>
        <w:bottom w:val="none" w:sz="0" w:space="0" w:color="auto"/>
        <w:right w:val="none" w:sz="0" w:space="0" w:color="auto"/>
      </w:divBdr>
    </w:div>
    <w:div w:id="2137484114">
      <w:marLeft w:val="0"/>
      <w:marRight w:val="0"/>
      <w:marTop w:val="180"/>
      <w:marBottom w:val="180"/>
      <w:divBdr>
        <w:top w:val="none" w:sz="0" w:space="0" w:color="auto"/>
        <w:left w:val="none" w:sz="0" w:space="0" w:color="auto"/>
        <w:bottom w:val="none" w:sz="0" w:space="0" w:color="auto"/>
        <w:right w:val="none" w:sz="0" w:space="0" w:color="auto"/>
      </w:divBdr>
    </w:div>
    <w:div w:id="2144541401">
      <w:marLeft w:val="0"/>
      <w:marRight w:val="0"/>
      <w:marTop w:val="180"/>
      <w:marBottom w:val="180"/>
      <w:divBdr>
        <w:top w:val="none" w:sz="0" w:space="0" w:color="auto"/>
        <w:left w:val="none" w:sz="0" w:space="0" w:color="auto"/>
        <w:bottom w:val="none" w:sz="0" w:space="0" w:color="auto"/>
        <w:right w:val="none" w:sz="0" w:space="0" w:color="auto"/>
      </w:divBdr>
    </w:div>
    <w:div w:id="2145005727">
      <w:marLeft w:val="0"/>
      <w:marRight w:val="0"/>
      <w:marTop w:val="0"/>
      <w:marBottom w:val="180"/>
      <w:divBdr>
        <w:top w:val="none" w:sz="0" w:space="0" w:color="auto"/>
        <w:left w:val="none" w:sz="0" w:space="0" w:color="auto"/>
        <w:bottom w:val="none" w:sz="0" w:space="0" w:color="auto"/>
        <w:right w:val="none" w:sz="0" w:space="0" w:color="auto"/>
      </w:divBdr>
    </w:div>
    <w:div w:id="2145929407">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63020exhibit32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eqh-63020exhibit31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qh-63020exhibit311.htm" TargetMode="External"/><Relationship Id="rId11" Type="http://schemas.openxmlformats.org/officeDocument/2006/relationships/hyperlink" Target="eqh-63020exhibit322.htm" TargetMode="External"/><Relationship Id="rId5" Type="http://schemas.openxmlformats.org/officeDocument/2006/relationships/hyperlink" Target="https://www.sec.gov/Archives/edgar/data/1333986/000133398620000015/eqh201910-k.htm" TargetMode="External"/><Relationship Id="rId10" Type="http://schemas.openxmlformats.org/officeDocument/2006/relationships/hyperlink" Target="eqh-63020exhibit322.htm" TargetMode="External"/><Relationship Id="rId4" Type="http://schemas.openxmlformats.org/officeDocument/2006/relationships/image" Target="file:///E:\projects\LLMs\new_data_collection\data_new\htm\Equitable%20Holdings,%20Inc\axaeq-20200630_g1.jpg" TargetMode="External"/><Relationship Id="rId9" Type="http://schemas.openxmlformats.org/officeDocument/2006/relationships/hyperlink" Target="eqh-63020exhibit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86687</Words>
  <Characters>494122</Characters>
  <Application>Microsoft Office Word</Application>
  <DocSecurity>0</DocSecurity>
  <Lines>4117</Lines>
  <Paragraphs>1159</Paragraphs>
  <ScaleCrop>false</ScaleCrop>
  <Company/>
  <LinksUpToDate>false</LinksUpToDate>
  <CharactersWithSpaces>579650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axaeq-20200630</dc:title>
  <dc:subject/>
  <dc:creator>Chongjian.Yue</dc:creator>
  <cp:keywords/>
  <dc:description/>
  <cp:lastModifiedBy>Yue Chongjian</cp:lastModifiedBy>
  <cp:revision>1</cp:revision>
  <dcterms:created xsi:type="dcterms:W3CDTF">2024-01-04T15:42:00Z</dcterms:created>
  <dcterms:modified xsi:type="dcterms:W3CDTF">2024-01-04T15:42:00Z</dcterms:modified>
</cp:coreProperties>
</file>